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7D74E" w14:textId="77777777" w:rsidR="00E20E53" w:rsidRDefault="00E20E53" w:rsidP="00E20E53">
      <w:pPr>
        <w:pStyle w:val="BodyText"/>
      </w:pPr>
      <w:r>
        <w:rPr>
          <w:noProof/>
        </w:rPr>
        <w:drawing>
          <wp:inline distT="0" distB="0" distL="0" distR="0" wp14:anchorId="58BAC10C" wp14:editId="0F8CC84C">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r w:rsidRPr="00350FFA">
        <w:rPr>
          <w:noProof/>
        </w:rPr>
        <w:drawing>
          <wp:anchor distT="0" distB="0" distL="114300" distR="114300" simplePos="0" relativeHeight="251663360" behindDoc="1" locked="1" layoutInCell="1" allowOverlap="1" wp14:anchorId="26ECC468" wp14:editId="6437977B">
            <wp:simplePos x="0" y="0"/>
            <wp:positionH relativeFrom="page">
              <wp:posOffset>-114300</wp:posOffset>
            </wp:positionH>
            <wp:positionV relativeFrom="page">
              <wp:posOffset>-99060</wp:posOffset>
            </wp:positionV>
            <wp:extent cx="7696200" cy="1088644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696200" cy="10886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064F4D" w14:textId="0B502E99" w:rsidR="00E20E53" w:rsidRPr="00FF7488" w:rsidRDefault="00FD6F68" w:rsidP="000825A6">
      <w:pPr>
        <w:pStyle w:val="Title"/>
        <w:spacing w:before="1440"/>
        <w:ind w:left="1276" w:right="-23"/>
        <w:rPr>
          <w:color w:val="FFFFFF" w:themeColor="background1"/>
        </w:rPr>
      </w:pPr>
      <w:sdt>
        <w:sdtPr>
          <w:rPr>
            <w:color w:val="FFFFFF" w:themeColor="background1"/>
          </w:rPr>
          <w:alias w:val="Title"/>
          <w:tag w:val=""/>
          <w:id w:val="1365868817"/>
          <w:placeholder>
            <w:docPart w:val="980BFC01CE324524B0928F90E69E0732"/>
          </w:placeholder>
          <w:dataBinding w:prefixMappings="xmlns:ns0='http://purl.org/dc/elements/1.1/' xmlns:ns1='http://schemas.openxmlformats.org/package/2006/metadata/core-properties' " w:xpath="/ns1:coreProperties[1]/ns0:title[1]" w:storeItemID="{6C3C8BC8-F283-45AE-878A-BAB7291924A1}"/>
          <w:text/>
        </w:sdtPr>
        <w:sdtEndPr/>
        <w:sdtContent>
          <w:r w:rsidR="008829E1">
            <w:rPr>
              <w:color w:val="FFFFFF" w:themeColor="background1"/>
            </w:rPr>
            <w:t>University Finance 2020</w:t>
          </w:r>
        </w:sdtContent>
      </w:sdt>
      <w:r w:rsidR="00E20E53" w:rsidRPr="00FF7488">
        <w:rPr>
          <w:color w:val="FFFFFF" w:themeColor="background1"/>
        </w:rPr>
        <w:t xml:space="preserve"> </w:t>
      </w:r>
    </w:p>
    <w:p w14:paraId="70936920" w14:textId="415F5A38" w:rsidR="00E20E53" w:rsidRPr="002264FD" w:rsidRDefault="00EC68DE" w:rsidP="002264FD">
      <w:pPr>
        <w:pStyle w:val="Subtitle"/>
        <w:spacing w:line="240" w:lineRule="auto"/>
        <w:ind w:left="1276" w:right="-22"/>
        <w:rPr>
          <w:rStyle w:val="Emphasis"/>
          <w:b/>
          <w:bCs w:val="0"/>
          <w:i w:val="0"/>
          <w:iCs/>
          <w:color w:val="E9A913" w:themeColor="background2"/>
          <w:spacing w:val="13"/>
        </w:rPr>
      </w:pPr>
      <w:r>
        <w:rPr>
          <w:color w:val="E9A913" w:themeColor="background2"/>
        </w:rPr>
        <w:t xml:space="preserve">Summary </w:t>
      </w:r>
      <w:r w:rsidR="00957443">
        <w:rPr>
          <w:color w:val="E9A913" w:themeColor="background2"/>
        </w:rPr>
        <w:t>Information</w:t>
      </w:r>
    </w:p>
    <w:p w14:paraId="6234EEE1" w14:textId="77777777" w:rsidR="00E20E53" w:rsidRPr="00F567F1" w:rsidRDefault="00E20E53" w:rsidP="00E20E53">
      <w:pPr>
        <w:rPr>
          <w:b/>
          <w:bCs/>
          <w:i/>
          <w:iCs/>
          <w:color w:val="FFFFFF" w:themeColor="background1"/>
          <w:spacing w:val="10"/>
        </w:rPr>
        <w:sectPr w:rsidR="00E20E53" w:rsidRPr="00F567F1" w:rsidSect="00AD09E4">
          <w:headerReference w:type="default" r:id="rId13"/>
          <w:footerReference w:type="default" r:id="rId14"/>
          <w:pgSz w:w="11906" w:h="16838"/>
          <w:pgMar w:top="1418" w:right="1558" w:bottom="567" w:left="1440" w:header="708" w:footer="283" w:gutter="0"/>
          <w:cols w:space="708"/>
          <w:docGrid w:linePitch="360"/>
        </w:sectPr>
      </w:pPr>
      <w:r>
        <w:rPr>
          <w:rStyle w:val="Emphasis"/>
          <w:color w:val="FFFFFF" w:themeColor="background1"/>
        </w:rPr>
        <w:br w:type="page"/>
      </w:r>
    </w:p>
    <w:bookmarkStart w:id="0" w:name="_Toc31182548" w:displacedByCustomXml="next"/>
    <w:sdt>
      <w:sdtPr>
        <w:rPr>
          <w:rFonts w:asciiTheme="minorHAnsi" w:eastAsiaTheme="minorEastAsia" w:hAnsiTheme="minorHAnsi" w:cstheme="minorBidi"/>
          <w:b w:val="0"/>
          <w:bCs w:val="0"/>
          <w:color w:val="auto"/>
          <w:sz w:val="22"/>
          <w:szCs w:val="22"/>
          <w:lang w:bidi="ar-SA"/>
        </w:rPr>
        <w:id w:val="2033444886"/>
        <w:docPartObj>
          <w:docPartGallery w:val="Table of Contents"/>
          <w:docPartUnique/>
        </w:docPartObj>
      </w:sdtPr>
      <w:sdtEndPr>
        <w:rPr>
          <w:noProof/>
        </w:rPr>
      </w:sdtEndPr>
      <w:sdtContent>
        <w:p w14:paraId="71C34638" w14:textId="6BF54D0D" w:rsidR="00650512" w:rsidRDefault="00650512">
          <w:pPr>
            <w:pStyle w:val="TOCHeading"/>
          </w:pPr>
          <w:r>
            <w:t>Table of Contents</w:t>
          </w:r>
        </w:p>
        <w:p w14:paraId="22F0A547" w14:textId="6BCD0421" w:rsidR="006A3582" w:rsidRDefault="00650512">
          <w:pPr>
            <w:pStyle w:val="TOC1"/>
            <w:tabs>
              <w:tab w:val="right" w:leader="dot" w:pos="9016"/>
            </w:tabs>
            <w:rPr>
              <w:noProof/>
              <w:lang w:eastAsia="en-AU"/>
            </w:rPr>
          </w:pPr>
          <w:r>
            <w:fldChar w:fldCharType="begin"/>
          </w:r>
          <w:r>
            <w:instrText xml:space="preserve"> TOC \o "1-3" \h \z \u </w:instrText>
          </w:r>
          <w:r>
            <w:fldChar w:fldCharType="separate"/>
          </w:r>
          <w:hyperlink w:anchor="_Toc78463082" w:history="1">
            <w:r w:rsidR="006A3582" w:rsidRPr="00195ED7">
              <w:rPr>
                <w:rStyle w:val="Hyperlink"/>
                <w:noProof/>
              </w:rPr>
              <w:t>Financial Performance Summary</w:t>
            </w:r>
            <w:r w:rsidR="006A3582">
              <w:rPr>
                <w:noProof/>
                <w:webHidden/>
              </w:rPr>
              <w:tab/>
            </w:r>
            <w:r w:rsidR="006A3582">
              <w:rPr>
                <w:noProof/>
                <w:webHidden/>
              </w:rPr>
              <w:fldChar w:fldCharType="begin"/>
            </w:r>
            <w:r w:rsidR="006A3582">
              <w:rPr>
                <w:noProof/>
                <w:webHidden/>
              </w:rPr>
              <w:instrText xml:space="preserve"> PAGEREF _Toc78463082 \h </w:instrText>
            </w:r>
            <w:r w:rsidR="006A3582">
              <w:rPr>
                <w:noProof/>
                <w:webHidden/>
              </w:rPr>
            </w:r>
            <w:r w:rsidR="006A3582">
              <w:rPr>
                <w:noProof/>
                <w:webHidden/>
              </w:rPr>
              <w:fldChar w:fldCharType="separate"/>
            </w:r>
            <w:r w:rsidR="00765D0C">
              <w:rPr>
                <w:noProof/>
                <w:webHidden/>
              </w:rPr>
              <w:t>3</w:t>
            </w:r>
            <w:r w:rsidR="006A3582">
              <w:rPr>
                <w:noProof/>
                <w:webHidden/>
              </w:rPr>
              <w:fldChar w:fldCharType="end"/>
            </w:r>
          </w:hyperlink>
        </w:p>
        <w:p w14:paraId="05015383" w14:textId="141B5273" w:rsidR="006A3582" w:rsidRDefault="00FD6F68">
          <w:pPr>
            <w:pStyle w:val="TOC2"/>
            <w:tabs>
              <w:tab w:val="right" w:leader="dot" w:pos="9016"/>
            </w:tabs>
            <w:rPr>
              <w:noProof/>
              <w:lang w:eastAsia="en-AU"/>
            </w:rPr>
          </w:pPr>
          <w:hyperlink w:anchor="_Toc78463083" w:history="1">
            <w:r w:rsidR="006A3582" w:rsidRPr="00195ED7">
              <w:rPr>
                <w:rStyle w:val="Hyperlink"/>
                <w:noProof/>
              </w:rPr>
              <w:t>Impact of the COVID-19 Pandemic</w:t>
            </w:r>
            <w:r w:rsidR="006A3582">
              <w:rPr>
                <w:noProof/>
                <w:webHidden/>
              </w:rPr>
              <w:tab/>
            </w:r>
            <w:r w:rsidR="006A3582">
              <w:rPr>
                <w:noProof/>
                <w:webHidden/>
              </w:rPr>
              <w:fldChar w:fldCharType="begin"/>
            </w:r>
            <w:r w:rsidR="006A3582">
              <w:rPr>
                <w:noProof/>
                <w:webHidden/>
              </w:rPr>
              <w:instrText xml:space="preserve"> PAGEREF _Toc78463083 \h </w:instrText>
            </w:r>
            <w:r w:rsidR="006A3582">
              <w:rPr>
                <w:noProof/>
                <w:webHidden/>
              </w:rPr>
            </w:r>
            <w:r w:rsidR="006A3582">
              <w:rPr>
                <w:noProof/>
                <w:webHidden/>
              </w:rPr>
              <w:fldChar w:fldCharType="separate"/>
            </w:r>
            <w:r w:rsidR="00765D0C">
              <w:rPr>
                <w:noProof/>
                <w:webHidden/>
              </w:rPr>
              <w:t>4</w:t>
            </w:r>
            <w:r w:rsidR="006A3582">
              <w:rPr>
                <w:noProof/>
                <w:webHidden/>
              </w:rPr>
              <w:fldChar w:fldCharType="end"/>
            </w:r>
          </w:hyperlink>
        </w:p>
        <w:p w14:paraId="1EED7D57" w14:textId="0C61C247" w:rsidR="006A3582" w:rsidRDefault="00FD6F68">
          <w:pPr>
            <w:pStyle w:val="TOC2"/>
            <w:tabs>
              <w:tab w:val="right" w:leader="dot" w:pos="9016"/>
            </w:tabs>
            <w:rPr>
              <w:noProof/>
              <w:lang w:eastAsia="en-AU"/>
            </w:rPr>
          </w:pPr>
          <w:hyperlink w:anchor="_Toc78463084" w:history="1">
            <w:r w:rsidR="006A3582" w:rsidRPr="00195ED7">
              <w:rPr>
                <w:rStyle w:val="Hyperlink"/>
                <w:noProof/>
              </w:rPr>
              <w:t>Net Result</w:t>
            </w:r>
            <w:r w:rsidR="006A3582">
              <w:rPr>
                <w:noProof/>
                <w:webHidden/>
              </w:rPr>
              <w:tab/>
            </w:r>
            <w:r w:rsidR="006A3582">
              <w:rPr>
                <w:noProof/>
                <w:webHidden/>
              </w:rPr>
              <w:fldChar w:fldCharType="begin"/>
            </w:r>
            <w:r w:rsidR="006A3582">
              <w:rPr>
                <w:noProof/>
                <w:webHidden/>
              </w:rPr>
              <w:instrText xml:space="preserve"> PAGEREF _Toc78463084 \h </w:instrText>
            </w:r>
            <w:r w:rsidR="006A3582">
              <w:rPr>
                <w:noProof/>
                <w:webHidden/>
              </w:rPr>
            </w:r>
            <w:r w:rsidR="006A3582">
              <w:rPr>
                <w:noProof/>
                <w:webHidden/>
              </w:rPr>
              <w:fldChar w:fldCharType="separate"/>
            </w:r>
            <w:r w:rsidR="00765D0C">
              <w:rPr>
                <w:noProof/>
                <w:webHidden/>
              </w:rPr>
              <w:t>4</w:t>
            </w:r>
            <w:r w:rsidR="006A3582">
              <w:rPr>
                <w:noProof/>
                <w:webHidden/>
              </w:rPr>
              <w:fldChar w:fldCharType="end"/>
            </w:r>
          </w:hyperlink>
        </w:p>
        <w:p w14:paraId="17EE47A7" w14:textId="0AF5E712" w:rsidR="006A3582" w:rsidRDefault="00FD6F68">
          <w:pPr>
            <w:pStyle w:val="TOC2"/>
            <w:tabs>
              <w:tab w:val="right" w:leader="dot" w:pos="9016"/>
            </w:tabs>
            <w:rPr>
              <w:noProof/>
              <w:lang w:eastAsia="en-AU"/>
            </w:rPr>
          </w:pPr>
          <w:hyperlink w:anchor="_Toc78463085" w:history="1">
            <w:r w:rsidR="006A3582" w:rsidRPr="00195ED7">
              <w:rPr>
                <w:rStyle w:val="Hyperlink"/>
                <w:noProof/>
              </w:rPr>
              <w:t>Revenue</w:t>
            </w:r>
            <w:r w:rsidR="006A3582">
              <w:rPr>
                <w:noProof/>
                <w:webHidden/>
              </w:rPr>
              <w:tab/>
            </w:r>
            <w:r w:rsidR="006A3582">
              <w:rPr>
                <w:noProof/>
                <w:webHidden/>
              </w:rPr>
              <w:fldChar w:fldCharType="begin"/>
            </w:r>
            <w:r w:rsidR="006A3582">
              <w:rPr>
                <w:noProof/>
                <w:webHidden/>
              </w:rPr>
              <w:instrText xml:space="preserve"> PAGEREF _Toc78463085 \h </w:instrText>
            </w:r>
            <w:r w:rsidR="006A3582">
              <w:rPr>
                <w:noProof/>
                <w:webHidden/>
              </w:rPr>
            </w:r>
            <w:r w:rsidR="006A3582">
              <w:rPr>
                <w:noProof/>
                <w:webHidden/>
              </w:rPr>
              <w:fldChar w:fldCharType="separate"/>
            </w:r>
            <w:r w:rsidR="00765D0C">
              <w:rPr>
                <w:noProof/>
                <w:webHidden/>
              </w:rPr>
              <w:t>6</w:t>
            </w:r>
            <w:r w:rsidR="006A3582">
              <w:rPr>
                <w:noProof/>
                <w:webHidden/>
              </w:rPr>
              <w:fldChar w:fldCharType="end"/>
            </w:r>
          </w:hyperlink>
        </w:p>
        <w:p w14:paraId="2B3F8B5D" w14:textId="3A9A3EC7" w:rsidR="006A3582" w:rsidRDefault="00FD6F68">
          <w:pPr>
            <w:pStyle w:val="TOC2"/>
            <w:tabs>
              <w:tab w:val="right" w:leader="dot" w:pos="9016"/>
            </w:tabs>
            <w:rPr>
              <w:noProof/>
              <w:lang w:eastAsia="en-AU"/>
            </w:rPr>
          </w:pPr>
          <w:hyperlink w:anchor="_Toc78463086" w:history="1">
            <w:r w:rsidR="006A3582" w:rsidRPr="00195ED7">
              <w:rPr>
                <w:rStyle w:val="Hyperlink"/>
                <w:noProof/>
              </w:rPr>
              <w:t>Expenses</w:t>
            </w:r>
            <w:r w:rsidR="006A3582">
              <w:rPr>
                <w:noProof/>
                <w:webHidden/>
              </w:rPr>
              <w:tab/>
            </w:r>
            <w:r w:rsidR="006A3582">
              <w:rPr>
                <w:noProof/>
                <w:webHidden/>
              </w:rPr>
              <w:fldChar w:fldCharType="begin"/>
            </w:r>
            <w:r w:rsidR="006A3582">
              <w:rPr>
                <w:noProof/>
                <w:webHidden/>
              </w:rPr>
              <w:instrText xml:space="preserve"> PAGEREF _Toc78463086 \h </w:instrText>
            </w:r>
            <w:r w:rsidR="006A3582">
              <w:rPr>
                <w:noProof/>
                <w:webHidden/>
              </w:rPr>
            </w:r>
            <w:r w:rsidR="006A3582">
              <w:rPr>
                <w:noProof/>
                <w:webHidden/>
              </w:rPr>
              <w:fldChar w:fldCharType="separate"/>
            </w:r>
            <w:r w:rsidR="00765D0C">
              <w:rPr>
                <w:noProof/>
                <w:webHidden/>
              </w:rPr>
              <w:t>9</w:t>
            </w:r>
            <w:r w:rsidR="006A3582">
              <w:rPr>
                <w:noProof/>
                <w:webHidden/>
              </w:rPr>
              <w:fldChar w:fldCharType="end"/>
            </w:r>
          </w:hyperlink>
        </w:p>
        <w:p w14:paraId="3FD24361" w14:textId="7399586B" w:rsidR="006A3582" w:rsidRDefault="00FD6F68">
          <w:pPr>
            <w:pStyle w:val="TOC1"/>
            <w:tabs>
              <w:tab w:val="right" w:leader="dot" w:pos="9016"/>
            </w:tabs>
            <w:rPr>
              <w:noProof/>
              <w:lang w:eastAsia="en-AU"/>
            </w:rPr>
          </w:pPr>
          <w:hyperlink w:anchor="_Toc78463087" w:history="1">
            <w:r w:rsidR="006A3582" w:rsidRPr="00195ED7">
              <w:rPr>
                <w:rStyle w:val="Hyperlink"/>
                <w:noProof/>
              </w:rPr>
              <w:t>Financial Position</w:t>
            </w:r>
            <w:r w:rsidR="006A3582">
              <w:rPr>
                <w:noProof/>
                <w:webHidden/>
              </w:rPr>
              <w:tab/>
            </w:r>
            <w:r w:rsidR="006A3582">
              <w:rPr>
                <w:noProof/>
                <w:webHidden/>
              </w:rPr>
              <w:fldChar w:fldCharType="begin"/>
            </w:r>
            <w:r w:rsidR="006A3582">
              <w:rPr>
                <w:noProof/>
                <w:webHidden/>
              </w:rPr>
              <w:instrText xml:space="preserve"> PAGEREF _Toc78463087 \h </w:instrText>
            </w:r>
            <w:r w:rsidR="006A3582">
              <w:rPr>
                <w:noProof/>
                <w:webHidden/>
              </w:rPr>
            </w:r>
            <w:r w:rsidR="006A3582">
              <w:rPr>
                <w:noProof/>
                <w:webHidden/>
              </w:rPr>
              <w:fldChar w:fldCharType="separate"/>
            </w:r>
            <w:r w:rsidR="00765D0C">
              <w:rPr>
                <w:noProof/>
                <w:webHidden/>
              </w:rPr>
              <w:t>12</w:t>
            </w:r>
            <w:r w:rsidR="006A3582">
              <w:rPr>
                <w:noProof/>
                <w:webHidden/>
              </w:rPr>
              <w:fldChar w:fldCharType="end"/>
            </w:r>
          </w:hyperlink>
        </w:p>
        <w:p w14:paraId="006FBCDB" w14:textId="633F1F71" w:rsidR="006A3582" w:rsidRDefault="00FD6F68">
          <w:pPr>
            <w:pStyle w:val="TOC2"/>
            <w:tabs>
              <w:tab w:val="right" w:leader="dot" w:pos="9016"/>
            </w:tabs>
            <w:rPr>
              <w:noProof/>
              <w:lang w:eastAsia="en-AU"/>
            </w:rPr>
          </w:pPr>
          <w:hyperlink w:anchor="_Toc78463088" w:history="1">
            <w:r w:rsidR="006A3582" w:rsidRPr="00195ED7">
              <w:rPr>
                <w:rStyle w:val="Hyperlink"/>
                <w:noProof/>
              </w:rPr>
              <w:t>Assets</w:t>
            </w:r>
            <w:r w:rsidR="006A3582">
              <w:rPr>
                <w:noProof/>
                <w:webHidden/>
              </w:rPr>
              <w:tab/>
            </w:r>
            <w:r w:rsidR="006A3582">
              <w:rPr>
                <w:noProof/>
                <w:webHidden/>
              </w:rPr>
              <w:fldChar w:fldCharType="begin"/>
            </w:r>
            <w:r w:rsidR="006A3582">
              <w:rPr>
                <w:noProof/>
                <w:webHidden/>
              </w:rPr>
              <w:instrText xml:space="preserve"> PAGEREF _Toc78463088 \h </w:instrText>
            </w:r>
            <w:r w:rsidR="006A3582">
              <w:rPr>
                <w:noProof/>
                <w:webHidden/>
              </w:rPr>
            </w:r>
            <w:r w:rsidR="006A3582">
              <w:rPr>
                <w:noProof/>
                <w:webHidden/>
              </w:rPr>
              <w:fldChar w:fldCharType="separate"/>
            </w:r>
            <w:r w:rsidR="00765D0C">
              <w:rPr>
                <w:noProof/>
                <w:webHidden/>
              </w:rPr>
              <w:t>12</w:t>
            </w:r>
            <w:r w:rsidR="006A3582">
              <w:rPr>
                <w:noProof/>
                <w:webHidden/>
              </w:rPr>
              <w:fldChar w:fldCharType="end"/>
            </w:r>
          </w:hyperlink>
        </w:p>
        <w:p w14:paraId="59ACBE27" w14:textId="0D83DD8E" w:rsidR="006A3582" w:rsidRDefault="00FD6F68">
          <w:pPr>
            <w:pStyle w:val="TOC2"/>
            <w:tabs>
              <w:tab w:val="right" w:leader="dot" w:pos="9016"/>
            </w:tabs>
            <w:rPr>
              <w:noProof/>
              <w:lang w:eastAsia="en-AU"/>
            </w:rPr>
          </w:pPr>
          <w:hyperlink w:anchor="_Toc78463089" w:history="1">
            <w:r w:rsidR="006A3582" w:rsidRPr="00195ED7">
              <w:rPr>
                <w:rStyle w:val="Hyperlink"/>
                <w:noProof/>
              </w:rPr>
              <w:t>Cash and investment reserves</w:t>
            </w:r>
            <w:r w:rsidR="006A3582">
              <w:rPr>
                <w:noProof/>
                <w:webHidden/>
              </w:rPr>
              <w:tab/>
            </w:r>
            <w:r w:rsidR="006A3582">
              <w:rPr>
                <w:noProof/>
                <w:webHidden/>
              </w:rPr>
              <w:fldChar w:fldCharType="begin"/>
            </w:r>
            <w:r w:rsidR="006A3582">
              <w:rPr>
                <w:noProof/>
                <w:webHidden/>
              </w:rPr>
              <w:instrText xml:space="preserve"> PAGEREF _Toc78463089 \h </w:instrText>
            </w:r>
            <w:r w:rsidR="006A3582">
              <w:rPr>
                <w:noProof/>
                <w:webHidden/>
              </w:rPr>
            </w:r>
            <w:r w:rsidR="006A3582">
              <w:rPr>
                <w:noProof/>
                <w:webHidden/>
              </w:rPr>
              <w:fldChar w:fldCharType="separate"/>
            </w:r>
            <w:r w:rsidR="00765D0C">
              <w:rPr>
                <w:noProof/>
                <w:webHidden/>
              </w:rPr>
              <w:t>12</w:t>
            </w:r>
            <w:r w:rsidR="006A3582">
              <w:rPr>
                <w:noProof/>
                <w:webHidden/>
              </w:rPr>
              <w:fldChar w:fldCharType="end"/>
            </w:r>
          </w:hyperlink>
        </w:p>
        <w:p w14:paraId="5307B888" w14:textId="5E6BA82D" w:rsidR="006A3582" w:rsidRDefault="00FD6F68">
          <w:pPr>
            <w:pStyle w:val="TOC2"/>
            <w:tabs>
              <w:tab w:val="right" w:leader="dot" w:pos="9016"/>
            </w:tabs>
            <w:rPr>
              <w:noProof/>
              <w:lang w:eastAsia="en-AU"/>
            </w:rPr>
          </w:pPr>
          <w:hyperlink w:anchor="_Toc78463090" w:history="1">
            <w:r w:rsidR="006A3582" w:rsidRPr="00195ED7">
              <w:rPr>
                <w:rStyle w:val="Hyperlink"/>
                <w:noProof/>
              </w:rPr>
              <w:t>Liabilities</w:t>
            </w:r>
            <w:r w:rsidR="006A3582">
              <w:rPr>
                <w:noProof/>
                <w:webHidden/>
              </w:rPr>
              <w:tab/>
            </w:r>
            <w:r w:rsidR="006A3582">
              <w:rPr>
                <w:noProof/>
                <w:webHidden/>
              </w:rPr>
              <w:fldChar w:fldCharType="begin"/>
            </w:r>
            <w:r w:rsidR="006A3582">
              <w:rPr>
                <w:noProof/>
                <w:webHidden/>
              </w:rPr>
              <w:instrText xml:space="preserve"> PAGEREF _Toc78463090 \h </w:instrText>
            </w:r>
            <w:r w:rsidR="006A3582">
              <w:rPr>
                <w:noProof/>
                <w:webHidden/>
              </w:rPr>
            </w:r>
            <w:r w:rsidR="006A3582">
              <w:rPr>
                <w:noProof/>
                <w:webHidden/>
              </w:rPr>
              <w:fldChar w:fldCharType="separate"/>
            </w:r>
            <w:r w:rsidR="00765D0C">
              <w:rPr>
                <w:noProof/>
                <w:webHidden/>
              </w:rPr>
              <w:t>13</w:t>
            </w:r>
            <w:r w:rsidR="006A3582">
              <w:rPr>
                <w:noProof/>
                <w:webHidden/>
              </w:rPr>
              <w:fldChar w:fldCharType="end"/>
            </w:r>
          </w:hyperlink>
        </w:p>
        <w:p w14:paraId="6B69BD1D" w14:textId="6A3F20F4" w:rsidR="00650512" w:rsidRDefault="00650512">
          <w:r>
            <w:rPr>
              <w:b/>
              <w:bCs/>
              <w:noProof/>
            </w:rPr>
            <w:fldChar w:fldCharType="end"/>
          </w:r>
        </w:p>
      </w:sdtContent>
    </w:sdt>
    <w:p w14:paraId="77AA03E3" w14:textId="77777777" w:rsidR="00650512" w:rsidRDefault="00650512">
      <w:pPr>
        <w:rPr>
          <w:rFonts w:ascii="Calibri" w:eastAsiaTheme="majorEastAsia" w:hAnsi="Calibri" w:cstheme="majorBidi"/>
          <w:b/>
          <w:bCs/>
          <w:color w:val="3D1D48" w:themeColor="accent4" w:themeShade="BF"/>
          <w:sz w:val="36"/>
          <w:szCs w:val="28"/>
        </w:rPr>
      </w:pPr>
      <w:r>
        <w:br w:type="page"/>
      </w:r>
    </w:p>
    <w:p w14:paraId="391E4986" w14:textId="507A1CA7" w:rsidR="00A751A4" w:rsidRDefault="00F77AA5" w:rsidP="00A751A4">
      <w:pPr>
        <w:pStyle w:val="Heading1"/>
      </w:pPr>
      <w:bookmarkStart w:id="1" w:name="_Toc78463082"/>
      <w:r>
        <w:lastRenderedPageBreak/>
        <w:t xml:space="preserve">Financial </w:t>
      </w:r>
      <w:r w:rsidR="00F44065">
        <w:t>P</w:t>
      </w:r>
      <w:r>
        <w:t>erformance</w:t>
      </w:r>
      <w:bookmarkEnd w:id="0"/>
      <w:r w:rsidR="00F44065">
        <w:t xml:space="preserve"> Summary</w:t>
      </w:r>
      <w:bookmarkEnd w:id="1"/>
    </w:p>
    <w:p w14:paraId="7EAF436F" w14:textId="33BCD60C" w:rsidR="00D5411D" w:rsidRPr="003A7CB6" w:rsidRDefault="00952F51" w:rsidP="00A61493">
      <w:pPr>
        <w:pStyle w:val="ListParagraph"/>
        <w:numPr>
          <w:ilvl w:val="0"/>
          <w:numId w:val="22"/>
        </w:numPr>
      </w:pPr>
      <w:r w:rsidRPr="003A7CB6">
        <w:t>The net operating result across the sector was a surplus of $</w:t>
      </w:r>
      <w:r w:rsidR="00A401C7">
        <w:t>668.8</w:t>
      </w:r>
      <w:r w:rsidR="002D797A">
        <w:t xml:space="preserve"> m</w:t>
      </w:r>
      <w:r w:rsidR="00A720A5" w:rsidRPr="003A7CB6">
        <w:t>illion</w:t>
      </w:r>
      <w:r w:rsidRPr="003A7CB6">
        <w:t xml:space="preserve">, </w:t>
      </w:r>
      <w:r w:rsidR="002D797A">
        <w:t xml:space="preserve">down </w:t>
      </w:r>
      <w:r w:rsidRPr="003A7CB6">
        <w:t>from a surplus of $</w:t>
      </w:r>
      <w:r w:rsidR="002D797A">
        <w:t>2.3</w:t>
      </w:r>
      <w:r w:rsidRPr="003A7CB6">
        <w:t xml:space="preserve"> </w:t>
      </w:r>
      <w:r w:rsidR="00A720A5" w:rsidRPr="003A7CB6">
        <w:t>billion</w:t>
      </w:r>
      <w:r w:rsidRPr="003A7CB6">
        <w:t xml:space="preserve"> in </w:t>
      </w:r>
      <w:r w:rsidR="00F67E41">
        <w:t>2019</w:t>
      </w:r>
      <w:r w:rsidRPr="003A7CB6">
        <w:t xml:space="preserve">.  </w:t>
      </w:r>
    </w:p>
    <w:p w14:paraId="7485635B" w14:textId="08EEE8D0" w:rsidR="00D5411D" w:rsidRPr="003A7CB6" w:rsidRDefault="002D797A" w:rsidP="00A61493">
      <w:pPr>
        <w:pStyle w:val="ListParagraph"/>
        <w:numPr>
          <w:ilvl w:val="0"/>
          <w:numId w:val="22"/>
        </w:numPr>
      </w:pPr>
      <w:r>
        <w:t>23</w:t>
      </w:r>
      <w:r w:rsidR="00A768BA" w:rsidRPr="003A7CB6">
        <w:t xml:space="preserve"> universities recorded a net </w:t>
      </w:r>
      <w:r w:rsidR="00A562D7">
        <w:t xml:space="preserve">operating </w:t>
      </w:r>
      <w:r w:rsidR="00A768BA" w:rsidRPr="003A7CB6">
        <w:t xml:space="preserve">surplus and </w:t>
      </w:r>
      <w:r>
        <w:t>sixteen</w:t>
      </w:r>
      <w:r w:rsidR="00235D13" w:rsidRPr="003A7CB6">
        <w:t xml:space="preserve"> </w:t>
      </w:r>
      <w:r w:rsidR="00D5411D" w:rsidRPr="003A7CB6">
        <w:t xml:space="preserve">reported </w:t>
      </w:r>
      <w:r w:rsidR="00235D13" w:rsidRPr="003A7CB6">
        <w:t xml:space="preserve">a net operating </w:t>
      </w:r>
      <w:r w:rsidR="00A562D7">
        <w:t>deficit</w:t>
      </w:r>
      <w:r w:rsidR="00235D13" w:rsidRPr="003A7CB6">
        <w:t xml:space="preserve">.  </w:t>
      </w:r>
    </w:p>
    <w:p w14:paraId="391DC428" w14:textId="77777777" w:rsidR="0019213F" w:rsidRDefault="00F77AA5" w:rsidP="00A47D13">
      <w:pPr>
        <w:pStyle w:val="ListParagraph"/>
        <w:numPr>
          <w:ilvl w:val="0"/>
          <w:numId w:val="22"/>
        </w:numPr>
      </w:pPr>
      <w:r w:rsidRPr="003A7CB6">
        <w:t>The average net</w:t>
      </w:r>
      <w:r w:rsidRPr="00C502EC">
        <w:t xml:space="preserve"> operating margin across the university sector for </w:t>
      </w:r>
      <w:r w:rsidR="00F67E41">
        <w:t>2020</w:t>
      </w:r>
      <w:r w:rsidRPr="00C502EC">
        <w:t xml:space="preserve"> was </w:t>
      </w:r>
      <w:r w:rsidR="002D797A">
        <w:t>1.9</w:t>
      </w:r>
      <w:r w:rsidRPr="00C502EC">
        <w:t xml:space="preserve"> </w:t>
      </w:r>
      <w:r w:rsidR="00E43BD8">
        <w:t>per cent</w:t>
      </w:r>
      <w:r w:rsidRPr="00C502EC">
        <w:t xml:space="preserve">, </w:t>
      </w:r>
      <w:r w:rsidR="002D797A">
        <w:t>down</w:t>
      </w:r>
      <w:r w:rsidR="008F131C" w:rsidRPr="00C502EC">
        <w:t xml:space="preserve"> from </w:t>
      </w:r>
      <w:r w:rsidR="002D797A">
        <w:t>6.2</w:t>
      </w:r>
      <w:r w:rsidRPr="00C502EC">
        <w:t xml:space="preserve"> </w:t>
      </w:r>
      <w:r w:rsidR="00E43BD8">
        <w:t>per cent</w:t>
      </w:r>
      <w:r w:rsidRPr="00C502EC">
        <w:t xml:space="preserve"> in </w:t>
      </w:r>
      <w:r w:rsidR="00F67E41">
        <w:t>2019</w:t>
      </w:r>
      <w:r w:rsidRPr="00C502EC">
        <w:t xml:space="preserve">. </w:t>
      </w:r>
    </w:p>
    <w:p w14:paraId="09018B55" w14:textId="728B3DC0" w:rsidR="00F77AA5" w:rsidRPr="003A7CB6" w:rsidRDefault="00F77AA5" w:rsidP="00A47D13">
      <w:pPr>
        <w:pStyle w:val="ListParagraph"/>
        <w:numPr>
          <w:ilvl w:val="0"/>
          <w:numId w:val="22"/>
        </w:numPr>
      </w:pPr>
      <w:r w:rsidRPr="00C502EC">
        <w:t xml:space="preserve">The highest net operating margin </w:t>
      </w:r>
      <w:r w:rsidR="00385519">
        <w:t xml:space="preserve">reported across the sector </w:t>
      </w:r>
      <w:r w:rsidRPr="00C502EC">
        <w:t xml:space="preserve">was </w:t>
      </w:r>
      <w:r w:rsidR="0019213F">
        <w:t xml:space="preserve">a surplus of </w:t>
      </w:r>
      <w:r w:rsidR="002D797A">
        <w:t>13.9</w:t>
      </w:r>
      <w:r w:rsidRPr="00C502EC">
        <w:t xml:space="preserve"> </w:t>
      </w:r>
      <w:r w:rsidR="00E43BD8">
        <w:t>per cent</w:t>
      </w:r>
      <w:r w:rsidRPr="00C502EC">
        <w:t xml:space="preserve"> </w:t>
      </w:r>
      <w:r w:rsidR="0019213F">
        <w:t>and t</w:t>
      </w:r>
      <w:r w:rsidRPr="00C502EC">
        <w:t xml:space="preserve">he lowest was </w:t>
      </w:r>
      <w:r w:rsidR="008F131C" w:rsidRPr="00C502EC">
        <w:t>a</w:t>
      </w:r>
      <w:r w:rsidR="0019213F">
        <w:t xml:space="preserve"> deficit of </w:t>
      </w:r>
      <w:r w:rsidR="0014481F">
        <w:t>8.</w:t>
      </w:r>
      <w:r w:rsidR="002D797A">
        <w:t>5</w:t>
      </w:r>
      <w:r w:rsidRPr="00C502EC">
        <w:t xml:space="preserve"> </w:t>
      </w:r>
      <w:r w:rsidR="00E43BD8">
        <w:t>per cent</w:t>
      </w:r>
      <w:r w:rsidRPr="003A7CB6">
        <w:t xml:space="preserve">. </w:t>
      </w:r>
    </w:p>
    <w:p w14:paraId="47B1D778" w14:textId="54F94AEA" w:rsidR="00D5411D" w:rsidRPr="003A7CB6" w:rsidRDefault="002A6826" w:rsidP="00A61493">
      <w:pPr>
        <w:pStyle w:val="ListParagraph"/>
        <w:numPr>
          <w:ilvl w:val="0"/>
          <w:numId w:val="22"/>
        </w:numPr>
      </w:pPr>
      <w:r w:rsidRPr="003A7CB6">
        <w:t>Overall r</w:t>
      </w:r>
      <w:r w:rsidR="00837733" w:rsidRPr="003A7CB6">
        <w:t xml:space="preserve">evenue </w:t>
      </w:r>
      <w:r w:rsidR="00183EB6">
        <w:t>de</w:t>
      </w:r>
      <w:r w:rsidR="00837733" w:rsidRPr="003A7CB6">
        <w:t xml:space="preserve">creased by </w:t>
      </w:r>
      <w:r w:rsidR="00183EB6">
        <w:t>5.</w:t>
      </w:r>
      <w:r w:rsidR="00541059">
        <w:t>1</w:t>
      </w:r>
      <w:r w:rsidR="003828F0" w:rsidRPr="003A7CB6">
        <w:t xml:space="preserve"> </w:t>
      </w:r>
      <w:r w:rsidR="00E43BD8">
        <w:t>per cent</w:t>
      </w:r>
      <w:r w:rsidR="00A720A5" w:rsidRPr="003A7CB6">
        <w:t xml:space="preserve"> to $3</w:t>
      </w:r>
      <w:r w:rsidR="00183EB6">
        <w:t>4.</w:t>
      </w:r>
      <w:r w:rsidR="00A401C7">
        <w:t>7</w:t>
      </w:r>
      <w:r w:rsidR="00A401C7" w:rsidRPr="003A7CB6">
        <w:t xml:space="preserve"> </w:t>
      </w:r>
      <w:r w:rsidR="00A720A5" w:rsidRPr="003A7CB6">
        <w:t>billion</w:t>
      </w:r>
      <w:r w:rsidR="00837733" w:rsidRPr="003A7CB6">
        <w:t xml:space="preserve"> in </w:t>
      </w:r>
      <w:r w:rsidR="00F67E41">
        <w:t>2020</w:t>
      </w:r>
      <w:r w:rsidR="00837733" w:rsidRPr="003A7CB6">
        <w:t xml:space="preserve">.  </w:t>
      </w:r>
    </w:p>
    <w:p w14:paraId="3723778E" w14:textId="1174F518" w:rsidR="00D5411D" w:rsidRPr="003A7CB6" w:rsidRDefault="007E07EB" w:rsidP="00155818">
      <w:pPr>
        <w:pStyle w:val="ListParagraph"/>
        <w:numPr>
          <w:ilvl w:val="0"/>
          <w:numId w:val="22"/>
        </w:numPr>
      </w:pPr>
      <w:r w:rsidRPr="003A7CB6">
        <w:t xml:space="preserve">Expenses </w:t>
      </w:r>
      <w:r w:rsidR="00183EB6">
        <w:t>declined</w:t>
      </w:r>
      <w:r w:rsidRPr="003A7CB6">
        <w:t xml:space="preserve"> </w:t>
      </w:r>
      <w:r w:rsidR="00837733" w:rsidRPr="003A7CB6">
        <w:t xml:space="preserve">by </w:t>
      </w:r>
      <w:r w:rsidR="00183EB6">
        <w:t>0.</w:t>
      </w:r>
      <w:r w:rsidR="00A401C7">
        <w:t>7</w:t>
      </w:r>
      <w:r w:rsidR="00A401C7" w:rsidRPr="003A7CB6">
        <w:t xml:space="preserve"> </w:t>
      </w:r>
      <w:r w:rsidR="00E43BD8">
        <w:t>per cent</w:t>
      </w:r>
      <w:r w:rsidR="00837733" w:rsidRPr="003A7CB6">
        <w:t xml:space="preserve"> to $</w:t>
      </w:r>
      <w:r w:rsidR="00A401C7">
        <w:t>34.0</w:t>
      </w:r>
      <w:r w:rsidR="00837733" w:rsidRPr="003A7CB6">
        <w:t xml:space="preserve"> </w:t>
      </w:r>
      <w:r w:rsidR="00A720A5" w:rsidRPr="003A7CB6">
        <w:t>billion</w:t>
      </w:r>
      <w:r w:rsidR="00837733" w:rsidRPr="003A7CB6">
        <w:t xml:space="preserve"> in </w:t>
      </w:r>
      <w:r w:rsidR="00F67E41">
        <w:t>2020</w:t>
      </w:r>
      <w:r w:rsidR="00837733" w:rsidRPr="003A7CB6">
        <w:t>.  The largest expense for universities was employee benefits</w:t>
      </w:r>
      <w:r w:rsidR="00F44065">
        <w:t>,</w:t>
      </w:r>
      <w:r w:rsidR="00837733" w:rsidRPr="003A7CB6">
        <w:t xml:space="preserve"> totalling $</w:t>
      </w:r>
      <w:r w:rsidR="00183EB6">
        <w:t>20.1</w:t>
      </w:r>
      <w:r w:rsidR="00837733" w:rsidRPr="003A7CB6">
        <w:t xml:space="preserve"> </w:t>
      </w:r>
      <w:r w:rsidR="00A720A5" w:rsidRPr="003A7CB6">
        <w:t>billion</w:t>
      </w:r>
      <w:r w:rsidR="00837733" w:rsidRPr="003A7CB6">
        <w:t xml:space="preserve"> in </w:t>
      </w:r>
      <w:r w:rsidR="00F67E41">
        <w:t>2020</w:t>
      </w:r>
      <w:r w:rsidR="00837733" w:rsidRPr="003A7CB6">
        <w:t>.</w:t>
      </w:r>
      <w:r w:rsidR="00183EB6">
        <w:t xml:space="preserve"> This increased by 5.</w:t>
      </w:r>
      <w:r w:rsidR="00A401C7">
        <w:t xml:space="preserve">2 </w:t>
      </w:r>
      <w:r w:rsidR="00183EB6">
        <w:t>per cent, up from $19.2 billion in 2019, partly due to separation costs incurred by some universities.</w:t>
      </w:r>
    </w:p>
    <w:p w14:paraId="5A5BD424" w14:textId="34CC3F87" w:rsidR="00D5411D" w:rsidRPr="00BC55C5" w:rsidRDefault="004B1B8A" w:rsidP="00155818">
      <w:pPr>
        <w:pStyle w:val="ListParagraph"/>
        <w:numPr>
          <w:ilvl w:val="0"/>
          <w:numId w:val="22"/>
        </w:numPr>
      </w:pPr>
      <w:r w:rsidRPr="003A7CB6">
        <w:t>The n</w:t>
      </w:r>
      <w:r w:rsidR="00D42A50" w:rsidRPr="003A7CB6">
        <w:t xml:space="preserve">et </w:t>
      </w:r>
      <w:r w:rsidRPr="003A7CB6">
        <w:t>a</w:t>
      </w:r>
      <w:r w:rsidR="00D42A50" w:rsidRPr="003A7CB6">
        <w:t>ssets of universities increased</w:t>
      </w:r>
      <w:r w:rsidR="000D6C9A" w:rsidRPr="003A7CB6">
        <w:t xml:space="preserve"> by </w:t>
      </w:r>
      <w:r w:rsidR="00183EB6" w:rsidRPr="00BC55C5">
        <w:t>1.9</w:t>
      </w:r>
      <w:r w:rsidR="000D6C9A" w:rsidRPr="00BC55C5">
        <w:t xml:space="preserve"> </w:t>
      </w:r>
      <w:r w:rsidR="00E43BD8">
        <w:t>per cent</w:t>
      </w:r>
      <w:r w:rsidR="000D6C9A" w:rsidRPr="00BC55C5">
        <w:t xml:space="preserve"> to $</w:t>
      </w:r>
      <w:r w:rsidR="003A7CB6" w:rsidRPr="00BC55C5">
        <w:t>6</w:t>
      </w:r>
      <w:r w:rsidR="00183EB6" w:rsidRPr="00BC55C5">
        <w:t>2.7</w:t>
      </w:r>
      <w:r w:rsidR="000D6C9A" w:rsidRPr="00BC55C5">
        <w:t xml:space="preserve"> </w:t>
      </w:r>
      <w:r w:rsidR="00A720A5" w:rsidRPr="00BC55C5">
        <w:t>billion</w:t>
      </w:r>
      <w:r w:rsidR="000D6C9A" w:rsidRPr="00BC55C5">
        <w:t xml:space="preserve"> in </w:t>
      </w:r>
      <w:r w:rsidR="00F67E41" w:rsidRPr="00BC55C5">
        <w:t>20</w:t>
      </w:r>
      <w:r w:rsidR="00183EB6" w:rsidRPr="00BC55C5">
        <w:t>20</w:t>
      </w:r>
      <w:r w:rsidR="00374B85" w:rsidRPr="00BC55C5">
        <w:t xml:space="preserve">.  </w:t>
      </w:r>
    </w:p>
    <w:p w14:paraId="3A9371C5" w14:textId="1AC15C2E" w:rsidR="00D13806" w:rsidRPr="00BC55C5" w:rsidRDefault="00E20004" w:rsidP="00952F51">
      <w:pPr>
        <w:pStyle w:val="ListParagraph"/>
        <w:numPr>
          <w:ilvl w:val="0"/>
          <w:numId w:val="22"/>
        </w:numPr>
      </w:pPr>
      <w:r w:rsidRPr="00BC55C5">
        <w:t>University c</w:t>
      </w:r>
      <w:r w:rsidR="00982A9C" w:rsidRPr="00BC55C5">
        <w:t xml:space="preserve">ash and </w:t>
      </w:r>
      <w:r w:rsidR="004B1B8A" w:rsidRPr="00BC55C5">
        <w:t>i</w:t>
      </w:r>
      <w:r w:rsidR="00982A9C" w:rsidRPr="00BC55C5">
        <w:t>nvestments now stand at $2</w:t>
      </w:r>
      <w:r w:rsidR="00183EB6" w:rsidRPr="00BC55C5">
        <w:t>4.</w:t>
      </w:r>
      <w:r w:rsidR="00A401C7">
        <w:t>6</w:t>
      </w:r>
      <w:r w:rsidR="00A401C7" w:rsidRPr="00BC55C5">
        <w:t xml:space="preserve"> </w:t>
      </w:r>
      <w:r w:rsidR="00A720A5" w:rsidRPr="00BC55C5">
        <w:t>billion</w:t>
      </w:r>
      <w:r w:rsidR="00155818" w:rsidRPr="00BC55C5">
        <w:t>,</w:t>
      </w:r>
      <w:r w:rsidR="004B1B8A" w:rsidRPr="00BC55C5">
        <w:t xml:space="preserve"> increasing by </w:t>
      </w:r>
      <w:r w:rsidR="00A401C7">
        <w:t>9.8</w:t>
      </w:r>
      <w:r w:rsidR="003C5ECD">
        <w:t xml:space="preserve"> </w:t>
      </w:r>
      <w:r w:rsidR="00E43BD8">
        <w:t>per cent</w:t>
      </w:r>
      <w:r w:rsidR="004B1B8A" w:rsidRPr="00BC55C5">
        <w:t xml:space="preserve"> since </w:t>
      </w:r>
      <w:r w:rsidR="00F67E41" w:rsidRPr="00BC55C5">
        <w:t>2019</w:t>
      </w:r>
      <w:r w:rsidR="004B1B8A" w:rsidRPr="00BC55C5">
        <w:t xml:space="preserve">.  </w:t>
      </w:r>
      <w:bookmarkStart w:id="2" w:name="_Toc26884135"/>
    </w:p>
    <w:bookmarkEnd w:id="2"/>
    <w:p w14:paraId="625FF747" w14:textId="0868227B" w:rsidR="00C26DBA" w:rsidRPr="00BC55C5" w:rsidRDefault="00C26DBA" w:rsidP="00D13806">
      <w:pPr>
        <w:rPr>
          <w:color w:val="FF0000"/>
        </w:rPr>
      </w:pPr>
      <w:r w:rsidRPr="00F16FF3">
        <w:rPr>
          <w:rStyle w:val="Strong"/>
        </w:rPr>
        <w:t xml:space="preserve">Figure 1: </w:t>
      </w:r>
      <w:r w:rsidR="00F67E41" w:rsidRPr="00F16FF3">
        <w:rPr>
          <w:rStyle w:val="Strong"/>
        </w:rPr>
        <w:t>2020</w:t>
      </w:r>
      <w:r w:rsidRPr="00F16FF3">
        <w:rPr>
          <w:rStyle w:val="Strong"/>
        </w:rPr>
        <w:t xml:space="preserve"> Net Operating Margin across the university sector</w:t>
      </w:r>
      <w:r w:rsidR="00BC55C5" w:rsidRPr="00F16FF3">
        <w:rPr>
          <w:rStyle w:val="Strong"/>
        </w:rPr>
        <w:t xml:space="preserve"> </w:t>
      </w:r>
    </w:p>
    <w:p w14:paraId="7D66FAAE" w14:textId="4D20AC99" w:rsidR="00C26DBA" w:rsidRPr="00D13806" w:rsidRDefault="005C4321" w:rsidP="00D13806">
      <w:pPr>
        <w:rPr>
          <w:color w:val="FF0000"/>
        </w:rPr>
      </w:pPr>
      <w:r>
        <w:rPr>
          <w:noProof/>
        </w:rPr>
        <w:drawing>
          <wp:inline distT="0" distB="0" distL="0" distR="0" wp14:anchorId="798A5879" wp14:editId="4A74F6EA">
            <wp:extent cx="5731510" cy="3188970"/>
            <wp:effectExtent l="0" t="0" r="2540" b="11430"/>
            <wp:docPr id="4" name="Chart 4">
              <a:extLst xmlns:a="http://schemas.openxmlformats.org/drawingml/2006/main">
                <a:ext uri="{FF2B5EF4-FFF2-40B4-BE49-F238E27FC236}">
                  <a16:creationId xmlns:a16="http://schemas.microsoft.com/office/drawing/2014/main" id="{16A083D7-FAA0-4DE0-84B0-29DCAC1F28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814F15" w14:textId="77777777" w:rsidR="005F5E4D" w:rsidRDefault="005F5E4D">
      <w:pPr>
        <w:rPr>
          <w:rFonts w:ascii="Calibri" w:eastAsiaTheme="majorEastAsia" w:hAnsi="Calibri" w:cstheme="majorBidi"/>
          <w:b/>
          <w:bCs/>
          <w:color w:val="3D1D48" w:themeColor="accent4" w:themeShade="BF"/>
          <w:sz w:val="28"/>
          <w:szCs w:val="26"/>
        </w:rPr>
      </w:pPr>
      <w:bookmarkStart w:id="3" w:name="_Toc31182551"/>
      <w:r>
        <w:br w:type="page"/>
      </w:r>
    </w:p>
    <w:p w14:paraId="3A5DE4F1" w14:textId="27E9F4AD" w:rsidR="003A1A85" w:rsidRPr="00493192" w:rsidRDefault="003A1A85" w:rsidP="003A1A85">
      <w:pPr>
        <w:pStyle w:val="Heading2"/>
        <w:spacing w:after="120"/>
      </w:pPr>
      <w:bookmarkStart w:id="4" w:name="_Toc78463083"/>
      <w:r w:rsidRPr="00493192">
        <w:lastRenderedPageBreak/>
        <w:t>Impact of the COVID-19 Pandemic</w:t>
      </w:r>
      <w:bookmarkEnd w:id="4"/>
    </w:p>
    <w:p w14:paraId="7644853B" w14:textId="5A356922" w:rsidR="00967AD8" w:rsidRPr="00007FEC" w:rsidRDefault="00EB4D0D" w:rsidP="00967AD8">
      <w:pPr>
        <w:pStyle w:val="ListParagraph"/>
        <w:numPr>
          <w:ilvl w:val="0"/>
          <w:numId w:val="22"/>
        </w:numPr>
        <w:spacing w:after="120"/>
        <w:rPr>
          <w:rFonts w:cstheme="minorHAnsi"/>
        </w:rPr>
      </w:pPr>
      <w:r w:rsidRPr="00007FEC">
        <w:rPr>
          <w:rFonts w:cstheme="minorHAnsi"/>
        </w:rPr>
        <w:t>2020 f</w:t>
      </w:r>
      <w:r w:rsidR="002F2180" w:rsidRPr="00007FEC">
        <w:rPr>
          <w:rFonts w:cstheme="minorHAnsi"/>
        </w:rPr>
        <w:t xml:space="preserve">inancial results from across the sector </w:t>
      </w:r>
      <w:r w:rsidR="00967AD8" w:rsidRPr="00007FEC">
        <w:rPr>
          <w:rFonts w:cstheme="minorHAnsi"/>
        </w:rPr>
        <w:t xml:space="preserve">shows that the impact of the COVID-19 pandemic has been mixed. Some universities have reported </w:t>
      </w:r>
      <w:r w:rsidR="00A47D13">
        <w:rPr>
          <w:rFonts w:cstheme="minorHAnsi"/>
        </w:rPr>
        <w:t>positive</w:t>
      </w:r>
      <w:r w:rsidR="00967AD8" w:rsidRPr="00007FEC">
        <w:rPr>
          <w:rFonts w:cstheme="minorHAnsi"/>
        </w:rPr>
        <w:t xml:space="preserve"> results and in some cases an increase in revenue when compared to 2019, while others have report</w:t>
      </w:r>
      <w:r w:rsidR="00A47D13">
        <w:rPr>
          <w:rFonts w:cstheme="minorHAnsi"/>
        </w:rPr>
        <w:t>ed</w:t>
      </w:r>
      <w:r w:rsidR="00967AD8" w:rsidRPr="00007FEC">
        <w:rPr>
          <w:rFonts w:cstheme="minorHAnsi"/>
        </w:rPr>
        <w:t xml:space="preserve"> a decline in revenue and in some cases an overall net deficit.</w:t>
      </w:r>
    </w:p>
    <w:p w14:paraId="2179F403" w14:textId="77777777" w:rsidR="00541059" w:rsidRPr="00007FEC" w:rsidRDefault="00967AD8" w:rsidP="00967AD8">
      <w:pPr>
        <w:pStyle w:val="ListParagraph"/>
        <w:numPr>
          <w:ilvl w:val="0"/>
          <w:numId w:val="22"/>
        </w:numPr>
        <w:spacing w:after="120"/>
        <w:rPr>
          <w:rFonts w:cstheme="minorHAnsi"/>
        </w:rPr>
      </w:pPr>
      <w:r w:rsidRPr="00007FEC">
        <w:rPr>
          <w:rFonts w:cstheme="minorHAnsi"/>
        </w:rPr>
        <w:t xml:space="preserve">In general, 2020 outcomes across the sector were significantly better than was first anticipated </w:t>
      </w:r>
      <w:r w:rsidR="00541059" w:rsidRPr="00007FEC">
        <w:rPr>
          <w:rFonts w:cstheme="minorHAnsi"/>
        </w:rPr>
        <w:t>at the beginning of the pandemic</w:t>
      </w:r>
      <w:r w:rsidRPr="00007FEC">
        <w:rPr>
          <w:rFonts w:cstheme="minorHAnsi"/>
        </w:rPr>
        <w:t xml:space="preserve">. </w:t>
      </w:r>
    </w:p>
    <w:p w14:paraId="5B0D5D34" w14:textId="34CAFF05" w:rsidR="00967AD8" w:rsidRPr="00007FEC" w:rsidRDefault="00967AD8" w:rsidP="00541059">
      <w:pPr>
        <w:pStyle w:val="ListParagraph"/>
        <w:numPr>
          <w:ilvl w:val="0"/>
          <w:numId w:val="22"/>
        </w:numPr>
        <w:spacing w:after="120"/>
        <w:rPr>
          <w:rFonts w:cstheme="minorHAnsi"/>
        </w:rPr>
      </w:pPr>
      <w:r w:rsidRPr="00007FEC">
        <w:rPr>
          <w:rFonts w:cstheme="minorHAnsi"/>
        </w:rPr>
        <w:t xml:space="preserve">Media reports from mid-2020 projected an overall sector-wide </w:t>
      </w:r>
      <w:r w:rsidR="00B350F5">
        <w:rPr>
          <w:rFonts w:cstheme="minorHAnsi"/>
        </w:rPr>
        <w:t>revenue decline</w:t>
      </w:r>
      <w:r w:rsidRPr="00007FEC">
        <w:rPr>
          <w:rFonts w:cstheme="minorHAnsi"/>
        </w:rPr>
        <w:t xml:space="preserve"> of $4.8 billion for 2020</w:t>
      </w:r>
      <w:r w:rsidR="00541059" w:rsidRPr="00007FEC">
        <w:rPr>
          <w:rFonts w:cstheme="minorHAnsi"/>
        </w:rPr>
        <w:t>, however a</w:t>
      </w:r>
      <w:r w:rsidRPr="00007FEC">
        <w:rPr>
          <w:rFonts w:cstheme="minorHAnsi"/>
        </w:rPr>
        <w:t xml:space="preserve">ctual results show </w:t>
      </w:r>
      <w:r w:rsidR="00541059" w:rsidRPr="00007FEC">
        <w:rPr>
          <w:rFonts w:cstheme="minorHAnsi"/>
        </w:rPr>
        <w:t xml:space="preserve">a </w:t>
      </w:r>
      <w:r w:rsidR="00B350F5">
        <w:rPr>
          <w:rFonts w:cstheme="minorHAnsi"/>
        </w:rPr>
        <w:t>decrease</w:t>
      </w:r>
      <w:r w:rsidR="00541059" w:rsidRPr="00007FEC">
        <w:rPr>
          <w:rFonts w:cstheme="minorHAnsi"/>
        </w:rPr>
        <w:t xml:space="preserve"> of</w:t>
      </w:r>
      <w:r w:rsidRPr="00007FEC">
        <w:rPr>
          <w:rFonts w:cstheme="minorHAnsi"/>
        </w:rPr>
        <w:t xml:space="preserve"> $1.9 billion or 5.1 </w:t>
      </w:r>
      <w:r w:rsidR="00E43BD8">
        <w:rPr>
          <w:rFonts w:cstheme="minorHAnsi"/>
        </w:rPr>
        <w:t>per cent</w:t>
      </w:r>
      <w:r w:rsidRPr="00007FEC">
        <w:rPr>
          <w:rFonts w:cstheme="minorHAnsi"/>
        </w:rPr>
        <w:t xml:space="preserve"> from 2019. </w:t>
      </w:r>
    </w:p>
    <w:p w14:paraId="2ABD8688" w14:textId="6AA6402D" w:rsidR="00967AD8" w:rsidRPr="00007FEC" w:rsidRDefault="00541059" w:rsidP="00967AD8">
      <w:pPr>
        <w:pStyle w:val="ListParagraph"/>
        <w:numPr>
          <w:ilvl w:val="0"/>
          <w:numId w:val="22"/>
        </w:numPr>
        <w:spacing w:after="120"/>
        <w:rPr>
          <w:rFonts w:cstheme="minorHAnsi"/>
        </w:rPr>
      </w:pPr>
      <w:r w:rsidRPr="00007FEC">
        <w:rPr>
          <w:rFonts w:cstheme="minorHAnsi"/>
        </w:rPr>
        <w:t xml:space="preserve">A reduction in investment revenue was the </w:t>
      </w:r>
      <w:r w:rsidR="00967AD8" w:rsidRPr="00007FEC">
        <w:rPr>
          <w:rFonts w:cstheme="minorHAnsi"/>
        </w:rPr>
        <w:t>primary drive</w:t>
      </w:r>
      <w:r w:rsidRPr="00007FEC">
        <w:rPr>
          <w:rFonts w:cstheme="minorHAnsi"/>
        </w:rPr>
        <w:t>r of revenue decline across the sector, with t</w:t>
      </w:r>
      <w:r w:rsidR="00967AD8" w:rsidRPr="00007FEC">
        <w:rPr>
          <w:rFonts w:cstheme="minorHAnsi"/>
        </w:rPr>
        <w:t xml:space="preserve">otal investment </w:t>
      </w:r>
      <w:r w:rsidR="00BE71E9">
        <w:rPr>
          <w:rFonts w:cstheme="minorHAnsi"/>
        </w:rPr>
        <w:t>income</w:t>
      </w:r>
      <w:r w:rsidR="00967AD8" w:rsidRPr="00007FEC">
        <w:rPr>
          <w:rFonts w:cstheme="minorHAnsi"/>
        </w:rPr>
        <w:t xml:space="preserve"> of $927.4 million reported</w:t>
      </w:r>
      <w:r w:rsidR="00B428AF">
        <w:rPr>
          <w:rFonts w:cstheme="minorHAnsi"/>
        </w:rPr>
        <w:t xml:space="preserve"> in 2020</w:t>
      </w:r>
      <w:r w:rsidR="00967AD8" w:rsidRPr="00007FEC">
        <w:rPr>
          <w:rFonts w:cstheme="minorHAnsi"/>
        </w:rPr>
        <w:t>, down $1.3 billion or 57.7</w:t>
      </w:r>
      <w:r w:rsidR="00E43BD8">
        <w:rPr>
          <w:rFonts w:cstheme="minorHAnsi"/>
        </w:rPr>
        <w:t> </w:t>
      </w:r>
      <w:r w:rsidR="00967AD8" w:rsidRPr="00007FEC">
        <w:rPr>
          <w:rFonts w:cstheme="minorHAnsi"/>
        </w:rPr>
        <w:t>per</w:t>
      </w:r>
      <w:r w:rsidR="00B350F5">
        <w:rPr>
          <w:rFonts w:cstheme="minorHAnsi"/>
        </w:rPr>
        <w:t> </w:t>
      </w:r>
      <w:r w:rsidR="00967AD8" w:rsidRPr="00007FEC">
        <w:rPr>
          <w:rFonts w:cstheme="minorHAnsi"/>
        </w:rPr>
        <w:t>cent from 2019</w:t>
      </w:r>
      <w:r w:rsidRPr="00007FEC">
        <w:rPr>
          <w:rFonts w:cstheme="minorHAnsi"/>
        </w:rPr>
        <w:t>. This decrease was</w:t>
      </w:r>
      <w:r w:rsidR="00967AD8" w:rsidRPr="00007FEC">
        <w:rPr>
          <w:rFonts w:cstheme="minorHAnsi"/>
        </w:rPr>
        <w:t xml:space="preserve"> due to the weaker performance across global equity markets following exceptionally strong returns in 2019.</w:t>
      </w:r>
    </w:p>
    <w:p w14:paraId="43DEE5CC" w14:textId="277892F9" w:rsidR="00967AD8" w:rsidRPr="00007FEC" w:rsidRDefault="00967AD8" w:rsidP="00967AD8">
      <w:pPr>
        <w:pStyle w:val="ListParagraph"/>
        <w:numPr>
          <w:ilvl w:val="0"/>
          <w:numId w:val="22"/>
        </w:numPr>
        <w:spacing w:after="120"/>
        <w:rPr>
          <w:rFonts w:cstheme="minorHAnsi"/>
        </w:rPr>
      </w:pPr>
      <w:r w:rsidRPr="00007FEC">
        <w:rPr>
          <w:rFonts w:cstheme="minorHAnsi"/>
        </w:rPr>
        <w:t>International student fees were impacted to a lesser extent, with total revenue from international students of $9.2 billion, down $75</w:t>
      </w:r>
      <w:r w:rsidR="00441A76">
        <w:rPr>
          <w:rFonts w:cstheme="minorHAnsi"/>
        </w:rPr>
        <w:t>5.8</w:t>
      </w:r>
      <w:r w:rsidRPr="00007FEC">
        <w:rPr>
          <w:rFonts w:cstheme="minorHAnsi"/>
        </w:rPr>
        <w:t xml:space="preserve"> million or 7.6 </w:t>
      </w:r>
      <w:r w:rsidR="00E43BD8">
        <w:rPr>
          <w:rFonts w:cstheme="minorHAnsi"/>
        </w:rPr>
        <w:t>per cent</w:t>
      </w:r>
      <w:r w:rsidRPr="00007FEC">
        <w:rPr>
          <w:rFonts w:cstheme="minorHAnsi"/>
        </w:rPr>
        <w:t xml:space="preserve"> from 2019. </w:t>
      </w:r>
      <w:r w:rsidR="00FB446B" w:rsidRPr="00007FEC">
        <w:rPr>
          <w:rFonts w:cstheme="minorHAnsi"/>
        </w:rPr>
        <w:t xml:space="preserve">Universities are expected to report further declines in revenue from international student fees in 2021 as </w:t>
      </w:r>
      <w:r w:rsidR="00B428AF">
        <w:rPr>
          <w:rFonts w:cstheme="minorHAnsi"/>
        </w:rPr>
        <w:t xml:space="preserve">Australia’s </w:t>
      </w:r>
      <w:r w:rsidR="00FB446B" w:rsidRPr="00007FEC">
        <w:rPr>
          <w:rFonts w:cstheme="minorHAnsi"/>
        </w:rPr>
        <w:t>international borders remain closed to new arrivals.</w:t>
      </w:r>
    </w:p>
    <w:p w14:paraId="5922AD82" w14:textId="5B503851" w:rsidR="00967AD8" w:rsidRPr="00007FEC" w:rsidRDefault="003A27DE" w:rsidP="008B463E">
      <w:pPr>
        <w:pStyle w:val="ListParagraph"/>
        <w:numPr>
          <w:ilvl w:val="0"/>
          <w:numId w:val="22"/>
        </w:numPr>
        <w:spacing w:after="120"/>
        <w:rPr>
          <w:rFonts w:cstheme="minorHAnsi"/>
        </w:rPr>
      </w:pPr>
      <w:r w:rsidRPr="00007FEC">
        <w:rPr>
          <w:rFonts w:cstheme="minorHAnsi"/>
        </w:rPr>
        <w:t xml:space="preserve">Increases in </w:t>
      </w:r>
      <w:r w:rsidR="00967AD8" w:rsidRPr="00007FEC">
        <w:rPr>
          <w:rFonts w:cstheme="minorHAnsi"/>
        </w:rPr>
        <w:t xml:space="preserve">Australian Government financial assistance </w:t>
      </w:r>
      <w:r w:rsidRPr="00007FEC">
        <w:rPr>
          <w:rFonts w:cstheme="minorHAnsi"/>
        </w:rPr>
        <w:t xml:space="preserve">helped to offset the effects of border closures and reduced international student numbers, with total funding </w:t>
      </w:r>
      <w:r w:rsidR="00967AD8" w:rsidRPr="00007FEC">
        <w:rPr>
          <w:rFonts w:cstheme="minorHAnsi"/>
        </w:rPr>
        <w:t>increas</w:t>
      </w:r>
      <w:r w:rsidRPr="00007FEC">
        <w:rPr>
          <w:rFonts w:cstheme="minorHAnsi"/>
        </w:rPr>
        <w:t>ing to a record $18.2 billion in 2020, up</w:t>
      </w:r>
      <w:r w:rsidR="00967AD8" w:rsidRPr="00007FEC">
        <w:rPr>
          <w:rFonts w:cstheme="minorHAnsi"/>
        </w:rPr>
        <w:t xml:space="preserve"> $403.7 million or 2.3 </w:t>
      </w:r>
      <w:r w:rsidR="00E43BD8">
        <w:rPr>
          <w:rFonts w:cstheme="minorHAnsi"/>
        </w:rPr>
        <w:t>per cent</w:t>
      </w:r>
      <w:r w:rsidR="00967AD8" w:rsidRPr="00007FEC">
        <w:rPr>
          <w:rFonts w:cstheme="minorHAnsi"/>
        </w:rPr>
        <w:t xml:space="preserve"> </w:t>
      </w:r>
      <w:r w:rsidRPr="00007FEC">
        <w:rPr>
          <w:rFonts w:cstheme="minorHAnsi"/>
        </w:rPr>
        <w:t>from 2019.</w:t>
      </w:r>
      <w:r w:rsidR="00967AD8" w:rsidRPr="00007FEC">
        <w:rPr>
          <w:rFonts w:cstheme="minorHAnsi"/>
        </w:rPr>
        <w:t xml:space="preserve"> </w:t>
      </w:r>
    </w:p>
    <w:p w14:paraId="22672B5F" w14:textId="06F8E4A1" w:rsidR="00967AD8" w:rsidRPr="00007FEC" w:rsidRDefault="00EB4D0D" w:rsidP="008B463E">
      <w:pPr>
        <w:pStyle w:val="ListParagraph"/>
        <w:numPr>
          <w:ilvl w:val="0"/>
          <w:numId w:val="22"/>
        </w:numPr>
        <w:rPr>
          <w:rFonts w:cstheme="minorHAnsi"/>
        </w:rPr>
      </w:pPr>
      <w:r w:rsidRPr="00007FEC">
        <w:rPr>
          <w:rFonts w:cstheme="minorHAnsi"/>
        </w:rPr>
        <w:t xml:space="preserve">In response to the pandemic, most universities implemented cost containment measures to reduce discretionary expenditure and ensure </w:t>
      </w:r>
      <w:r w:rsidR="00493192" w:rsidRPr="00007FEC">
        <w:rPr>
          <w:rFonts w:cstheme="minorHAnsi"/>
        </w:rPr>
        <w:t>sufficient working capital to weather the effects of a reduction in revenue. This resulted in a decrease in t</w:t>
      </w:r>
      <w:r w:rsidR="00967AD8" w:rsidRPr="00007FEC">
        <w:rPr>
          <w:rFonts w:cstheme="minorHAnsi"/>
        </w:rPr>
        <w:t>otal operating expenses</w:t>
      </w:r>
      <w:r w:rsidR="00493192" w:rsidRPr="00007FEC">
        <w:rPr>
          <w:rFonts w:cstheme="minorHAnsi"/>
        </w:rPr>
        <w:t xml:space="preserve">, down </w:t>
      </w:r>
      <w:r w:rsidR="00967AD8" w:rsidRPr="00007FEC">
        <w:rPr>
          <w:rFonts w:cstheme="minorHAnsi"/>
        </w:rPr>
        <w:t>$255.</w:t>
      </w:r>
      <w:r w:rsidR="00441A76">
        <w:rPr>
          <w:rFonts w:cstheme="minorHAnsi"/>
        </w:rPr>
        <w:t>1</w:t>
      </w:r>
      <w:r w:rsidR="00B350F5">
        <w:rPr>
          <w:rFonts w:cstheme="minorHAnsi"/>
        </w:rPr>
        <w:t> </w:t>
      </w:r>
      <w:r w:rsidR="00967AD8" w:rsidRPr="00007FEC">
        <w:rPr>
          <w:rFonts w:cstheme="minorHAnsi"/>
        </w:rPr>
        <w:t xml:space="preserve">million or 0.7 </w:t>
      </w:r>
      <w:r w:rsidR="00E43BD8">
        <w:rPr>
          <w:rFonts w:cstheme="minorHAnsi"/>
        </w:rPr>
        <w:t>per cent</w:t>
      </w:r>
      <w:r w:rsidR="00967AD8" w:rsidRPr="00007FEC">
        <w:rPr>
          <w:rFonts w:cstheme="minorHAnsi"/>
        </w:rPr>
        <w:t xml:space="preserve"> to $34.0 billion in 2020.</w:t>
      </w:r>
    </w:p>
    <w:p w14:paraId="6AF79880" w14:textId="74FAF632" w:rsidR="00967AD8" w:rsidRPr="00007FEC" w:rsidRDefault="00967AD8" w:rsidP="00967AD8">
      <w:pPr>
        <w:pStyle w:val="ListParagraph"/>
        <w:numPr>
          <w:ilvl w:val="0"/>
          <w:numId w:val="22"/>
        </w:numPr>
        <w:rPr>
          <w:rFonts w:cstheme="minorHAnsi"/>
        </w:rPr>
      </w:pPr>
      <w:r w:rsidRPr="00007FEC">
        <w:rPr>
          <w:rFonts w:cstheme="minorHAnsi"/>
        </w:rPr>
        <w:t>Employee expenses continue to be the most significant cost for universities with a total of $20.1</w:t>
      </w:r>
      <w:r w:rsidR="00B350F5">
        <w:rPr>
          <w:rFonts w:cstheme="minorHAnsi"/>
        </w:rPr>
        <w:t> </w:t>
      </w:r>
      <w:r w:rsidRPr="00007FEC">
        <w:rPr>
          <w:rFonts w:cstheme="minorHAnsi"/>
        </w:rPr>
        <w:t>billion reported in 2020. This represents a substantial increase of $989.0 million or 5.2</w:t>
      </w:r>
      <w:r w:rsidR="00A315CA">
        <w:rPr>
          <w:rFonts w:cstheme="minorHAnsi"/>
        </w:rPr>
        <w:t> </w:t>
      </w:r>
      <w:r w:rsidR="00E43BD8">
        <w:rPr>
          <w:rFonts w:cstheme="minorHAnsi"/>
        </w:rPr>
        <w:t>per</w:t>
      </w:r>
      <w:r w:rsidR="00A315CA">
        <w:rPr>
          <w:rFonts w:cstheme="minorHAnsi"/>
        </w:rPr>
        <w:t> </w:t>
      </w:r>
      <w:r w:rsidR="00E43BD8">
        <w:rPr>
          <w:rFonts w:cstheme="minorHAnsi"/>
        </w:rPr>
        <w:t>cent</w:t>
      </w:r>
      <w:r w:rsidRPr="00007FEC">
        <w:rPr>
          <w:rFonts w:cstheme="minorHAnsi"/>
        </w:rPr>
        <w:t xml:space="preserve"> over 2019 and was likely due to a combination of scheduled salary increases and termination payments made to staff.</w:t>
      </w:r>
    </w:p>
    <w:p w14:paraId="37A26129" w14:textId="16D6A134" w:rsidR="00967AD8" w:rsidRPr="00007FEC" w:rsidRDefault="00967AD8" w:rsidP="00967AD8">
      <w:pPr>
        <w:pStyle w:val="ListParagraph"/>
        <w:numPr>
          <w:ilvl w:val="0"/>
          <w:numId w:val="22"/>
        </w:numPr>
        <w:rPr>
          <w:rFonts w:cstheme="minorHAnsi"/>
        </w:rPr>
      </w:pPr>
      <w:r w:rsidRPr="00007FEC">
        <w:rPr>
          <w:rFonts w:cstheme="minorHAnsi"/>
        </w:rPr>
        <w:t xml:space="preserve">Aggressive cost reductions were noted across the sector in other </w:t>
      </w:r>
      <w:r w:rsidR="00493192" w:rsidRPr="00007FEC">
        <w:rPr>
          <w:rFonts w:cstheme="minorHAnsi"/>
        </w:rPr>
        <w:t xml:space="preserve">sources of </w:t>
      </w:r>
      <w:r w:rsidRPr="00007FEC">
        <w:rPr>
          <w:rFonts w:cstheme="minorHAnsi"/>
        </w:rPr>
        <w:t>expenditure, particularly in areas such as travel, marketing and promotional expenses, and consultants and contractors</w:t>
      </w:r>
      <w:r w:rsidR="00493192" w:rsidRPr="00007FEC">
        <w:rPr>
          <w:rFonts w:cstheme="minorHAnsi"/>
        </w:rPr>
        <w:t>, as universities worked to actively reduce their discretionary expenses.</w:t>
      </w:r>
    </w:p>
    <w:p w14:paraId="153C0379" w14:textId="77777777" w:rsidR="003A1A85" w:rsidRDefault="003A1A85" w:rsidP="007C3B44">
      <w:pPr>
        <w:pStyle w:val="DeleteText"/>
      </w:pPr>
    </w:p>
    <w:p w14:paraId="0522B67B" w14:textId="77777777" w:rsidR="007D73EC" w:rsidRDefault="007D73EC">
      <w:pPr>
        <w:rPr>
          <w:rFonts w:ascii="Calibri" w:eastAsiaTheme="majorEastAsia" w:hAnsi="Calibri" w:cstheme="majorBidi"/>
          <w:b/>
          <w:bCs/>
          <w:color w:val="3D1D48" w:themeColor="accent4" w:themeShade="BF"/>
          <w:sz w:val="28"/>
          <w:szCs w:val="26"/>
        </w:rPr>
      </w:pPr>
      <w:bookmarkStart w:id="5" w:name="_Toc78463084"/>
      <w:r>
        <w:br w:type="page"/>
      </w:r>
    </w:p>
    <w:p w14:paraId="4F6EE685" w14:textId="59073901" w:rsidR="0075004B" w:rsidRPr="00183EB6" w:rsidRDefault="00A63BE1" w:rsidP="00F51503">
      <w:pPr>
        <w:pStyle w:val="Heading2"/>
        <w:spacing w:after="120"/>
      </w:pPr>
      <w:r>
        <w:lastRenderedPageBreak/>
        <w:t>Net Result</w:t>
      </w:r>
      <w:bookmarkEnd w:id="3"/>
      <w:bookmarkEnd w:id="5"/>
    </w:p>
    <w:p w14:paraId="0E78F85A" w14:textId="075E14FC" w:rsidR="00A63BE1" w:rsidRDefault="00A63BE1" w:rsidP="00A63BE1">
      <w:pPr>
        <w:pStyle w:val="ListParagraph"/>
        <w:numPr>
          <w:ilvl w:val="0"/>
          <w:numId w:val="23"/>
        </w:numPr>
        <w:spacing w:after="120"/>
        <w:rPr>
          <w:rFonts w:cstheme="minorHAnsi"/>
        </w:rPr>
      </w:pPr>
      <w:r>
        <w:rPr>
          <w:rFonts w:cstheme="minorHAnsi"/>
        </w:rPr>
        <w:t>T</w:t>
      </w:r>
      <w:r w:rsidRPr="005012C0">
        <w:rPr>
          <w:rFonts w:cstheme="minorHAnsi"/>
        </w:rPr>
        <w:t xml:space="preserve">he net result reported across the sector </w:t>
      </w:r>
      <w:r>
        <w:rPr>
          <w:rFonts w:cstheme="minorHAnsi"/>
        </w:rPr>
        <w:t xml:space="preserve">in 2020 </w:t>
      </w:r>
      <w:r w:rsidRPr="005012C0">
        <w:rPr>
          <w:rFonts w:cstheme="minorHAnsi"/>
        </w:rPr>
        <w:t>was a surplus of $668.8 million, down</w:t>
      </w:r>
      <w:r w:rsidRPr="00A251B6">
        <w:rPr>
          <w:rFonts w:cstheme="minorHAnsi"/>
        </w:rPr>
        <w:t xml:space="preserve"> from a surplus of $2.3 billion in 2019.  </w:t>
      </w:r>
    </w:p>
    <w:p w14:paraId="51DC5223" w14:textId="5BEADA8E" w:rsidR="00A63BE1" w:rsidRPr="00FB55FC" w:rsidRDefault="00A63BE1" w:rsidP="00A63BE1">
      <w:pPr>
        <w:pStyle w:val="ListParagraph"/>
        <w:numPr>
          <w:ilvl w:val="0"/>
          <w:numId w:val="23"/>
        </w:numPr>
        <w:spacing w:after="120"/>
        <w:rPr>
          <w:rFonts w:cstheme="minorHAnsi"/>
        </w:rPr>
      </w:pPr>
      <w:r w:rsidRPr="00A251B6">
        <w:rPr>
          <w:rFonts w:cstheme="minorHAnsi"/>
        </w:rPr>
        <w:t>At the individual institution level, 23 universities reported a net operating surplus</w:t>
      </w:r>
      <w:r>
        <w:rPr>
          <w:rFonts w:cstheme="minorHAnsi"/>
        </w:rPr>
        <w:t xml:space="preserve">, down from 35 in 2019. </w:t>
      </w:r>
      <w:r w:rsidR="00910024">
        <w:rPr>
          <w:rFonts w:cstheme="minorHAnsi"/>
        </w:rPr>
        <w:t>Sixteen</w:t>
      </w:r>
      <w:r w:rsidRPr="00A251B6">
        <w:rPr>
          <w:rFonts w:cstheme="minorHAnsi"/>
        </w:rPr>
        <w:t xml:space="preserve"> </w:t>
      </w:r>
      <w:r>
        <w:rPr>
          <w:rFonts w:cstheme="minorHAnsi"/>
        </w:rPr>
        <w:t xml:space="preserve">universities </w:t>
      </w:r>
      <w:r w:rsidRPr="00A251B6">
        <w:rPr>
          <w:rFonts w:cstheme="minorHAnsi"/>
        </w:rPr>
        <w:t>reported a net operating deficit</w:t>
      </w:r>
      <w:r>
        <w:rPr>
          <w:rFonts w:cstheme="minorHAnsi"/>
        </w:rPr>
        <w:t>, up from four in 2019</w:t>
      </w:r>
      <w:r w:rsidRPr="00A251B6">
        <w:rPr>
          <w:rFonts w:cstheme="minorHAnsi"/>
        </w:rPr>
        <w:t xml:space="preserve">. </w:t>
      </w:r>
    </w:p>
    <w:p w14:paraId="51090B3C" w14:textId="1397C346" w:rsidR="0018615B" w:rsidRDefault="0018615B" w:rsidP="0018615B">
      <w:pPr>
        <w:pStyle w:val="Source"/>
        <w:spacing w:after="0" w:line="240" w:lineRule="auto"/>
        <w:rPr>
          <w:rStyle w:val="Strong"/>
          <w:b/>
          <w:sz w:val="22"/>
          <w:szCs w:val="22"/>
        </w:rPr>
      </w:pPr>
      <w:r w:rsidRPr="00183EB6">
        <w:rPr>
          <w:rStyle w:val="Strong"/>
          <w:b/>
          <w:sz w:val="22"/>
          <w:szCs w:val="22"/>
        </w:rPr>
        <w:t xml:space="preserve">Table 1: </w:t>
      </w:r>
      <w:r w:rsidR="00A63BE1">
        <w:rPr>
          <w:rStyle w:val="Strong"/>
          <w:b/>
          <w:sz w:val="22"/>
          <w:szCs w:val="22"/>
        </w:rPr>
        <w:t>Net</w:t>
      </w:r>
      <w:r w:rsidRPr="00183EB6">
        <w:rPr>
          <w:rStyle w:val="Strong"/>
          <w:b/>
          <w:sz w:val="22"/>
          <w:szCs w:val="22"/>
        </w:rPr>
        <w:t xml:space="preserve"> </w:t>
      </w:r>
      <w:r w:rsidR="00A63BE1">
        <w:rPr>
          <w:rStyle w:val="Strong"/>
          <w:b/>
          <w:sz w:val="22"/>
          <w:szCs w:val="22"/>
        </w:rPr>
        <w:t xml:space="preserve">result </w:t>
      </w:r>
      <w:r w:rsidR="00677740">
        <w:rPr>
          <w:rStyle w:val="Strong"/>
          <w:b/>
          <w:sz w:val="22"/>
          <w:szCs w:val="22"/>
        </w:rPr>
        <w:t>by university</w:t>
      </w:r>
    </w:p>
    <w:tbl>
      <w:tblPr>
        <w:tblW w:w="9280" w:type="dxa"/>
        <w:tblLook w:val="04A0" w:firstRow="1" w:lastRow="0" w:firstColumn="1" w:lastColumn="0" w:noHBand="0" w:noVBand="1"/>
      </w:tblPr>
      <w:tblGrid>
        <w:gridCol w:w="4560"/>
        <w:gridCol w:w="1180"/>
        <w:gridCol w:w="1180"/>
        <w:gridCol w:w="1180"/>
        <w:gridCol w:w="1180"/>
      </w:tblGrid>
      <w:tr w:rsidR="00F16FF3" w:rsidRPr="00F16FF3" w14:paraId="690C46B9" w14:textId="77777777" w:rsidTr="00F16FF3">
        <w:trPr>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42344EDA" w14:textId="77777777" w:rsidR="00F16FF3" w:rsidRPr="00F16FF3" w:rsidRDefault="00F16FF3" w:rsidP="00F16FF3">
            <w:pPr>
              <w:spacing w:after="0" w:line="240" w:lineRule="auto"/>
              <w:jc w:val="center"/>
              <w:rPr>
                <w:rFonts w:ascii="Calibri" w:eastAsia="Times New Roman" w:hAnsi="Calibri" w:cs="Calibri"/>
                <w:b/>
                <w:bCs/>
                <w:color w:val="FFFFFF"/>
                <w:sz w:val="20"/>
                <w:szCs w:val="20"/>
                <w:lang w:eastAsia="en-AU"/>
              </w:rPr>
            </w:pPr>
            <w:r w:rsidRPr="00F16FF3">
              <w:rPr>
                <w:rFonts w:ascii="Calibri" w:eastAsia="Times New Roman" w:hAnsi="Calibri" w:cs="Calibri"/>
                <w:b/>
                <w:bCs/>
                <w:color w:val="FFFFFF"/>
                <w:sz w:val="20"/>
                <w:szCs w:val="20"/>
                <w:lang w:eastAsia="en-AU"/>
              </w:rPr>
              <w:t> </w:t>
            </w:r>
          </w:p>
        </w:tc>
        <w:tc>
          <w:tcPr>
            <w:tcW w:w="2360" w:type="dxa"/>
            <w:gridSpan w:val="2"/>
            <w:tcBorders>
              <w:top w:val="single" w:sz="4" w:space="0" w:color="auto"/>
              <w:left w:val="nil"/>
              <w:bottom w:val="single" w:sz="4" w:space="0" w:color="auto"/>
              <w:right w:val="single" w:sz="4" w:space="0" w:color="000000"/>
            </w:tcBorders>
            <w:shd w:val="clear" w:color="000000" w:fill="4F81BD"/>
            <w:vAlign w:val="bottom"/>
            <w:hideMark/>
          </w:tcPr>
          <w:p w14:paraId="6BC1EAFE" w14:textId="77777777" w:rsidR="00F16FF3" w:rsidRPr="00F16FF3" w:rsidRDefault="00F16FF3" w:rsidP="00F16FF3">
            <w:pPr>
              <w:spacing w:after="0" w:line="240" w:lineRule="auto"/>
              <w:jc w:val="center"/>
              <w:rPr>
                <w:rFonts w:ascii="Calibri" w:eastAsia="Times New Roman" w:hAnsi="Calibri" w:cs="Calibri"/>
                <w:b/>
                <w:bCs/>
                <w:color w:val="FFFFFF"/>
                <w:sz w:val="20"/>
                <w:szCs w:val="20"/>
                <w:lang w:eastAsia="en-AU"/>
              </w:rPr>
            </w:pPr>
            <w:r w:rsidRPr="00F16FF3">
              <w:rPr>
                <w:rFonts w:ascii="Calibri" w:eastAsia="Times New Roman" w:hAnsi="Calibri" w:cs="Calibri"/>
                <w:b/>
                <w:bCs/>
                <w:color w:val="FFFFFF"/>
                <w:sz w:val="20"/>
                <w:szCs w:val="20"/>
                <w:lang w:eastAsia="en-AU"/>
              </w:rPr>
              <w:t>Net Operating Result ($'000)</w:t>
            </w:r>
          </w:p>
        </w:tc>
        <w:tc>
          <w:tcPr>
            <w:tcW w:w="2360" w:type="dxa"/>
            <w:gridSpan w:val="2"/>
            <w:tcBorders>
              <w:top w:val="single" w:sz="4" w:space="0" w:color="auto"/>
              <w:left w:val="nil"/>
              <w:bottom w:val="single" w:sz="4" w:space="0" w:color="auto"/>
              <w:right w:val="single" w:sz="4" w:space="0" w:color="auto"/>
            </w:tcBorders>
            <w:shd w:val="clear" w:color="000000" w:fill="4F81BD"/>
            <w:vAlign w:val="bottom"/>
            <w:hideMark/>
          </w:tcPr>
          <w:p w14:paraId="0960FE66" w14:textId="77777777" w:rsidR="00F16FF3" w:rsidRPr="00F16FF3" w:rsidRDefault="00F16FF3" w:rsidP="00F16FF3">
            <w:pPr>
              <w:spacing w:after="0" w:line="240" w:lineRule="auto"/>
              <w:jc w:val="center"/>
              <w:rPr>
                <w:rFonts w:ascii="Calibri" w:eastAsia="Times New Roman" w:hAnsi="Calibri" w:cs="Calibri"/>
                <w:b/>
                <w:bCs/>
                <w:color w:val="FFFFFF"/>
                <w:sz w:val="20"/>
                <w:szCs w:val="20"/>
                <w:lang w:eastAsia="en-AU"/>
              </w:rPr>
            </w:pPr>
            <w:r w:rsidRPr="00F16FF3">
              <w:rPr>
                <w:rFonts w:ascii="Calibri" w:eastAsia="Times New Roman" w:hAnsi="Calibri" w:cs="Calibri"/>
                <w:b/>
                <w:bCs/>
                <w:color w:val="FFFFFF"/>
                <w:sz w:val="20"/>
                <w:szCs w:val="20"/>
                <w:lang w:eastAsia="en-AU"/>
              </w:rPr>
              <w:t>Increase / Decrease</w:t>
            </w:r>
          </w:p>
        </w:tc>
      </w:tr>
      <w:tr w:rsidR="00F16FF3" w:rsidRPr="00F16FF3" w14:paraId="4146102D" w14:textId="77777777" w:rsidTr="00F16FF3">
        <w:trPr>
          <w:trHeight w:val="255"/>
        </w:trPr>
        <w:tc>
          <w:tcPr>
            <w:tcW w:w="4560" w:type="dxa"/>
            <w:vMerge/>
            <w:tcBorders>
              <w:top w:val="single" w:sz="4" w:space="0" w:color="auto"/>
              <w:left w:val="single" w:sz="4" w:space="0" w:color="auto"/>
              <w:bottom w:val="single" w:sz="4" w:space="0" w:color="auto"/>
              <w:right w:val="single" w:sz="4" w:space="0" w:color="auto"/>
            </w:tcBorders>
            <w:vAlign w:val="center"/>
            <w:hideMark/>
          </w:tcPr>
          <w:p w14:paraId="170225D7" w14:textId="77777777" w:rsidR="00F16FF3" w:rsidRPr="00F16FF3" w:rsidRDefault="00F16FF3" w:rsidP="00F16FF3">
            <w:pPr>
              <w:spacing w:after="0" w:line="240" w:lineRule="auto"/>
              <w:rPr>
                <w:rFonts w:ascii="Calibri" w:eastAsia="Times New Roman" w:hAnsi="Calibri" w:cs="Calibri"/>
                <w:b/>
                <w:bCs/>
                <w:color w:val="FFFFFF"/>
                <w:sz w:val="20"/>
                <w:szCs w:val="20"/>
                <w:lang w:eastAsia="en-AU"/>
              </w:rPr>
            </w:pPr>
          </w:p>
        </w:tc>
        <w:tc>
          <w:tcPr>
            <w:tcW w:w="1180" w:type="dxa"/>
            <w:tcBorders>
              <w:top w:val="nil"/>
              <w:left w:val="nil"/>
              <w:bottom w:val="single" w:sz="4" w:space="0" w:color="auto"/>
              <w:right w:val="single" w:sz="4" w:space="0" w:color="auto"/>
            </w:tcBorders>
            <w:shd w:val="clear" w:color="000000" w:fill="4F81BD"/>
            <w:noWrap/>
            <w:vAlign w:val="bottom"/>
            <w:hideMark/>
          </w:tcPr>
          <w:p w14:paraId="48725B88" w14:textId="77777777" w:rsidR="00F16FF3" w:rsidRPr="00F16FF3" w:rsidRDefault="00F16FF3" w:rsidP="00F16FF3">
            <w:pPr>
              <w:spacing w:after="0" w:line="240" w:lineRule="auto"/>
              <w:jc w:val="center"/>
              <w:rPr>
                <w:rFonts w:ascii="Calibri" w:eastAsia="Times New Roman" w:hAnsi="Calibri" w:cs="Calibri"/>
                <w:b/>
                <w:bCs/>
                <w:color w:val="FFFFFF"/>
                <w:sz w:val="20"/>
                <w:szCs w:val="20"/>
                <w:lang w:eastAsia="en-AU"/>
              </w:rPr>
            </w:pPr>
            <w:r w:rsidRPr="00F16FF3">
              <w:rPr>
                <w:rFonts w:ascii="Calibri" w:eastAsia="Times New Roman" w:hAnsi="Calibri" w:cs="Calibri"/>
                <w:b/>
                <w:bCs/>
                <w:color w:val="FFFFFF"/>
                <w:sz w:val="20"/>
                <w:szCs w:val="20"/>
                <w:lang w:eastAsia="en-AU"/>
              </w:rPr>
              <w:t>2020</w:t>
            </w:r>
          </w:p>
        </w:tc>
        <w:tc>
          <w:tcPr>
            <w:tcW w:w="1180" w:type="dxa"/>
            <w:tcBorders>
              <w:top w:val="nil"/>
              <w:left w:val="nil"/>
              <w:bottom w:val="single" w:sz="4" w:space="0" w:color="auto"/>
              <w:right w:val="single" w:sz="4" w:space="0" w:color="auto"/>
            </w:tcBorders>
            <w:shd w:val="clear" w:color="000000" w:fill="4F81BD"/>
            <w:noWrap/>
            <w:vAlign w:val="bottom"/>
            <w:hideMark/>
          </w:tcPr>
          <w:p w14:paraId="662E539C" w14:textId="77777777" w:rsidR="00F16FF3" w:rsidRPr="00F16FF3" w:rsidRDefault="00F16FF3" w:rsidP="00F16FF3">
            <w:pPr>
              <w:spacing w:after="0" w:line="240" w:lineRule="auto"/>
              <w:jc w:val="center"/>
              <w:rPr>
                <w:rFonts w:ascii="Calibri" w:eastAsia="Times New Roman" w:hAnsi="Calibri" w:cs="Calibri"/>
                <w:b/>
                <w:bCs/>
                <w:color w:val="FFFFFF"/>
                <w:sz w:val="20"/>
                <w:szCs w:val="20"/>
                <w:lang w:eastAsia="en-AU"/>
              </w:rPr>
            </w:pPr>
            <w:r w:rsidRPr="00F16FF3">
              <w:rPr>
                <w:rFonts w:ascii="Calibri" w:eastAsia="Times New Roman" w:hAnsi="Calibri" w:cs="Calibri"/>
                <w:b/>
                <w:bCs/>
                <w:color w:val="FFFFFF"/>
                <w:sz w:val="20"/>
                <w:szCs w:val="20"/>
                <w:lang w:eastAsia="en-AU"/>
              </w:rPr>
              <w:t>2019</w:t>
            </w:r>
          </w:p>
        </w:tc>
        <w:tc>
          <w:tcPr>
            <w:tcW w:w="1180" w:type="dxa"/>
            <w:tcBorders>
              <w:top w:val="nil"/>
              <w:left w:val="nil"/>
              <w:bottom w:val="single" w:sz="4" w:space="0" w:color="auto"/>
              <w:right w:val="single" w:sz="4" w:space="0" w:color="auto"/>
            </w:tcBorders>
            <w:shd w:val="clear" w:color="00FF00" w:fill="4F81BD"/>
            <w:vAlign w:val="bottom"/>
            <w:hideMark/>
          </w:tcPr>
          <w:p w14:paraId="1A4A7465" w14:textId="77777777" w:rsidR="00F16FF3" w:rsidRPr="00F16FF3" w:rsidRDefault="00F16FF3" w:rsidP="00F16FF3">
            <w:pPr>
              <w:spacing w:after="0" w:line="240" w:lineRule="auto"/>
              <w:jc w:val="center"/>
              <w:rPr>
                <w:rFonts w:ascii="Calibri" w:eastAsia="Times New Roman" w:hAnsi="Calibri" w:cs="Calibri"/>
                <w:b/>
                <w:bCs/>
                <w:color w:val="FFFFFF"/>
                <w:sz w:val="20"/>
                <w:szCs w:val="20"/>
                <w:lang w:eastAsia="en-AU"/>
              </w:rPr>
            </w:pPr>
            <w:r w:rsidRPr="00F16FF3">
              <w:rPr>
                <w:rFonts w:ascii="Calibri" w:eastAsia="Times New Roman" w:hAnsi="Calibri" w:cs="Calibri"/>
                <w:b/>
                <w:bCs/>
                <w:color w:val="FFFFFF"/>
                <w:sz w:val="20"/>
                <w:szCs w:val="20"/>
                <w:lang w:eastAsia="en-AU"/>
              </w:rPr>
              <w:t>$'000</w:t>
            </w:r>
          </w:p>
        </w:tc>
        <w:tc>
          <w:tcPr>
            <w:tcW w:w="1180" w:type="dxa"/>
            <w:tcBorders>
              <w:top w:val="nil"/>
              <w:left w:val="nil"/>
              <w:bottom w:val="single" w:sz="4" w:space="0" w:color="auto"/>
              <w:right w:val="single" w:sz="4" w:space="0" w:color="auto"/>
            </w:tcBorders>
            <w:shd w:val="clear" w:color="00FF00" w:fill="4F81BD"/>
            <w:vAlign w:val="bottom"/>
            <w:hideMark/>
          </w:tcPr>
          <w:p w14:paraId="35600FAC" w14:textId="77777777" w:rsidR="00F16FF3" w:rsidRPr="00F16FF3" w:rsidRDefault="00F16FF3" w:rsidP="00F16FF3">
            <w:pPr>
              <w:spacing w:after="0" w:line="240" w:lineRule="auto"/>
              <w:jc w:val="center"/>
              <w:rPr>
                <w:rFonts w:ascii="Calibri" w:eastAsia="Times New Roman" w:hAnsi="Calibri" w:cs="Calibri"/>
                <w:b/>
                <w:bCs/>
                <w:color w:val="FFFFFF"/>
                <w:sz w:val="20"/>
                <w:szCs w:val="20"/>
                <w:lang w:eastAsia="en-AU"/>
              </w:rPr>
            </w:pPr>
            <w:r w:rsidRPr="00F16FF3">
              <w:rPr>
                <w:rFonts w:ascii="Calibri" w:eastAsia="Times New Roman" w:hAnsi="Calibri" w:cs="Calibri"/>
                <w:b/>
                <w:bCs/>
                <w:color w:val="FFFFFF"/>
                <w:sz w:val="20"/>
                <w:szCs w:val="20"/>
                <w:lang w:eastAsia="en-AU"/>
              </w:rPr>
              <w:t>%</w:t>
            </w:r>
          </w:p>
        </w:tc>
      </w:tr>
      <w:tr w:rsidR="00F16FF3" w:rsidRPr="00F16FF3" w14:paraId="7815D4DC"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37E76E42"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Monash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447DA0A2"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267,277 </w:t>
            </w:r>
          </w:p>
        </w:tc>
        <w:tc>
          <w:tcPr>
            <w:tcW w:w="1180" w:type="dxa"/>
            <w:tcBorders>
              <w:top w:val="nil"/>
              <w:left w:val="nil"/>
              <w:bottom w:val="single" w:sz="4" w:space="0" w:color="auto"/>
              <w:right w:val="single" w:sz="4" w:space="0" w:color="auto"/>
            </w:tcBorders>
            <w:shd w:val="clear" w:color="auto" w:fill="auto"/>
            <w:noWrap/>
            <w:vAlign w:val="bottom"/>
            <w:hideMark/>
          </w:tcPr>
          <w:p w14:paraId="22884BB5"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229,999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1CD24F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37,278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160FD2C7" w14:textId="77777777" w:rsidR="00F16FF3" w:rsidRPr="00F16FF3" w:rsidRDefault="00F16FF3" w:rsidP="00F16FF3">
            <w:pPr>
              <w:spacing w:after="0" w:line="240" w:lineRule="auto"/>
              <w:jc w:val="right"/>
              <w:rPr>
                <w:rFonts w:ascii="Calibri" w:eastAsia="Times New Roman" w:hAnsi="Calibri" w:cs="Calibri"/>
                <w:sz w:val="20"/>
                <w:szCs w:val="20"/>
                <w:lang w:eastAsia="en-AU"/>
              </w:rPr>
            </w:pPr>
            <w:r w:rsidRPr="00F16FF3">
              <w:rPr>
                <w:rFonts w:ascii="Calibri" w:eastAsia="Times New Roman" w:hAnsi="Calibri" w:cs="Calibri"/>
                <w:sz w:val="20"/>
                <w:szCs w:val="20"/>
                <w:lang w:eastAsia="en-AU"/>
              </w:rPr>
              <w:t>16.2%</w:t>
            </w:r>
          </w:p>
        </w:tc>
      </w:tr>
      <w:tr w:rsidR="00F16FF3" w:rsidRPr="00F16FF3" w14:paraId="4E2E6BED"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78940171"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The University of Melbourne</w:t>
            </w:r>
          </w:p>
        </w:tc>
        <w:tc>
          <w:tcPr>
            <w:tcW w:w="1180" w:type="dxa"/>
            <w:tcBorders>
              <w:top w:val="nil"/>
              <w:left w:val="nil"/>
              <w:bottom w:val="single" w:sz="4" w:space="0" w:color="auto"/>
              <w:right w:val="single" w:sz="4" w:space="0" w:color="auto"/>
            </w:tcBorders>
            <w:shd w:val="clear" w:color="auto" w:fill="auto"/>
            <w:noWrap/>
            <w:vAlign w:val="bottom"/>
            <w:hideMark/>
          </w:tcPr>
          <w:p w14:paraId="61084043"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178,222 </w:t>
            </w:r>
          </w:p>
        </w:tc>
        <w:tc>
          <w:tcPr>
            <w:tcW w:w="1180" w:type="dxa"/>
            <w:tcBorders>
              <w:top w:val="nil"/>
              <w:left w:val="nil"/>
              <w:bottom w:val="single" w:sz="4" w:space="0" w:color="auto"/>
              <w:right w:val="single" w:sz="4" w:space="0" w:color="auto"/>
            </w:tcBorders>
            <w:shd w:val="clear" w:color="auto" w:fill="auto"/>
            <w:noWrap/>
            <w:vAlign w:val="bottom"/>
            <w:hideMark/>
          </w:tcPr>
          <w:p w14:paraId="1496400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351,140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3241A4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-172,918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B10CA50"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-49.2%</w:t>
            </w:r>
          </w:p>
        </w:tc>
      </w:tr>
      <w:tr w:rsidR="00F16FF3" w:rsidRPr="00F16FF3" w14:paraId="6AC86FFD"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65EF4F84"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The University of Sydney</w:t>
            </w:r>
          </w:p>
        </w:tc>
        <w:tc>
          <w:tcPr>
            <w:tcW w:w="1180" w:type="dxa"/>
            <w:tcBorders>
              <w:top w:val="nil"/>
              <w:left w:val="nil"/>
              <w:bottom w:val="single" w:sz="4" w:space="0" w:color="auto"/>
              <w:right w:val="single" w:sz="4" w:space="0" w:color="auto"/>
            </w:tcBorders>
            <w:shd w:val="clear" w:color="auto" w:fill="auto"/>
            <w:noWrap/>
            <w:vAlign w:val="bottom"/>
            <w:hideMark/>
          </w:tcPr>
          <w:p w14:paraId="28CA74CA"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106,563 </w:t>
            </w:r>
          </w:p>
        </w:tc>
        <w:tc>
          <w:tcPr>
            <w:tcW w:w="1180" w:type="dxa"/>
            <w:tcBorders>
              <w:top w:val="nil"/>
              <w:left w:val="nil"/>
              <w:bottom w:val="single" w:sz="4" w:space="0" w:color="auto"/>
              <w:right w:val="single" w:sz="4" w:space="0" w:color="auto"/>
            </w:tcBorders>
            <w:shd w:val="clear" w:color="auto" w:fill="auto"/>
            <w:noWrap/>
            <w:vAlign w:val="bottom"/>
            <w:hideMark/>
          </w:tcPr>
          <w:p w14:paraId="79EF2A31"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177,856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7329E92"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-71,293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BFA4226"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-40.1%</w:t>
            </w:r>
          </w:p>
        </w:tc>
      </w:tr>
      <w:tr w:rsidR="00F16FF3" w:rsidRPr="00F16FF3" w14:paraId="04EB103E"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267D21FE"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The University of Queensland</w:t>
            </w:r>
          </w:p>
        </w:tc>
        <w:tc>
          <w:tcPr>
            <w:tcW w:w="1180" w:type="dxa"/>
            <w:tcBorders>
              <w:top w:val="nil"/>
              <w:left w:val="nil"/>
              <w:bottom w:val="single" w:sz="4" w:space="0" w:color="auto"/>
              <w:right w:val="single" w:sz="4" w:space="0" w:color="auto"/>
            </w:tcBorders>
            <w:shd w:val="clear" w:color="auto" w:fill="auto"/>
            <w:noWrap/>
            <w:vAlign w:val="bottom"/>
            <w:hideMark/>
          </w:tcPr>
          <w:p w14:paraId="298DC219"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82,928 </w:t>
            </w:r>
          </w:p>
        </w:tc>
        <w:tc>
          <w:tcPr>
            <w:tcW w:w="1180" w:type="dxa"/>
            <w:tcBorders>
              <w:top w:val="nil"/>
              <w:left w:val="nil"/>
              <w:bottom w:val="single" w:sz="4" w:space="0" w:color="auto"/>
              <w:right w:val="single" w:sz="4" w:space="0" w:color="auto"/>
            </w:tcBorders>
            <w:shd w:val="clear" w:color="auto" w:fill="auto"/>
            <w:noWrap/>
            <w:vAlign w:val="bottom"/>
            <w:hideMark/>
          </w:tcPr>
          <w:p w14:paraId="3E5C1518"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131,810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DA215A7"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-48,882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25A2FF"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-37.1%</w:t>
            </w:r>
          </w:p>
        </w:tc>
      </w:tr>
      <w:tr w:rsidR="00F16FF3" w:rsidRPr="00F16FF3" w14:paraId="27E99EEA"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48DADAE3"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The University of Western Australia</w:t>
            </w:r>
          </w:p>
        </w:tc>
        <w:tc>
          <w:tcPr>
            <w:tcW w:w="1180" w:type="dxa"/>
            <w:tcBorders>
              <w:top w:val="nil"/>
              <w:left w:val="nil"/>
              <w:bottom w:val="single" w:sz="4" w:space="0" w:color="auto"/>
              <w:right w:val="single" w:sz="4" w:space="0" w:color="auto"/>
            </w:tcBorders>
            <w:shd w:val="clear" w:color="auto" w:fill="auto"/>
            <w:noWrap/>
            <w:vAlign w:val="bottom"/>
            <w:hideMark/>
          </w:tcPr>
          <w:p w14:paraId="0F0C116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58,089 </w:t>
            </w:r>
          </w:p>
        </w:tc>
        <w:tc>
          <w:tcPr>
            <w:tcW w:w="1180" w:type="dxa"/>
            <w:tcBorders>
              <w:top w:val="nil"/>
              <w:left w:val="nil"/>
              <w:bottom w:val="single" w:sz="4" w:space="0" w:color="auto"/>
              <w:right w:val="single" w:sz="4" w:space="0" w:color="auto"/>
            </w:tcBorders>
            <w:shd w:val="clear" w:color="auto" w:fill="auto"/>
            <w:noWrap/>
            <w:vAlign w:val="bottom"/>
            <w:hideMark/>
          </w:tcPr>
          <w:p w14:paraId="5D057011"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111,682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34A9247A"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-53,593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7E9302A"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-48.0%</w:t>
            </w:r>
          </w:p>
        </w:tc>
      </w:tr>
      <w:tr w:rsidR="00F16FF3" w:rsidRPr="00F16FF3" w14:paraId="38623BEC"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488240D0"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Charles Darwin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47FD422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42,806 </w:t>
            </w:r>
          </w:p>
        </w:tc>
        <w:tc>
          <w:tcPr>
            <w:tcW w:w="1180" w:type="dxa"/>
            <w:tcBorders>
              <w:top w:val="nil"/>
              <w:left w:val="nil"/>
              <w:bottom w:val="single" w:sz="4" w:space="0" w:color="auto"/>
              <w:right w:val="single" w:sz="4" w:space="0" w:color="auto"/>
            </w:tcBorders>
            <w:shd w:val="clear" w:color="auto" w:fill="auto"/>
            <w:noWrap/>
            <w:vAlign w:val="bottom"/>
            <w:hideMark/>
          </w:tcPr>
          <w:p w14:paraId="59E0B7A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-8,762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1CF24C73"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51,568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6B95E5" w14:textId="35444B95"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C56801">
              <w:rPr>
                <w:rFonts w:ascii="Calibri" w:eastAsia="Times New Roman" w:hAnsi="Calibri" w:cs="Calibri"/>
                <w:sz w:val="20"/>
                <w:szCs w:val="20"/>
                <w:lang w:eastAsia="en-AU"/>
              </w:rPr>
              <w:t>588.5%</w:t>
            </w:r>
          </w:p>
        </w:tc>
      </w:tr>
      <w:tr w:rsidR="00F16FF3" w:rsidRPr="00F16FF3" w14:paraId="7B34092C"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2BA19C62"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University of Adelaide</w:t>
            </w:r>
          </w:p>
        </w:tc>
        <w:tc>
          <w:tcPr>
            <w:tcW w:w="1180" w:type="dxa"/>
            <w:tcBorders>
              <w:top w:val="nil"/>
              <w:left w:val="nil"/>
              <w:bottom w:val="single" w:sz="4" w:space="0" w:color="auto"/>
              <w:right w:val="single" w:sz="4" w:space="0" w:color="auto"/>
            </w:tcBorders>
            <w:shd w:val="clear" w:color="auto" w:fill="auto"/>
            <w:noWrap/>
            <w:vAlign w:val="bottom"/>
            <w:hideMark/>
          </w:tcPr>
          <w:p w14:paraId="71F938A9"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40,816 </w:t>
            </w:r>
          </w:p>
        </w:tc>
        <w:tc>
          <w:tcPr>
            <w:tcW w:w="1180" w:type="dxa"/>
            <w:tcBorders>
              <w:top w:val="nil"/>
              <w:left w:val="nil"/>
              <w:bottom w:val="single" w:sz="4" w:space="0" w:color="auto"/>
              <w:right w:val="single" w:sz="4" w:space="0" w:color="auto"/>
            </w:tcBorders>
            <w:shd w:val="clear" w:color="auto" w:fill="auto"/>
            <w:noWrap/>
            <w:vAlign w:val="bottom"/>
            <w:hideMark/>
          </w:tcPr>
          <w:p w14:paraId="00FF9C2A"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42,037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916B8F8"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-1,221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7C2E766"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-2.9%</w:t>
            </w:r>
          </w:p>
        </w:tc>
      </w:tr>
      <w:tr w:rsidR="00F16FF3" w:rsidRPr="00F16FF3" w14:paraId="6FB1013F"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1650C403"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Flinders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337C77A4"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37,795 </w:t>
            </w:r>
          </w:p>
        </w:tc>
        <w:tc>
          <w:tcPr>
            <w:tcW w:w="1180" w:type="dxa"/>
            <w:tcBorders>
              <w:top w:val="nil"/>
              <w:left w:val="nil"/>
              <w:bottom w:val="single" w:sz="4" w:space="0" w:color="auto"/>
              <w:right w:val="single" w:sz="4" w:space="0" w:color="auto"/>
            </w:tcBorders>
            <w:shd w:val="clear" w:color="auto" w:fill="auto"/>
            <w:noWrap/>
            <w:vAlign w:val="bottom"/>
            <w:hideMark/>
          </w:tcPr>
          <w:p w14:paraId="49068C2B"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25,080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1B3C334D"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12,715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F88D71A" w14:textId="77777777" w:rsidR="00F16FF3" w:rsidRPr="00F16FF3" w:rsidRDefault="00F16FF3" w:rsidP="00F16FF3">
            <w:pPr>
              <w:spacing w:after="0" w:line="240" w:lineRule="auto"/>
              <w:jc w:val="right"/>
              <w:rPr>
                <w:rFonts w:ascii="Calibri" w:eastAsia="Times New Roman" w:hAnsi="Calibri" w:cs="Calibri"/>
                <w:sz w:val="20"/>
                <w:szCs w:val="20"/>
                <w:lang w:eastAsia="en-AU"/>
              </w:rPr>
            </w:pPr>
            <w:r w:rsidRPr="00F16FF3">
              <w:rPr>
                <w:rFonts w:ascii="Calibri" w:eastAsia="Times New Roman" w:hAnsi="Calibri" w:cs="Calibri"/>
                <w:sz w:val="20"/>
                <w:szCs w:val="20"/>
                <w:lang w:eastAsia="en-AU"/>
              </w:rPr>
              <w:t>50.7%</w:t>
            </w:r>
          </w:p>
        </w:tc>
      </w:tr>
      <w:tr w:rsidR="00F16FF3" w:rsidRPr="00F16FF3" w14:paraId="2DDA642C"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7489B104"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Deakin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6158CC47"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32,112 </w:t>
            </w:r>
          </w:p>
        </w:tc>
        <w:tc>
          <w:tcPr>
            <w:tcW w:w="1180" w:type="dxa"/>
            <w:tcBorders>
              <w:top w:val="nil"/>
              <w:left w:val="nil"/>
              <w:bottom w:val="single" w:sz="4" w:space="0" w:color="auto"/>
              <w:right w:val="single" w:sz="4" w:space="0" w:color="auto"/>
            </w:tcBorders>
            <w:shd w:val="clear" w:color="auto" w:fill="auto"/>
            <w:noWrap/>
            <w:vAlign w:val="bottom"/>
            <w:hideMark/>
          </w:tcPr>
          <w:p w14:paraId="26A1BA4D"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107,345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2574F524"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-75,233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2ED1F67"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-70.1%</w:t>
            </w:r>
          </w:p>
        </w:tc>
      </w:tr>
      <w:tr w:rsidR="00F16FF3" w:rsidRPr="00F16FF3" w14:paraId="760CC821"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2E41B6D7"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Australian Catholic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2A101B31"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31,374 </w:t>
            </w:r>
          </w:p>
        </w:tc>
        <w:tc>
          <w:tcPr>
            <w:tcW w:w="1180" w:type="dxa"/>
            <w:tcBorders>
              <w:top w:val="nil"/>
              <w:left w:val="nil"/>
              <w:bottom w:val="single" w:sz="4" w:space="0" w:color="auto"/>
              <w:right w:val="single" w:sz="4" w:space="0" w:color="auto"/>
            </w:tcBorders>
            <w:shd w:val="clear" w:color="auto" w:fill="auto"/>
            <w:noWrap/>
            <w:vAlign w:val="bottom"/>
            <w:hideMark/>
          </w:tcPr>
          <w:p w14:paraId="46EFEC69"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45,034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7D4D482A"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-13,660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D6732A"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-30.3%</w:t>
            </w:r>
          </w:p>
        </w:tc>
      </w:tr>
      <w:tr w:rsidR="00F16FF3" w:rsidRPr="00F16FF3" w14:paraId="6ACD9F11"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63668AD4"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University of Canberra</w:t>
            </w:r>
          </w:p>
        </w:tc>
        <w:tc>
          <w:tcPr>
            <w:tcW w:w="1180" w:type="dxa"/>
            <w:tcBorders>
              <w:top w:val="nil"/>
              <w:left w:val="nil"/>
              <w:bottom w:val="single" w:sz="4" w:space="0" w:color="auto"/>
              <w:right w:val="single" w:sz="4" w:space="0" w:color="auto"/>
            </w:tcBorders>
            <w:shd w:val="clear" w:color="auto" w:fill="auto"/>
            <w:noWrap/>
            <w:vAlign w:val="bottom"/>
            <w:hideMark/>
          </w:tcPr>
          <w:p w14:paraId="6FE8D622"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29,363 </w:t>
            </w:r>
          </w:p>
        </w:tc>
        <w:tc>
          <w:tcPr>
            <w:tcW w:w="1180" w:type="dxa"/>
            <w:tcBorders>
              <w:top w:val="nil"/>
              <w:left w:val="nil"/>
              <w:bottom w:val="single" w:sz="4" w:space="0" w:color="auto"/>
              <w:right w:val="single" w:sz="4" w:space="0" w:color="auto"/>
            </w:tcBorders>
            <w:shd w:val="clear" w:color="auto" w:fill="auto"/>
            <w:noWrap/>
            <w:vAlign w:val="bottom"/>
            <w:hideMark/>
          </w:tcPr>
          <w:p w14:paraId="526BBE80"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19,207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0A7820ED"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10,156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3D93D134" w14:textId="77777777" w:rsidR="00F16FF3" w:rsidRPr="00F16FF3" w:rsidRDefault="00F16FF3" w:rsidP="00F16FF3">
            <w:pPr>
              <w:spacing w:after="0" w:line="240" w:lineRule="auto"/>
              <w:jc w:val="right"/>
              <w:rPr>
                <w:rFonts w:ascii="Calibri" w:eastAsia="Times New Roman" w:hAnsi="Calibri" w:cs="Calibri"/>
                <w:sz w:val="20"/>
                <w:szCs w:val="20"/>
                <w:lang w:eastAsia="en-AU"/>
              </w:rPr>
            </w:pPr>
            <w:r w:rsidRPr="00F16FF3">
              <w:rPr>
                <w:rFonts w:ascii="Calibri" w:eastAsia="Times New Roman" w:hAnsi="Calibri" w:cs="Calibri"/>
                <w:sz w:val="20"/>
                <w:szCs w:val="20"/>
                <w:lang w:eastAsia="en-AU"/>
              </w:rPr>
              <w:t>52.9%</w:t>
            </w:r>
          </w:p>
        </w:tc>
      </w:tr>
      <w:tr w:rsidR="00F16FF3" w:rsidRPr="00F16FF3" w14:paraId="722F1F33"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6D5C2D95"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Queensland University of Technology</w:t>
            </w:r>
          </w:p>
        </w:tc>
        <w:tc>
          <w:tcPr>
            <w:tcW w:w="1180" w:type="dxa"/>
            <w:tcBorders>
              <w:top w:val="nil"/>
              <w:left w:val="nil"/>
              <w:bottom w:val="single" w:sz="4" w:space="0" w:color="auto"/>
              <w:right w:val="single" w:sz="4" w:space="0" w:color="auto"/>
            </w:tcBorders>
            <w:shd w:val="clear" w:color="auto" w:fill="auto"/>
            <w:noWrap/>
            <w:vAlign w:val="bottom"/>
            <w:hideMark/>
          </w:tcPr>
          <w:p w14:paraId="044DA83D"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25,218 </w:t>
            </w:r>
          </w:p>
        </w:tc>
        <w:tc>
          <w:tcPr>
            <w:tcW w:w="1180" w:type="dxa"/>
            <w:tcBorders>
              <w:top w:val="nil"/>
              <w:left w:val="nil"/>
              <w:bottom w:val="single" w:sz="4" w:space="0" w:color="auto"/>
              <w:right w:val="single" w:sz="4" w:space="0" w:color="auto"/>
            </w:tcBorders>
            <w:shd w:val="clear" w:color="auto" w:fill="auto"/>
            <w:noWrap/>
            <w:vAlign w:val="bottom"/>
            <w:hideMark/>
          </w:tcPr>
          <w:p w14:paraId="323BF06C"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88,391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408324EB"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-63,173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22C225E"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-71.5%</w:t>
            </w:r>
          </w:p>
        </w:tc>
      </w:tr>
      <w:tr w:rsidR="00F16FF3" w:rsidRPr="00F16FF3" w14:paraId="3699970B"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14CCEA6F"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University of the Sunshine Coast</w:t>
            </w:r>
          </w:p>
        </w:tc>
        <w:tc>
          <w:tcPr>
            <w:tcW w:w="1180" w:type="dxa"/>
            <w:tcBorders>
              <w:top w:val="nil"/>
              <w:left w:val="nil"/>
              <w:bottom w:val="single" w:sz="4" w:space="0" w:color="auto"/>
              <w:right w:val="single" w:sz="4" w:space="0" w:color="auto"/>
            </w:tcBorders>
            <w:shd w:val="clear" w:color="auto" w:fill="auto"/>
            <w:noWrap/>
            <w:vAlign w:val="bottom"/>
            <w:hideMark/>
          </w:tcPr>
          <w:p w14:paraId="144A54F5"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24,085 </w:t>
            </w:r>
          </w:p>
        </w:tc>
        <w:tc>
          <w:tcPr>
            <w:tcW w:w="1180" w:type="dxa"/>
            <w:tcBorders>
              <w:top w:val="nil"/>
              <w:left w:val="nil"/>
              <w:bottom w:val="single" w:sz="4" w:space="0" w:color="auto"/>
              <w:right w:val="single" w:sz="4" w:space="0" w:color="auto"/>
            </w:tcBorders>
            <w:shd w:val="clear" w:color="auto" w:fill="auto"/>
            <w:noWrap/>
            <w:vAlign w:val="bottom"/>
            <w:hideMark/>
          </w:tcPr>
          <w:p w14:paraId="02A9EA10"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19,909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4B851DFC"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4,176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DC32E7" w14:textId="77777777" w:rsidR="00F16FF3" w:rsidRPr="00F16FF3" w:rsidRDefault="00F16FF3" w:rsidP="00F16FF3">
            <w:pPr>
              <w:spacing w:after="0" w:line="240" w:lineRule="auto"/>
              <w:jc w:val="right"/>
              <w:rPr>
                <w:rFonts w:ascii="Calibri" w:eastAsia="Times New Roman" w:hAnsi="Calibri" w:cs="Calibri"/>
                <w:sz w:val="20"/>
                <w:szCs w:val="20"/>
                <w:lang w:eastAsia="en-AU"/>
              </w:rPr>
            </w:pPr>
            <w:r w:rsidRPr="00F16FF3">
              <w:rPr>
                <w:rFonts w:ascii="Calibri" w:eastAsia="Times New Roman" w:hAnsi="Calibri" w:cs="Calibri"/>
                <w:sz w:val="20"/>
                <w:szCs w:val="20"/>
                <w:lang w:eastAsia="en-AU"/>
              </w:rPr>
              <w:t>21.0%</w:t>
            </w:r>
          </w:p>
        </w:tc>
      </w:tr>
      <w:tr w:rsidR="00F16FF3" w:rsidRPr="00F16FF3" w14:paraId="372D4340"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3D4453A4"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Edith Cowan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0149A1D5"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23,662 </w:t>
            </w:r>
          </w:p>
        </w:tc>
        <w:tc>
          <w:tcPr>
            <w:tcW w:w="1180" w:type="dxa"/>
            <w:tcBorders>
              <w:top w:val="nil"/>
              <w:left w:val="nil"/>
              <w:bottom w:val="single" w:sz="4" w:space="0" w:color="auto"/>
              <w:right w:val="single" w:sz="4" w:space="0" w:color="auto"/>
            </w:tcBorders>
            <w:shd w:val="clear" w:color="auto" w:fill="auto"/>
            <w:noWrap/>
            <w:vAlign w:val="bottom"/>
            <w:hideMark/>
          </w:tcPr>
          <w:p w14:paraId="00D2276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36,491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193E1E51"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-12,829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F1DD97B"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-35.2%</w:t>
            </w:r>
          </w:p>
        </w:tc>
      </w:tr>
      <w:tr w:rsidR="00F16FF3" w:rsidRPr="00F16FF3" w14:paraId="4405865A"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5E79BE59" w14:textId="18C9C087" w:rsidR="006E1ED9"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Western Sydney</w:t>
            </w:r>
            <w:r w:rsidR="006E1ED9">
              <w:rPr>
                <w:rFonts w:ascii="Calibri" w:eastAsia="Times New Roman" w:hAnsi="Calibri" w:cs="Calibri"/>
                <w:color w:val="000000"/>
                <w:sz w:val="20"/>
                <w:szCs w:val="20"/>
                <w:lang w:eastAsia="en-AU"/>
              </w:rPr>
              <w:t xml:space="preserve">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7F883CD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21,979 </w:t>
            </w:r>
          </w:p>
        </w:tc>
        <w:tc>
          <w:tcPr>
            <w:tcW w:w="1180" w:type="dxa"/>
            <w:tcBorders>
              <w:top w:val="nil"/>
              <w:left w:val="nil"/>
              <w:bottom w:val="single" w:sz="4" w:space="0" w:color="auto"/>
              <w:right w:val="single" w:sz="4" w:space="0" w:color="auto"/>
            </w:tcBorders>
            <w:shd w:val="clear" w:color="auto" w:fill="auto"/>
            <w:noWrap/>
            <w:vAlign w:val="bottom"/>
            <w:hideMark/>
          </w:tcPr>
          <w:p w14:paraId="2892DC2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19,084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251461C4"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2,895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19F76C61" w14:textId="77777777" w:rsidR="00F16FF3" w:rsidRPr="00F16FF3" w:rsidRDefault="00F16FF3" w:rsidP="00F16FF3">
            <w:pPr>
              <w:spacing w:after="0" w:line="240" w:lineRule="auto"/>
              <w:jc w:val="right"/>
              <w:rPr>
                <w:rFonts w:ascii="Calibri" w:eastAsia="Times New Roman" w:hAnsi="Calibri" w:cs="Calibri"/>
                <w:sz w:val="20"/>
                <w:szCs w:val="20"/>
                <w:lang w:eastAsia="en-AU"/>
              </w:rPr>
            </w:pPr>
            <w:r w:rsidRPr="00F16FF3">
              <w:rPr>
                <w:rFonts w:ascii="Calibri" w:eastAsia="Times New Roman" w:hAnsi="Calibri" w:cs="Calibri"/>
                <w:sz w:val="20"/>
                <w:szCs w:val="20"/>
                <w:lang w:eastAsia="en-AU"/>
              </w:rPr>
              <w:t>15.2%</w:t>
            </w:r>
          </w:p>
        </w:tc>
      </w:tr>
      <w:tr w:rsidR="00F16FF3" w:rsidRPr="00F16FF3" w14:paraId="4E441E3A"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22FFFE9E"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University of South Australia</w:t>
            </w:r>
          </w:p>
        </w:tc>
        <w:tc>
          <w:tcPr>
            <w:tcW w:w="1180" w:type="dxa"/>
            <w:tcBorders>
              <w:top w:val="nil"/>
              <w:left w:val="nil"/>
              <w:bottom w:val="single" w:sz="4" w:space="0" w:color="auto"/>
              <w:right w:val="single" w:sz="4" w:space="0" w:color="auto"/>
            </w:tcBorders>
            <w:shd w:val="clear" w:color="auto" w:fill="auto"/>
            <w:noWrap/>
            <w:vAlign w:val="bottom"/>
            <w:hideMark/>
          </w:tcPr>
          <w:p w14:paraId="51D7B7A8"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21,085 </w:t>
            </w:r>
          </w:p>
        </w:tc>
        <w:tc>
          <w:tcPr>
            <w:tcW w:w="1180" w:type="dxa"/>
            <w:tcBorders>
              <w:top w:val="nil"/>
              <w:left w:val="nil"/>
              <w:bottom w:val="single" w:sz="4" w:space="0" w:color="auto"/>
              <w:right w:val="single" w:sz="4" w:space="0" w:color="auto"/>
            </w:tcBorders>
            <w:shd w:val="clear" w:color="auto" w:fill="auto"/>
            <w:noWrap/>
            <w:vAlign w:val="bottom"/>
            <w:hideMark/>
          </w:tcPr>
          <w:p w14:paraId="5BAD9414"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21,129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2D169A42"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-44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728AB65"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-0.2%</w:t>
            </w:r>
          </w:p>
        </w:tc>
      </w:tr>
      <w:tr w:rsidR="00F16FF3" w:rsidRPr="00F16FF3" w14:paraId="236B3E17"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26487D6D"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Charles Sturt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460076B8"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18,986 </w:t>
            </w:r>
          </w:p>
        </w:tc>
        <w:tc>
          <w:tcPr>
            <w:tcW w:w="1180" w:type="dxa"/>
            <w:tcBorders>
              <w:top w:val="nil"/>
              <w:left w:val="nil"/>
              <w:bottom w:val="single" w:sz="4" w:space="0" w:color="auto"/>
              <w:right w:val="single" w:sz="4" w:space="0" w:color="auto"/>
            </w:tcBorders>
            <w:shd w:val="clear" w:color="auto" w:fill="auto"/>
            <w:noWrap/>
            <w:vAlign w:val="bottom"/>
            <w:hideMark/>
          </w:tcPr>
          <w:p w14:paraId="1AD74C8F"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4,709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50A0CA03"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14,277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4372BA8B" w14:textId="77777777" w:rsidR="00F16FF3" w:rsidRPr="00F16FF3" w:rsidRDefault="00F16FF3" w:rsidP="00F16FF3">
            <w:pPr>
              <w:spacing w:after="0" w:line="240" w:lineRule="auto"/>
              <w:jc w:val="right"/>
              <w:rPr>
                <w:rFonts w:ascii="Calibri" w:eastAsia="Times New Roman" w:hAnsi="Calibri" w:cs="Calibri"/>
                <w:sz w:val="20"/>
                <w:szCs w:val="20"/>
                <w:lang w:eastAsia="en-AU"/>
              </w:rPr>
            </w:pPr>
            <w:r w:rsidRPr="00F16FF3">
              <w:rPr>
                <w:rFonts w:ascii="Calibri" w:eastAsia="Times New Roman" w:hAnsi="Calibri" w:cs="Calibri"/>
                <w:sz w:val="20"/>
                <w:szCs w:val="20"/>
                <w:lang w:eastAsia="en-AU"/>
              </w:rPr>
              <w:t>303.2%</w:t>
            </w:r>
          </w:p>
        </w:tc>
      </w:tr>
      <w:tr w:rsidR="00F16FF3" w:rsidRPr="00F16FF3" w14:paraId="4DD48BE1"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6439B8CB"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University of Tasmania</w:t>
            </w:r>
          </w:p>
        </w:tc>
        <w:tc>
          <w:tcPr>
            <w:tcW w:w="1180" w:type="dxa"/>
            <w:tcBorders>
              <w:top w:val="nil"/>
              <w:left w:val="nil"/>
              <w:bottom w:val="single" w:sz="4" w:space="0" w:color="auto"/>
              <w:right w:val="single" w:sz="4" w:space="0" w:color="auto"/>
            </w:tcBorders>
            <w:shd w:val="clear" w:color="auto" w:fill="auto"/>
            <w:noWrap/>
            <w:vAlign w:val="bottom"/>
            <w:hideMark/>
          </w:tcPr>
          <w:p w14:paraId="157325A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18,019 </w:t>
            </w:r>
          </w:p>
        </w:tc>
        <w:tc>
          <w:tcPr>
            <w:tcW w:w="1180" w:type="dxa"/>
            <w:tcBorders>
              <w:top w:val="nil"/>
              <w:left w:val="nil"/>
              <w:bottom w:val="single" w:sz="4" w:space="0" w:color="auto"/>
              <w:right w:val="single" w:sz="4" w:space="0" w:color="auto"/>
            </w:tcBorders>
            <w:shd w:val="clear" w:color="auto" w:fill="auto"/>
            <w:noWrap/>
            <w:vAlign w:val="bottom"/>
            <w:hideMark/>
          </w:tcPr>
          <w:p w14:paraId="7D794732"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72,371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30AD31D7"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-54,352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F5DD580"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-75.1%</w:t>
            </w:r>
          </w:p>
        </w:tc>
      </w:tr>
      <w:tr w:rsidR="00F16FF3" w:rsidRPr="00F16FF3" w14:paraId="1451A95B"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6E0724A8"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James Cook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23162CC8"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13,953 </w:t>
            </w:r>
          </w:p>
        </w:tc>
        <w:tc>
          <w:tcPr>
            <w:tcW w:w="1180" w:type="dxa"/>
            <w:tcBorders>
              <w:top w:val="nil"/>
              <w:left w:val="nil"/>
              <w:bottom w:val="single" w:sz="4" w:space="0" w:color="auto"/>
              <w:right w:val="single" w:sz="4" w:space="0" w:color="auto"/>
            </w:tcBorders>
            <w:shd w:val="clear" w:color="auto" w:fill="auto"/>
            <w:noWrap/>
            <w:vAlign w:val="bottom"/>
            <w:hideMark/>
          </w:tcPr>
          <w:p w14:paraId="24C0AFED"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10,383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0F29E494"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3,570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5532AE32" w14:textId="77777777" w:rsidR="00F16FF3" w:rsidRPr="00F16FF3" w:rsidRDefault="00F16FF3" w:rsidP="00F16FF3">
            <w:pPr>
              <w:spacing w:after="0" w:line="240" w:lineRule="auto"/>
              <w:jc w:val="right"/>
              <w:rPr>
                <w:rFonts w:ascii="Calibri" w:eastAsia="Times New Roman" w:hAnsi="Calibri" w:cs="Calibri"/>
                <w:sz w:val="20"/>
                <w:szCs w:val="20"/>
                <w:lang w:eastAsia="en-AU"/>
              </w:rPr>
            </w:pPr>
            <w:r w:rsidRPr="00F16FF3">
              <w:rPr>
                <w:rFonts w:ascii="Calibri" w:eastAsia="Times New Roman" w:hAnsi="Calibri" w:cs="Calibri"/>
                <w:sz w:val="20"/>
                <w:szCs w:val="20"/>
                <w:lang w:eastAsia="en-AU"/>
              </w:rPr>
              <w:t>34.4%</w:t>
            </w:r>
          </w:p>
        </w:tc>
      </w:tr>
      <w:tr w:rsidR="00F16FF3" w:rsidRPr="00F16FF3" w14:paraId="7A45AEB8"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1BDABED5"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University of Southern Queensland</w:t>
            </w:r>
          </w:p>
        </w:tc>
        <w:tc>
          <w:tcPr>
            <w:tcW w:w="1180" w:type="dxa"/>
            <w:tcBorders>
              <w:top w:val="nil"/>
              <w:left w:val="nil"/>
              <w:bottom w:val="single" w:sz="4" w:space="0" w:color="auto"/>
              <w:right w:val="single" w:sz="4" w:space="0" w:color="auto"/>
            </w:tcBorders>
            <w:shd w:val="clear" w:color="auto" w:fill="auto"/>
            <w:noWrap/>
            <w:vAlign w:val="bottom"/>
            <w:hideMark/>
          </w:tcPr>
          <w:p w14:paraId="31D7C2C1"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12,580 </w:t>
            </w:r>
          </w:p>
        </w:tc>
        <w:tc>
          <w:tcPr>
            <w:tcW w:w="1180" w:type="dxa"/>
            <w:tcBorders>
              <w:top w:val="nil"/>
              <w:left w:val="nil"/>
              <w:bottom w:val="single" w:sz="4" w:space="0" w:color="auto"/>
              <w:right w:val="single" w:sz="4" w:space="0" w:color="auto"/>
            </w:tcBorders>
            <w:shd w:val="clear" w:color="auto" w:fill="auto"/>
            <w:noWrap/>
            <w:vAlign w:val="bottom"/>
            <w:hideMark/>
          </w:tcPr>
          <w:p w14:paraId="3D5723A1"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5,580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52FEB632"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7,000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10A08CC9" w14:textId="77777777" w:rsidR="00F16FF3" w:rsidRPr="00F16FF3" w:rsidRDefault="00F16FF3" w:rsidP="00F16FF3">
            <w:pPr>
              <w:spacing w:after="0" w:line="240" w:lineRule="auto"/>
              <w:jc w:val="right"/>
              <w:rPr>
                <w:rFonts w:ascii="Calibri" w:eastAsia="Times New Roman" w:hAnsi="Calibri" w:cs="Calibri"/>
                <w:sz w:val="20"/>
                <w:szCs w:val="20"/>
                <w:lang w:eastAsia="en-AU"/>
              </w:rPr>
            </w:pPr>
            <w:r w:rsidRPr="00F16FF3">
              <w:rPr>
                <w:rFonts w:ascii="Calibri" w:eastAsia="Times New Roman" w:hAnsi="Calibri" w:cs="Calibri"/>
                <w:sz w:val="20"/>
                <w:szCs w:val="20"/>
                <w:lang w:eastAsia="en-AU"/>
              </w:rPr>
              <w:t>125.4%</w:t>
            </w:r>
          </w:p>
        </w:tc>
      </w:tr>
      <w:tr w:rsidR="00F16FF3" w:rsidRPr="00F16FF3" w14:paraId="0E453A6E"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5E4CAF6B"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The University of Newcastle</w:t>
            </w:r>
          </w:p>
        </w:tc>
        <w:tc>
          <w:tcPr>
            <w:tcW w:w="1180" w:type="dxa"/>
            <w:tcBorders>
              <w:top w:val="nil"/>
              <w:left w:val="nil"/>
              <w:bottom w:val="single" w:sz="4" w:space="0" w:color="auto"/>
              <w:right w:val="single" w:sz="4" w:space="0" w:color="auto"/>
            </w:tcBorders>
            <w:shd w:val="clear" w:color="auto" w:fill="auto"/>
            <w:noWrap/>
            <w:vAlign w:val="bottom"/>
            <w:hideMark/>
          </w:tcPr>
          <w:p w14:paraId="3EF28F5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5,861 </w:t>
            </w:r>
          </w:p>
        </w:tc>
        <w:tc>
          <w:tcPr>
            <w:tcW w:w="1180" w:type="dxa"/>
            <w:tcBorders>
              <w:top w:val="nil"/>
              <w:left w:val="nil"/>
              <w:bottom w:val="single" w:sz="4" w:space="0" w:color="auto"/>
              <w:right w:val="single" w:sz="4" w:space="0" w:color="auto"/>
            </w:tcBorders>
            <w:shd w:val="clear" w:color="auto" w:fill="auto"/>
            <w:noWrap/>
            <w:vAlign w:val="bottom"/>
            <w:hideMark/>
          </w:tcPr>
          <w:p w14:paraId="7A71AC8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64,974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75F5CD60"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-59,113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1D4DD93"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-91.0%</w:t>
            </w:r>
          </w:p>
        </w:tc>
      </w:tr>
      <w:tr w:rsidR="00F16FF3" w:rsidRPr="00F16FF3" w14:paraId="3F04ECA5"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10DF4257"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Victoria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6000B5C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5,724 </w:t>
            </w:r>
          </w:p>
        </w:tc>
        <w:tc>
          <w:tcPr>
            <w:tcW w:w="1180" w:type="dxa"/>
            <w:tcBorders>
              <w:top w:val="nil"/>
              <w:left w:val="nil"/>
              <w:bottom w:val="single" w:sz="4" w:space="0" w:color="auto"/>
              <w:right w:val="single" w:sz="4" w:space="0" w:color="auto"/>
            </w:tcBorders>
            <w:shd w:val="clear" w:color="auto" w:fill="auto"/>
            <w:noWrap/>
            <w:vAlign w:val="bottom"/>
            <w:hideMark/>
          </w:tcPr>
          <w:p w14:paraId="164B9481"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30,336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C8CC538"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-24,612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F76E390"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-81.1%</w:t>
            </w:r>
          </w:p>
        </w:tc>
      </w:tr>
      <w:tr w:rsidR="00F16FF3" w:rsidRPr="00F16FF3" w14:paraId="4B416B68"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3AF74DFC" w14:textId="4D26299D" w:rsidR="00F16FF3" w:rsidRPr="00F16FF3" w:rsidRDefault="006E1ED9" w:rsidP="00F16FF3">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Federation </w:t>
            </w:r>
            <w:r w:rsidR="00F16FF3" w:rsidRPr="00F16FF3">
              <w:rPr>
                <w:rFonts w:ascii="Calibri" w:eastAsia="Times New Roman" w:hAnsi="Calibri" w:cs="Calibri"/>
                <w:color w:val="000000"/>
                <w:sz w:val="20"/>
                <w:szCs w:val="20"/>
                <w:lang w:eastAsia="en-AU"/>
              </w:rPr>
              <w:t xml:space="preserve">University </w:t>
            </w:r>
            <w:r>
              <w:rPr>
                <w:rFonts w:ascii="Calibri" w:eastAsia="Times New Roman" w:hAnsi="Calibri" w:cs="Calibri"/>
                <w:color w:val="000000"/>
                <w:sz w:val="20"/>
                <w:szCs w:val="20"/>
                <w:lang w:eastAsia="en-AU"/>
              </w:rPr>
              <w:t>Australia</w:t>
            </w:r>
          </w:p>
        </w:tc>
        <w:tc>
          <w:tcPr>
            <w:tcW w:w="1180" w:type="dxa"/>
            <w:tcBorders>
              <w:top w:val="nil"/>
              <w:left w:val="nil"/>
              <w:bottom w:val="single" w:sz="4" w:space="0" w:color="auto"/>
              <w:right w:val="single" w:sz="4" w:space="0" w:color="auto"/>
            </w:tcBorders>
            <w:shd w:val="clear" w:color="auto" w:fill="auto"/>
            <w:noWrap/>
            <w:vAlign w:val="bottom"/>
            <w:hideMark/>
          </w:tcPr>
          <w:p w14:paraId="3C77806F"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3,871 </w:t>
            </w:r>
          </w:p>
        </w:tc>
        <w:tc>
          <w:tcPr>
            <w:tcW w:w="1180" w:type="dxa"/>
            <w:tcBorders>
              <w:top w:val="nil"/>
              <w:left w:val="nil"/>
              <w:bottom w:val="single" w:sz="4" w:space="0" w:color="auto"/>
              <w:right w:val="single" w:sz="4" w:space="0" w:color="auto"/>
            </w:tcBorders>
            <w:shd w:val="clear" w:color="auto" w:fill="auto"/>
            <w:noWrap/>
            <w:vAlign w:val="bottom"/>
            <w:hideMark/>
          </w:tcPr>
          <w:p w14:paraId="4F86EB87"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36,724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060685A5"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-32,853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341B820"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-89.5%</w:t>
            </w:r>
          </w:p>
        </w:tc>
      </w:tr>
      <w:tr w:rsidR="00F16FF3" w:rsidRPr="00F16FF3" w14:paraId="5F7313A4"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27C24F12"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Batchelor Institute of Indigenous Tertiary Education</w:t>
            </w:r>
          </w:p>
        </w:tc>
        <w:tc>
          <w:tcPr>
            <w:tcW w:w="1180" w:type="dxa"/>
            <w:tcBorders>
              <w:top w:val="nil"/>
              <w:left w:val="nil"/>
              <w:bottom w:val="single" w:sz="4" w:space="0" w:color="auto"/>
              <w:right w:val="single" w:sz="4" w:space="0" w:color="auto"/>
            </w:tcBorders>
            <w:shd w:val="clear" w:color="auto" w:fill="auto"/>
            <w:noWrap/>
            <w:vAlign w:val="bottom"/>
            <w:hideMark/>
          </w:tcPr>
          <w:p w14:paraId="64603AA8"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-214 </w:t>
            </w:r>
          </w:p>
        </w:tc>
        <w:tc>
          <w:tcPr>
            <w:tcW w:w="1180" w:type="dxa"/>
            <w:tcBorders>
              <w:top w:val="nil"/>
              <w:left w:val="nil"/>
              <w:bottom w:val="single" w:sz="4" w:space="0" w:color="auto"/>
              <w:right w:val="single" w:sz="4" w:space="0" w:color="auto"/>
            </w:tcBorders>
            <w:shd w:val="clear" w:color="auto" w:fill="auto"/>
            <w:noWrap/>
            <w:vAlign w:val="bottom"/>
            <w:hideMark/>
          </w:tcPr>
          <w:p w14:paraId="5AB7260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-2,732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3F3BDDEC"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2,518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6BD83B8" w14:textId="5FD52033"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C56801">
              <w:rPr>
                <w:rFonts w:ascii="Calibri" w:eastAsia="Times New Roman" w:hAnsi="Calibri" w:cs="Calibri"/>
                <w:sz w:val="20"/>
                <w:szCs w:val="20"/>
                <w:lang w:eastAsia="en-AU"/>
              </w:rPr>
              <w:t>92.2%</w:t>
            </w:r>
          </w:p>
        </w:tc>
      </w:tr>
      <w:tr w:rsidR="00F16FF3" w:rsidRPr="00F16FF3" w14:paraId="373B753C"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5CC566B3"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Curtin University of Technology</w:t>
            </w:r>
          </w:p>
        </w:tc>
        <w:tc>
          <w:tcPr>
            <w:tcW w:w="1180" w:type="dxa"/>
            <w:tcBorders>
              <w:top w:val="nil"/>
              <w:left w:val="nil"/>
              <w:bottom w:val="single" w:sz="4" w:space="0" w:color="auto"/>
              <w:right w:val="single" w:sz="4" w:space="0" w:color="auto"/>
            </w:tcBorders>
            <w:shd w:val="clear" w:color="auto" w:fill="auto"/>
            <w:noWrap/>
            <w:vAlign w:val="bottom"/>
            <w:hideMark/>
          </w:tcPr>
          <w:p w14:paraId="1C01BEFD"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-1,098 </w:t>
            </w:r>
          </w:p>
        </w:tc>
        <w:tc>
          <w:tcPr>
            <w:tcW w:w="1180" w:type="dxa"/>
            <w:tcBorders>
              <w:top w:val="nil"/>
              <w:left w:val="nil"/>
              <w:bottom w:val="single" w:sz="4" w:space="0" w:color="auto"/>
              <w:right w:val="single" w:sz="4" w:space="0" w:color="auto"/>
            </w:tcBorders>
            <w:shd w:val="clear" w:color="auto" w:fill="auto"/>
            <w:noWrap/>
            <w:vAlign w:val="bottom"/>
            <w:hideMark/>
          </w:tcPr>
          <w:p w14:paraId="0A08C13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82,054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0CE8EB2B"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-83,152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E928D16"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-101.3%</w:t>
            </w:r>
          </w:p>
        </w:tc>
      </w:tr>
      <w:tr w:rsidR="00F16FF3" w:rsidRPr="00F16FF3" w14:paraId="0F91C93B"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7F0D5C61"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Southern Cross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3E9DF06C"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-2,780 </w:t>
            </w:r>
          </w:p>
        </w:tc>
        <w:tc>
          <w:tcPr>
            <w:tcW w:w="1180" w:type="dxa"/>
            <w:tcBorders>
              <w:top w:val="nil"/>
              <w:left w:val="nil"/>
              <w:bottom w:val="single" w:sz="4" w:space="0" w:color="auto"/>
              <w:right w:val="single" w:sz="4" w:space="0" w:color="auto"/>
            </w:tcBorders>
            <w:shd w:val="clear" w:color="auto" w:fill="auto"/>
            <w:noWrap/>
            <w:vAlign w:val="bottom"/>
            <w:hideMark/>
          </w:tcPr>
          <w:p w14:paraId="4C1D2A63"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15,787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15EFF8ED"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-18,567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2D5139"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-117.6%</w:t>
            </w:r>
          </w:p>
        </w:tc>
      </w:tr>
      <w:tr w:rsidR="00F16FF3" w:rsidRPr="00F16FF3" w14:paraId="295557AA"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66E1A7E2"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The University of Notre Dame Australia</w:t>
            </w:r>
          </w:p>
        </w:tc>
        <w:tc>
          <w:tcPr>
            <w:tcW w:w="1180" w:type="dxa"/>
            <w:tcBorders>
              <w:top w:val="nil"/>
              <w:left w:val="nil"/>
              <w:bottom w:val="single" w:sz="4" w:space="0" w:color="auto"/>
              <w:right w:val="single" w:sz="4" w:space="0" w:color="auto"/>
            </w:tcBorders>
            <w:shd w:val="clear" w:color="auto" w:fill="auto"/>
            <w:noWrap/>
            <w:vAlign w:val="bottom"/>
            <w:hideMark/>
          </w:tcPr>
          <w:p w14:paraId="79F285E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-4,995 </w:t>
            </w:r>
          </w:p>
        </w:tc>
        <w:tc>
          <w:tcPr>
            <w:tcW w:w="1180" w:type="dxa"/>
            <w:tcBorders>
              <w:top w:val="nil"/>
              <w:left w:val="nil"/>
              <w:bottom w:val="single" w:sz="4" w:space="0" w:color="auto"/>
              <w:right w:val="single" w:sz="4" w:space="0" w:color="auto"/>
            </w:tcBorders>
            <w:shd w:val="clear" w:color="auto" w:fill="auto"/>
            <w:noWrap/>
            <w:vAlign w:val="bottom"/>
            <w:hideMark/>
          </w:tcPr>
          <w:p w14:paraId="6808ECD3"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-5,062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3972541D"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67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11A0DE" w14:textId="0E4125F0"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C56801">
              <w:rPr>
                <w:rFonts w:ascii="Calibri" w:eastAsia="Times New Roman" w:hAnsi="Calibri" w:cs="Calibri"/>
                <w:sz w:val="20"/>
                <w:szCs w:val="20"/>
                <w:lang w:eastAsia="en-AU"/>
              </w:rPr>
              <w:t>1.3%</w:t>
            </w:r>
          </w:p>
        </w:tc>
      </w:tr>
      <w:tr w:rsidR="00F16FF3" w:rsidRPr="00F16FF3" w14:paraId="5E7F2941"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4A10E7B4"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Griffith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0595C128"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-5,057 </w:t>
            </w:r>
          </w:p>
        </w:tc>
        <w:tc>
          <w:tcPr>
            <w:tcW w:w="1180" w:type="dxa"/>
            <w:tcBorders>
              <w:top w:val="nil"/>
              <w:left w:val="nil"/>
              <w:bottom w:val="single" w:sz="4" w:space="0" w:color="auto"/>
              <w:right w:val="single" w:sz="4" w:space="0" w:color="auto"/>
            </w:tcBorders>
            <w:shd w:val="clear" w:color="auto" w:fill="auto"/>
            <w:noWrap/>
            <w:vAlign w:val="bottom"/>
            <w:hideMark/>
          </w:tcPr>
          <w:p w14:paraId="5D1FCA0F"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52,775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279799F0"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-57,832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DF942A8"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-109.6%</w:t>
            </w:r>
          </w:p>
        </w:tc>
      </w:tr>
      <w:tr w:rsidR="00F16FF3" w:rsidRPr="00F16FF3" w14:paraId="628DD0FA"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4F5E9720"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Murdoch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7AD891C5"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-10,961 </w:t>
            </w:r>
          </w:p>
        </w:tc>
        <w:tc>
          <w:tcPr>
            <w:tcW w:w="1180" w:type="dxa"/>
            <w:tcBorders>
              <w:top w:val="nil"/>
              <w:left w:val="nil"/>
              <w:bottom w:val="single" w:sz="4" w:space="0" w:color="auto"/>
              <w:right w:val="single" w:sz="4" w:space="0" w:color="auto"/>
            </w:tcBorders>
            <w:shd w:val="clear" w:color="auto" w:fill="auto"/>
            <w:noWrap/>
            <w:vAlign w:val="bottom"/>
            <w:hideMark/>
          </w:tcPr>
          <w:p w14:paraId="615D2907"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19,904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4DFBD220"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-30,865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0B8F4A2"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-155.1%</w:t>
            </w:r>
          </w:p>
        </w:tc>
      </w:tr>
      <w:tr w:rsidR="00F16FF3" w:rsidRPr="00F16FF3" w14:paraId="14077711"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7596F6C3"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Australian National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3B857EEA"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-17,699 </w:t>
            </w:r>
          </w:p>
        </w:tc>
        <w:tc>
          <w:tcPr>
            <w:tcW w:w="1180" w:type="dxa"/>
            <w:tcBorders>
              <w:top w:val="nil"/>
              <w:left w:val="nil"/>
              <w:bottom w:val="single" w:sz="4" w:space="0" w:color="auto"/>
              <w:right w:val="single" w:sz="4" w:space="0" w:color="auto"/>
            </w:tcBorders>
            <w:shd w:val="clear" w:color="auto" w:fill="auto"/>
            <w:noWrap/>
            <w:vAlign w:val="bottom"/>
            <w:hideMark/>
          </w:tcPr>
          <w:p w14:paraId="0B62BC64"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302,339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5E1F29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-320,038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8244F6B"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-105.9%</w:t>
            </w:r>
          </w:p>
        </w:tc>
      </w:tr>
      <w:tr w:rsidR="00F16FF3" w:rsidRPr="00F16FF3" w14:paraId="759B87D8"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7D6F8DAE"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The University of New England</w:t>
            </w:r>
          </w:p>
        </w:tc>
        <w:tc>
          <w:tcPr>
            <w:tcW w:w="1180" w:type="dxa"/>
            <w:tcBorders>
              <w:top w:val="nil"/>
              <w:left w:val="nil"/>
              <w:bottom w:val="single" w:sz="4" w:space="0" w:color="auto"/>
              <w:right w:val="single" w:sz="4" w:space="0" w:color="auto"/>
            </w:tcBorders>
            <w:shd w:val="clear" w:color="auto" w:fill="auto"/>
            <w:noWrap/>
            <w:vAlign w:val="bottom"/>
            <w:hideMark/>
          </w:tcPr>
          <w:p w14:paraId="3B9B497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-18,995 </w:t>
            </w:r>
          </w:p>
        </w:tc>
        <w:tc>
          <w:tcPr>
            <w:tcW w:w="1180" w:type="dxa"/>
            <w:tcBorders>
              <w:top w:val="nil"/>
              <w:left w:val="nil"/>
              <w:bottom w:val="single" w:sz="4" w:space="0" w:color="auto"/>
              <w:right w:val="single" w:sz="4" w:space="0" w:color="auto"/>
            </w:tcBorders>
            <w:shd w:val="clear" w:color="auto" w:fill="auto"/>
            <w:noWrap/>
            <w:vAlign w:val="bottom"/>
            <w:hideMark/>
          </w:tcPr>
          <w:p w14:paraId="4F5F3539"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-4,845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1289AC5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-14,150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46A651C3" w14:textId="745920C1" w:rsidR="00F16FF3" w:rsidRPr="00F16FF3" w:rsidRDefault="00C56801" w:rsidP="00F16FF3">
            <w:pPr>
              <w:spacing w:after="0" w:line="240" w:lineRule="auto"/>
              <w:jc w:val="right"/>
              <w:rPr>
                <w:rFonts w:ascii="Calibri" w:eastAsia="Times New Roman" w:hAnsi="Calibri" w:cs="Calibri"/>
                <w:sz w:val="20"/>
                <w:szCs w:val="20"/>
                <w:lang w:eastAsia="en-AU"/>
              </w:rPr>
            </w:pPr>
            <w:r w:rsidRPr="00C56801">
              <w:rPr>
                <w:rFonts w:ascii="Calibri" w:eastAsia="Times New Roman" w:hAnsi="Calibri" w:cs="Calibri"/>
                <w:color w:val="FF0000"/>
                <w:sz w:val="20"/>
                <w:szCs w:val="20"/>
                <w:lang w:eastAsia="en-AU"/>
              </w:rPr>
              <w:t>-</w:t>
            </w:r>
            <w:r w:rsidR="00F16FF3" w:rsidRPr="00C56801">
              <w:rPr>
                <w:rFonts w:ascii="Calibri" w:eastAsia="Times New Roman" w:hAnsi="Calibri" w:cs="Calibri"/>
                <w:color w:val="FF0000"/>
                <w:sz w:val="20"/>
                <w:szCs w:val="20"/>
                <w:lang w:eastAsia="en-AU"/>
              </w:rPr>
              <w:t>292.1%</w:t>
            </w:r>
          </w:p>
        </w:tc>
      </w:tr>
      <w:tr w:rsidR="00F16FF3" w:rsidRPr="00F16FF3" w14:paraId="6B9C8871"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6AB759C9"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The University of New South Wales</w:t>
            </w:r>
          </w:p>
        </w:tc>
        <w:tc>
          <w:tcPr>
            <w:tcW w:w="1180" w:type="dxa"/>
            <w:tcBorders>
              <w:top w:val="nil"/>
              <w:left w:val="nil"/>
              <w:bottom w:val="single" w:sz="4" w:space="0" w:color="auto"/>
              <w:right w:val="single" w:sz="4" w:space="0" w:color="auto"/>
            </w:tcBorders>
            <w:shd w:val="clear" w:color="auto" w:fill="auto"/>
            <w:noWrap/>
            <w:vAlign w:val="bottom"/>
            <w:hideMark/>
          </w:tcPr>
          <w:p w14:paraId="16FC58A7"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-24,167 </w:t>
            </w:r>
          </w:p>
        </w:tc>
        <w:tc>
          <w:tcPr>
            <w:tcW w:w="1180" w:type="dxa"/>
            <w:tcBorders>
              <w:top w:val="nil"/>
              <w:left w:val="nil"/>
              <w:bottom w:val="single" w:sz="4" w:space="0" w:color="auto"/>
              <w:right w:val="single" w:sz="4" w:space="0" w:color="auto"/>
            </w:tcBorders>
            <w:shd w:val="clear" w:color="auto" w:fill="auto"/>
            <w:noWrap/>
            <w:vAlign w:val="bottom"/>
            <w:hideMark/>
          </w:tcPr>
          <w:p w14:paraId="69E1AFF8"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31,199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1228AADE"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-55,366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2FBE19"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-177.5%</w:t>
            </w:r>
          </w:p>
        </w:tc>
      </w:tr>
      <w:tr w:rsidR="00F16FF3" w:rsidRPr="00F16FF3" w14:paraId="641CDDA3"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6F2B3C34"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Central Queensland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68B1791F"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-33,172 </w:t>
            </w:r>
          </w:p>
        </w:tc>
        <w:tc>
          <w:tcPr>
            <w:tcW w:w="1180" w:type="dxa"/>
            <w:tcBorders>
              <w:top w:val="nil"/>
              <w:left w:val="nil"/>
              <w:bottom w:val="single" w:sz="4" w:space="0" w:color="auto"/>
              <w:right w:val="single" w:sz="4" w:space="0" w:color="auto"/>
            </w:tcBorders>
            <w:shd w:val="clear" w:color="auto" w:fill="auto"/>
            <w:noWrap/>
            <w:vAlign w:val="bottom"/>
            <w:hideMark/>
          </w:tcPr>
          <w:p w14:paraId="7B807931"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3,413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0AB65254"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-36,585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F810802"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-1071.9%</w:t>
            </w:r>
          </w:p>
        </w:tc>
      </w:tr>
      <w:tr w:rsidR="00F16FF3" w:rsidRPr="00F16FF3" w14:paraId="37E61F8C"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426F96CC"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Swinburne University of Technology</w:t>
            </w:r>
          </w:p>
        </w:tc>
        <w:tc>
          <w:tcPr>
            <w:tcW w:w="1180" w:type="dxa"/>
            <w:tcBorders>
              <w:top w:val="nil"/>
              <w:left w:val="nil"/>
              <w:bottom w:val="single" w:sz="4" w:space="0" w:color="auto"/>
              <w:right w:val="single" w:sz="4" w:space="0" w:color="auto"/>
            </w:tcBorders>
            <w:shd w:val="clear" w:color="auto" w:fill="auto"/>
            <w:noWrap/>
            <w:vAlign w:val="bottom"/>
            <w:hideMark/>
          </w:tcPr>
          <w:p w14:paraId="4DF8EF1E" w14:textId="5426F28C"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-35,66</w:t>
            </w:r>
            <w:r w:rsidR="00ED799A">
              <w:rPr>
                <w:rFonts w:ascii="Calibri" w:eastAsia="Times New Roman" w:hAnsi="Calibri" w:cs="Calibri"/>
                <w:color w:val="FF0000"/>
                <w:sz w:val="20"/>
                <w:szCs w:val="20"/>
                <w:lang w:eastAsia="en-AU"/>
              </w:rPr>
              <w:t>6</w:t>
            </w:r>
            <w:r w:rsidRPr="00F16FF3">
              <w:rPr>
                <w:rFonts w:ascii="Calibri" w:eastAsia="Times New Roman" w:hAnsi="Calibri" w:cs="Calibri"/>
                <w:color w:val="FF0000"/>
                <w:sz w:val="20"/>
                <w:szCs w:val="20"/>
                <w:lang w:eastAsia="en-AU"/>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61FA380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33,749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57442E1F" w14:textId="09633A25"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-69,41</w:t>
            </w:r>
            <w:r w:rsidR="006E1ED9">
              <w:rPr>
                <w:rFonts w:ascii="Calibri" w:eastAsia="Times New Roman" w:hAnsi="Calibri" w:cs="Calibri"/>
                <w:color w:val="FF0000"/>
                <w:sz w:val="20"/>
                <w:szCs w:val="20"/>
                <w:lang w:eastAsia="en-AU"/>
              </w:rPr>
              <w:t>5</w:t>
            </w:r>
            <w:r w:rsidRPr="00F16FF3">
              <w:rPr>
                <w:rFonts w:ascii="Calibri" w:eastAsia="Times New Roman" w:hAnsi="Calibri" w:cs="Calibri"/>
                <w:color w:val="FF0000"/>
                <w:sz w:val="20"/>
                <w:szCs w:val="20"/>
                <w:lang w:eastAsia="en-AU"/>
              </w:rPr>
              <w:t xml:space="preserve">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DAA4356"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-205.7%</w:t>
            </w:r>
          </w:p>
        </w:tc>
      </w:tr>
      <w:tr w:rsidR="00F16FF3" w:rsidRPr="00F16FF3" w14:paraId="4BEBE5EE"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12550784"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University of Technology, Sydney</w:t>
            </w:r>
          </w:p>
        </w:tc>
        <w:tc>
          <w:tcPr>
            <w:tcW w:w="1180" w:type="dxa"/>
            <w:tcBorders>
              <w:top w:val="nil"/>
              <w:left w:val="nil"/>
              <w:bottom w:val="single" w:sz="4" w:space="0" w:color="auto"/>
              <w:right w:val="single" w:sz="4" w:space="0" w:color="auto"/>
            </w:tcBorders>
            <w:shd w:val="clear" w:color="auto" w:fill="auto"/>
            <w:noWrap/>
            <w:vAlign w:val="bottom"/>
            <w:hideMark/>
          </w:tcPr>
          <w:p w14:paraId="630E1BA2"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-43,075 </w:t>
            </w:r>
          </w:p>
        </w:tc>
        <w:tc>
          <w:tcPr>
            <w:tcW w:w="1180" w:type="dxa"/>
            <w:tcBorders>
              <w:top w:val="nil"/>
              <w:left w:val="nil"/>
              <w:bottom w:val="single" w:sz="4" w:space="0" w:color="auto"/>
              <w:right w:val="single" w:sz="4" w:space="0" w:color="auto"/>
            </w:tcBorders>
            <w:shd w:val="clear" w:color="auto" w:fill="auto"/>
            <w:noWrap/>
            <w:vAlign w:val="bottom"/>
            <w:hideMark/>
          </w:tcPr>
          <w:p w14:paraId="2F46F709"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27,599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507FDE4C"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-70,674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47FF521"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-256.1%</w:t>
            </w:r>
          </w:p>
        </w:tc>
      </w:tr>
      <w:tr w:rsidR="00F16FF3" w:rsidRPr="00F16FF3" w14:paraId="1691BCB2"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33E0A75D"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La Trobe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4C8174B3"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-51,450 </w:t>
            </w:r>
          </w:p>
        </w:tc>
        <w:tc>
          <w:tcPr>
            <w:tcW w:w="1180" w:type="dxa"/>
            <w:tcBorders>
              <w:top w:val="nil"/>
              <w:left w:val="nil"/>
              <w:bottom w:val="single" w:sz="4" w:space="0" w:color="auto"/>
              <w:right w:val="single" w:sz="4" w:space="0" w:color="auto"/>
            </w:tcBorders>
            <w:shd w:val="clear" w:color="auto" w:fill="auto"/>
            <w:noWrap/>
            <w:vAlign w:val="bottom"/>
            <w:hideMark/>
          </w:tcPr>
          <w:p w14:paraId="1D66CFAC"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19,338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0C39A865"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-70,788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AFDD2EE"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-366.1%</w:t>
            </w:r>
          </w:p>
        </w:tc>
      </w:tr>
      <w:tr w:rsidR="00F16FF3" w:rsidRPr="00F16FF3" w14:paraId="6C3BF9DF" w14:textId="77777777" w:rsidTr="00F16FF3">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7000B009"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Macquarie University</w:t>
            </w:r>
          </w:p>
        </w:tc>
        <w:tc>
          <w:tcPr>
            <w:tcW w:w="1180" w:type="dxa"/>
            <w:tcBorders>
              <w:top w:val="nil"/>
              <w:left w:val="nil"/>
              <w:bottom w:val="single" w:sz="4" w:space="0" w:color="auto"/>
              <w:right w:val="single" w:sz="4" w:space="0" w:color="auto"/>
            </w:tcBorders>
            <w:shd w:val="clear" w:color="auto" w:fill="auto"/>
            <w:noWrap/>
            <w:vAlign w:val="bottom"/>
            <w:hideMark/>
          </w:tcPr>
          <w:p w14:paraId="656E2C06"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-52,723 </w:t>
            </w:r>
          </w:p>
        </w:tc>
        <w:tc>
          <w:tcPr>
            <w:tcW w:w="1180" w:type="dxa"/>
            <w:tcBorders>
              <w:top w:val="nil"/>
              <w:left w:val="nil"/>
              <w:bottom w:val="single" w:sz="4" w:space="0" w:color="auto"/>
              <w:right w:val="single" w:sz="4" w:space="0" w:color="auto"/>
            </w:tcBorders>
            <w:shd w:val="clear" w:color="auto" w:fill="auto"/>
            <w:noWrap/>
            <w:vAlign w:val="bottom"/>
            <w:hideMark/>
          </w:tcPr>
          <w:p w14:paraId="4E9BCB9A"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1,412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49DEC297"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-54,135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DBE710"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-3833.9%</w:t>
            </w:r>
          </w:p>
        </w:tc>
      </w:tr>
      <w:tr w:rsidR="00F16FF3" w:rsidRPr="00F16FF3" w14:paraId="523B8449" w14:textId="77777777" w:rsidTr="00441A76">
        <w:trPr>
          <w:trHeight w:val="255"/>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14:paraId="53EDCE88"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University of Wollongong</w:t>
            </w:r>
          </w:p>
        </w:tc>
        <w:tc>
          <w:tcPr>
            <w:tcW w:w="1180" w:type="dxa"/>
            <w:tcBorders>
              <w:top w:val="nil"/>
              <w:left w:val="nil"/>
              <w:bottom w:val="single" w:sz="4" w:space="0" w:color="auto"/>
              <w:right w:val="single" w:sz="4" w:space="0" w:color="auto"/>
            </w:tcBorders>
            <w:shd w:val="clear" w:color="auto" w:fill="auto"/>
            <w:noWrap/>
            <w:vAlign w:val="bottom"/>
            <w:hideMark/>
          </w:tcPr>
          <w:p w14:paraId="6519252D"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-52,780 </w:t>
            </w:r>
          </w:p>
        </w:tc>
        <w:tc>
          <w:tcPr>
            <w:tcW w:w="1180" w:type="dxa"/>
            <w:tcBorders>
              <w:top w:val="nil"/>
              <w:left w:val="nil"/>
              <w:bottom w:val="single" w:sz="4" w:space="0" w:color="auto"/>
              <w:right w:val="single" w:sz="4" w:space="0" w:color="auto"/>
            </w:tcBorders>
            <w:shd w:val="clear" w:color="auto" w:fill="auto"/>
            <w:noWrap/>
            <w:vAlign w:val="bottom"/>
            <w:hideMark/>
          </w:tcPr>
          <w:p w14:paraId="10B40D29"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17,667 </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669A141"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-70,447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D5C1FC3"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-398.7%</w:t>
            </w:r>
          </w:p>
        </w:tc>
      </w:tr>
      <w:tr w:rsidR="00F16FF3" w:rsidRPr="00F16FF3" w14:paraId="57B9531B" w14:textId="77777777" w:rsidTr="00441A76">
        <w:trPr>
          <w:trHeight w:val="255"/>
        </w:trPr>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EB584" w14:textId="77777777" w:rsidR="00F16FF3" w:rsidRPr="00F16FF3" w:rsidRDefault="00F16FF3" w:rsidP="00F16FF3">
            <w:pPr>
              <w:spacing w:after="0" w:line="240" w:lineRule="auto"/>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RMIT University</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696705A"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-78,773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4612004"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000000"/>
                <w:sz w:val="20"/>
                <w:szCs w:val="20"/>
                <w:lang w:eastAsia="en-AU"/>
              </w:rPr>
              <w:t xml:space="preserve">43,088 </w:t>
            </w:r>
          </w:p>
        </w:tc>
        <w:tc>
          <w:tcPr>
            <w:tcW w:w="118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D15DB8C" w14:textId="77777777" w:rsidR="00F16FF3" w:rsidRPr="00F16FF3" w:rsidRDefault="00F16FF3" w:rsidP="00F16FF3">
            <w:pPr>
              <w:spacing w:after="0" w:line="240" w:lineRule="auto"/>
              <w:jc w:val="right"/>
              <w:rPr>
                <w:rFonts w:ascii="Calibri" w:eastAsia="Times New Roman" w:hAnsi="Calibri" w:cs="Calibri"/>
                <w:color w:val="000000"/>
                <w:sz w:val="20"/>
                <w:szCs w:val="20"/>
                <w:lang w:eastAsia="en-AU"/>
              </w:rPr>
            </w:pPr>
            <w:r w:rsidRPr="00F16FF3">
              <w:rPr>
                <w:rFonts w:ascii="Calibri" w:eastAsia="Times New Roman" w:hAnsi="Calibri" w:cs="Calibri"/>
                <w:color w:val="FF0000"/>
                <w:sz w:val="20"/>
                <w:szCs w:val="20"/>
                <w:lang w:eastAsia="en-AU"/>
              </w:rPr>
              <w:t xml:space="preserve">-121,861 </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A945622" w14:textId="77777777" w:rsidR="00F16FF3" w:rsidRPr="00F16FF3" w:rsidRDefault="00F16FF3" w:rsidP="00F16FF3">
            <w:pPr>
              <w:spacing w:after="0" w:line="240" w:lineRule="auto"/>
              <w:jc w:val="right"/>
              <w:rPr>
                <w:rFonts w:ascii="Calibri" w:eastAsia="Times New Roman" w:hAnsi="Calibri" w:cs="Calibri"/>
                <w:color w:val="FF0000"/>
                <w:sz w:val="20"/>
                <w:szCs w:val="20"/>
                <w:lang w:eastAsia="en-AU"/>
              </w:rPr>
            </w:pPr>
            <w:r w:rsidRPr="00F16FF3">
              <w:rPr>
                <w:rFonts w:ascii="Calibri" w:eastAsia="Times New Roman" w:hAnsi="Calibri" w:cs="Calibri"/>
                <w:color w:val="FF0000"/>
                <w:sz w:val="20"/>
                <w:szCs w:val="20"/>
                <w:lang w:eastAsia="en-AU"/>
              </w:rPr>
              <w:t>-282.8%</w:t>
            </w:r>
          </w:p>
        </w:tc>
      </w:tr>
      <w:tr w:rsidR="00441A76" w:rsidRPr="00F16FF3" w14:paraId="0A0E47F7" w14:textId="77777777" w:rsidTr="00F046FC">
        <w:trPr>
          <w:trHeight w:val="255"/>
        </w:trPr>
        <w:tc>
          <w:tcPr>
            <w:tcW w:w="4560" w:type="dxa"/>
            <w:tcBorders>
              <w:top w:val="single" w:sz="4" w:space="0" w:color="auto"/>
              <w:left w:val="single" w:sz="4" w:space="0" w:color="auto"/>
              <w:bottom w:val="single" w:sz="4" w:space="0" w:color="auto"/>
              <w:right w:val="single" w:sz="4" w:space="0" w:color="auto"/>
            </w:tcBorders>
            <w:shd w:val="clear" w:color="auto" w:fill="D5DBEF" w:themeFill="text2" w:themeFillTint="33"/>
            <w:noWrap/>
            <w:vAlign w:val="bottom"/>
          </w:tcPr>
          <w:p w14:paraId="0F976F7F" w14:textId="70AE03A3" w:rsidR="00441A76" w:rsidRPr="00441A76" w:rsidRDefault="00441A76" w:rsidP="00F16FF3">
            <w:pPr>
              <w:spacing w:after="0" w:line="240" w:lineRule="auto"/>
              <w:rPr>
                <w:rFonts w:ascii="Calibri" w:eastAsia="Times New Roman" w:hAnsi="Calibri" w:cs="Calibri"/>
                <w:b/>
                <w:bCs/>
                <w:color w:val="000000"/>
                <w:sz w:val="20"/>
                <w:szCs w:val="20"/>
                <w:lang w:eastAsia="en-AU"/>
              </w:rPr>
            </w:pPr>
            <w:r w:rsidRPr="00441A76">
              <w:rPr>
                <w:rFonts w:ascii="Calibri" w:eastAsia="Times New Roman" w:hAnsi="Calibri" w:cs="Calibri"/>
                <w:b/>
                <w:bCs/>
                <w:color w:val="000000"/>
                <w:sz w:val="20"/>
                <w:szCs w:val="20"/>
                <w:lang w:eastAsia="en-AU"/>
              </w:rPr>
              <w:t>TOTAL – All Institutions</w:t>
            </w:r>
          </w:p>
        </w:tc>
        <w:tc>
          <w:tcPr>
            <w:tcW w:w="1180" w:type="dxa"/>
            <w:tcBorders>
              <w:top w:val="single" w:sz="4" w:space="0" w:color="auto"/>
              <w:left w:val="nil"/>
              <w:bottom w:val="single" w:sz="4" w:space="0" w:color="auto"/>
              <w:right w:val="single" w:sz="4" w:space="0" w:color="auto"/>
            </w:tcBorders>
            <w:shd w:val="clear" w:color="auto" w:fill="D5DBEF" w:themeFill="text2" w:themeFillTint="33"/>
            <w:noWrap/>
            <w:vAlign w:val="bottom"/>
          </w:tcPr>
          <w:p w14:paraId="3F9D1A00" w14:textId="0C0A0132" w:rsidR="00441A76" w:rsidRPr="00441A76" w:rsidRDefault="00441A76" w:rsidP="00F16FF3">
            <w:pPr>
              <w:spacing w:after="0" w:line="240" w:lineRule="auto"/>
              <w:jc w:val="right"/>
              <w:rPr>
                <w:rFonts w:ascii="Calibri" w:eastAsia="Times New Roman" w:hAnsi="Calibri" w:cs="Calibri"/>
                <w:b/>
                <w:bCs/>
                <w:color w:val="FF0000"/>
                <w:sz w:val="20"/>
                <w:szCs w:val="20"/>
                <w:lang w:eastAsia="en-AU"/>
              </w:rPr>
            </w:pPr>
            <w:r w:rsidRPr="00441A76">
              <w:rPr>
                <w:rFonts w:ascii="Calibri" w:eastAsia="Times New Roman" w:hAnsi="Calibri" w:cs="Calibri"/>
                <w:b/>
                <w:bCs/>
                <w:sz w:val="20"/>
                <w:szCs w:val="20"/>
                <w:lang w:eastAsia="en-AU"/>
              </w:rPr>
              <w:t>668,76</w:t>
            </w:r>
            <w:r w:rsidR="006E1ED9">
              <w:rPr>
                <w:rFonts w:ascii="Calibri" w:eastAsia="Times New Roman" w:hAnsi="Calibri" w:cs="Calibri"/>
                <w:b/>
                <w:bCs/>
                <w:sz w:val="20"/>
                <w:szCs w:val="20"/>
                <w:lang w:eastAsia="en-AU"/>
              </w:rPr>
              <w:t>3</w:t>
            </w:r>
          </w:p>
        </w:tc>
        <w:tc>
          <w:tcPr>
            <w:tcW w:w="1180" w:type="dxa"/>
            <w:tcBorders>
              <w:top w:val="single" w:sz="4" w:space="0" w:color="auto"/>
              <w:left w:val="nil"/>
              <w:bottom w:val="single" w:sz="4" w:space="0" w:color="auto"/>
              <w:right w:val="single" w:sz="4" w:space="0" w:color="auto"/>
            </w:tcBorders>
            <w:shd w:val="clear" w:color="auto" w:fill="D5DBEF" w:themeFill="text2" w:themeFillTint="33"/>
            <w:noWrap/>
            <w:vAlign w:val="bottom"/>
          </w:tcPr>
          <w:p w14:paraId="08FB5B0E" w14:textId="61A2650B" w:rsidR="00441A76" w:rsidRPr="00441A76" w:rsidRDefault="00441A76" w:rsidP="00F16FF3">
            <w:pPr>
              <w:spacing w:after="0" w:line="240" w:lineRule="auto"/>
              <w:jc w:val="right"/>
              <w:rPr>
                <w:rFonts w:ascii="Calibri" w:eastAsia="Times New Roman" w:hAnsi="Calibri" w:cs="Calibri"/>
                <w:b/>
                <w:bCs/>
                <w:color w:val="000000"/>
                <w:sz w:val="20"/>
                <w:szCs w:val="20"/>
                <w:lang w:eastAsia="en-AU"/>
              </w:rPr>
            </w:pPr>
            <w:r w:rsidRPr="00441A76">
              <w:rPr>
                <w:rFonts w:ascii="Calibri" w:eastAsia="Times New Roman" w:hAnsi="Calibri" w:cs="Calibri"/>
                <w:b/>
                <w:bCs/>
                <w:color w:val="000000"/>
                <w:sz w:val="20"/>
                <w:szCs w:val="20"/>
                <w:lang w:eastAsia="en-AU"/>
              </w:rPr>
              <w:t>2,280,194</w:t>
            </w:r>
          </w:p>
        </w:tc>
        <w:tc>
          <w:tcPr>
            <w:tcW w:w="1180" w:type="dxa"/>
            <w:tcBorders>
              <w:top w:val="single" w:sz="4" w:space="0" w:color="auto"/>
              <w:left w:val="nil"/>
              <w:bottom w:val="single" w:sz="4" w:space="0" w:color="auto"/>
              <w:right w:val="single" w:sz="4" w:space="0" w:color="auto"/>
            </w:tcBorders>
            <w:shd w:val="clear" w:color="auto" w:fill="D5DBEF" w:themeFill="text2" w:themeFillTint="33"/>
            <w:noWrap/>
            <w:vAlign w:val="bottom"/>
          </w:tcPr>
          <w:p w14:paraId="2DE0CE87" w14:textId="07168201" w:rsidR="00441A76" w:rsidRPr="00441A76" w:rsidRDefault="00441A76" w:rsidP="00F16FF3">
            <w:pPr>
              <w:spacing w:after="0" w:line="240" w:lineRule="auto"/>
              <w:jc w:val="right"/>
              <w:rPr>
                <w:rFonts w:ascii="Calibri" w:eastAsia="Times New Roman" w:hAnsi="Calibri" w:cs="Calibri"/>
                <w:b/>
                <w:bCs/>
                <w:color w:val="FF0000"/>
                <w:sz w:val="20"/>
                <w:szCs w:val="20"/>
                <w:lang w:eastAsia="en-AU"/>
              </w:rPr>
            </w:pPr>
            <w:r w:rsidRPr="00441A76">
              <w:rPr>
                <w:rFonts w:ascii="Calibri" w:eastAsia="Times New Roman" w:hAnsi="Calibri" w:cs="Calibri"/>
                <w:b/>
                <w:bCs/>
                <w:color w:val="FF0000"/>
                <w:sz w:val="20"/>
                <w:szCs w:val="20"/>
                <w:lang w:eastAsia="en-AU"/>
              </w:rPr>
              <w:t>-1,611,43</w:t>
            </w:r>
            <w:r w:rsidR="006E1ED9">
              <w:rPr>
                <w:rFonts w:ascii="Calibri" w:eastAsia="Times New Roman" w:hAnsi="Calibri" w:cs="Calibri"/>
                <w:b/>
                <w:bCs/>
                <w:color w:val="FF0000"/>
                <w:sz w:val="20"/>
                <w:szCs w:val="20"/>
                <w:lang w:eastAsia="en-AU"/>
              </w:rPr>
              <w:t>1</w:t>
            </w:r>
          </w:p>
        </w:tc>
        <w:tc>
          <w:tcPr>
            <w:tcW w:w="1180" w:type="dxa"/>
            <w:tcBorders>
              <w:top w:val="single" w:sz="4" w:space="0" w:color="auto"/>
              <w:left w:val="single" w:sz="4" w:space="0" w:color="auto"/>
              <w:bottom w:val="single" w:sz="4" w:space="0" w:color="auto"/>
              <w:right w:val="single" w:sz="4" w:space="0" w:color="auto"/>
            </w:tcBorders>
            <w:shd w:val="clear" w:color="auto" w:fill="D5DBEF" w:themeFill="text2" w:themeFillTint="33"/>
            <w:noWrap/>
            <w:vAlign w:val="bottom"/>
          </w:tcPr>
          <w:p w14:paraId="245FCB7D" w14:textId="799ED53F" w:rsidR="00441A76" w:rsidRPr="00441A76" w:rsidRDefault="00441A76" w:rsidP="00F16FF3">
            <w:pPr>
              <w:spacing w:after="0" w:line="240" w:lineRule="auto"/>
              <w:jc w:val="right"/>
              <w:rPr>
                <w:rFonts w:ascii="Calibri" w:eastAsia="Times New Roman" w:hAnsi="Calibri" w:cs="Calibri"/>
                <w:b/>
                <w:bCs/>
                <w:color w:val="FF0000"/>
                <w:sz w:val="20"/>
                <w:szCs w:val="20"/>
                <w:lang w:eastAsia="en-AU"/>
              </w:rPr>
            </w:pPr>
            <w:r w:rsidRPr="00441A76">
              <w:rPr>
                <w:rFonts w:ascii="Calibri" w:eastAsia="Times New Roman" w:hAnsi="Calibri" w:cs="Calibri"/>
                <w:b/>
                <w:bCs/>
                <w:color w:val="FF0000"/>
                <w:sz w:val="20"/>
                <w:szCs w:val="20"/>
                <w:lang w:eastAsia="en-AU"/>
              </w:rPr>
              <w:t>-70.7%</w:t>
            </w:r>
          </w:p>
        </w:tc>
      </w:tr>
    </w:tbl>
    <w:p w14:paraId="3C1F440E" w14:textId="77777777" w:rsidR="00A63BE1" w:rsidRPr="00183EB6" w:rsidRDefault="00A63BE1" w:rsidP="0018615B">
      <w:pPr>
        <w:pStyle w:val="Source"/>
        <w:spacing w:after="0" w:line="240" w:lineRule="auto"/>
        <w:rPr>
          <w:bCs/>
          <w:sz w:val="22"/>
          <w:szCs w:val="22"/>
        </w:rPr>
      </w:pPr>
    </w:p>
    <w:p w14:paraId="417ED902" w14:textId="77777777" w:rsidR="00F16FF3" w:rsidRDefault="00F16FF3">
      <w:pPr>
        <w:rPr>
          <w:rFonts w:ascii="Calibri" w:eastAsiaTheme="majorEastAsia" w:hAnsi="Calibri" w:cstheme="majorBidi"/>
          <w:b/>
          <w:bCs/>
          <w:color w:val="3D1D48" w:themeColor="accent4" w:themeShade="BF"/>
          <w:sz w:val="28"/>
          <w:szCs w:val="26"/>
        </w:rPr>
      </w:pPr>
      <w:bookmarkStart w:id="6" w:name="_Toc31182553"/>
      <w:r>
        <w:br w:type="page"/>
      </w:r>
    </w:p>
    <w:p w14:paraId="69065847" w14:textId="0490C915" w:rsidR="00C2009F" w:rsidRPr="00F51503" w:rsidRDefault="00C2009F" w:rsidP="00E20004">
      <w:pPr>
        <w:pStyle w:val="Heading2"/>
        <w:spacing w:after="120"/>
      </w:pPr>
      <w:bookmarkStart w:id="7" w:name="_Toc78463085"/>
      <w:r w:rsidRPr="00F51503">
        <w:lastRenderedPageBreak/>
        <w:t>Revenue</w:t>
      </w:r>
      <w:bookmarkEnd w:id="6"/>
      <w:bookmarkEnd w:id="7"/>
    </w:p>
    <w:p w14:paraId="4C1F48E6" w14:textId="56A3D748" w:rsidR="00DF7FF1" w:rsidRDefault="00E20004" w:rsidP="00D92D6E">
      <w:pPr>
        <w:pStyle w:val="Source"/>
        <w:spacing w:after="0" w:line="240" w:lineRule="auto"/>
        <w:rPr>
          <w:rStyle w:val="Strong"/>
          <w:b/>
          <w:sz w:val="22"/>
          <w:szCs w:val="22"/>
        </w:rPr>
      </w:pPr>
      <w:r w:rsidRPr="00F51503">
        <w:rPr>
          <w:rStyle w:val="Strong"/>
          <w:b/>
          <w:sz w:val="22"/>
          <w:szCs w:val="22"/>
        </w:rPr>
        <w:t xml:space="preserve">Table </w:t>
      </w:r>
      <w:r w:rsidR="0018615B" w:rsidRPr="00F51503">
        <w:rPr>
          <w:rStyle w:val="Strong"/>
          <w:b/>
          <w:sz w:val="22"/>
          <w:szCs w:val="22"/>
        </w:rPr>
        <w:t>2</w:t>
      </w:r>
      <w:r w:rsidR="00C06224" w:rsidRPr="00F51503">
        <w:rPr>
          <w:rStyle w:val="Strong"/>
          <w:b/>
          <w:sz w:val="22"/>
          <w:szCs w:val="22"/>
        </w:rPr>
        <w:t xml:space="preserve">: Summary of </w:t>
      </w:r>
      <w:r w:rsidR="00F67E41" w:rsidRPr="00F51503">
        <w:rPr>
          <w:rStyle w:val="Strong"/>
          <w:b/>
          <w:sz w:val="22"/>
          <w:szCs w:val="22"/>
        </w:rPr>
        <w:t>2019</w:t>
      </w:r>
      <w:r w:rsidR="00C06224" w:rsidRPr="00F51503">
        <w:rPr>
          <w:rStyle w:val="Strong"/>
          <w:b/>
          <w:sz w:val="22"/>
          <w:szCs w:val="22"/>
        </w:rPr>
        <w:t xml:space="preserve"> and </w:t>
      </w:r>
      <w:r w:rsidR="00F67E41" w:rsidRPr="00F51503">
        <w:rPr>
          <w:rStyle w:val="Strong"/>
          <w:b/>
          <w:sz w:val="22"/>
          <w:szCs w:val="22"/>
        </w:rPr>
        <w:t>2020</w:t>
      </w:r>
      <w:r w:rsidR="00894D19" w:rsidRPr="00F51503">
        <w:rPr>
          <w:rStyle w:val="Strong"/>
          <w:b/>
          <w:sz w:val="22"/>
          <w:szCs w:val="22"/>
        </w:rPr>
        <w:t xml:space="preserve"> Revenue</w:t>
      </w:r>
    </w:p>
    <w:tbl>
      <w:tblPr>
        <w:tblW w:w="0" w:type="auto"/>
        <w:tblLayout w:type="fixed"/>
        <w:tblLook w:val="04A0" w:firstRow="1" w:lastRow="0" w:firstColumn="1" w:lastColumn="0" w:noHBand="0" w:noVBand="1"/>
      </w:tblPr>
      <w:tblGrid>
        <w:gridCol w:w="4388"/>
        <w:gridCol w:w="1157"/>
        <w:gridCol w:w="1157"/>
        <w:gridCol w:w="1157"/>
        <w:gridCol w:w="1157"/>
      </w:tblGrid>
      <w:tr w:rsidR="006C3B51" w:rsidRPr="008B463E" w14:paraId="7590241A" w14:textId="77777777" w:rsidTr="00C452CC">
        <w:trPr>
          <w:trHeight w:val="300"/>
        </w:trPr>
        <w:tc>
          <w:tcPr>
            <w:tcW w:w="4388" w:type="dxa"/>
            <w:tcBorders>
              <w:top w:val="single" w:sz="4" w:space="0" w:color="auto"/>
              <w:left w:val="single" w:sz="4" w:space="0" w:color="auto"/>
              <w:bottom w:val="nil"/>
              <w:right w:val="single" w:sz="4" w:space="0" w:color="auto"/>
            </w:tcBorders>
            <w:shd w:val="clear" w:color="auto" w:fill="3C54A5" w:themeFill="text2"/>
            <w:noWrap/>
            <w:hideMark/>
          </w:tcPr>
          <w:p w14:paraId="22650D7D" w14:textId="77777777" w:rsidR="006C3B51" w:rsidRPr="008B463E" w:rsidRDefault="006C3B51" w:rsidP="008B463E">
            <w:pPr>
              <w:spacing w:after="0" w:line="240" w:lineRule="auto"/>
              <w:rPr>
                <w:rFonts w:ascii="Calibri" w:eastAsia="Times New Roman" w:hAnsi="Calibri" w:cs="Calibri"/>
                <w:b/>
                <w:bCs/>
                <w:color w:val="FFFFFF"/>
                <w:sz w:val="20"/>
                <w:szCs w:val="20"/>
                <w:lang w:eastAsia="en-AU"/>
              </w:rPr>
            </w:pPr>
            <w:r w:rsidRPr="008B463E">
              <w:rPr>
                <w:rFonts w:ascii="Calibri" w:eastAsia="Times New Roman" w:hAnsi="Calibri" w:cs="Calibri"/>
                <w:b/>
                <w:bCs/>
                <w:color w:val="FFFFFF"/>
                <w:sz w:val="20"/>
                <w:szCs w:val="20"/>
                <w:lang w:eastAsia="en-AU"/>
              </w:rPr>
              <w:t>Operating Revenue</w:t>
            </w:r>
          </w:p>
        </w:tc>
        <w:tc>
          <w:tcPr>
            <w:tcW w:w="1157" w:type="dxa"/>
            <w:tcBorders>
              <w:top w:val="single" w:sz="4" w:space="0" w:color="auto"/>
              <w:left w:val="nil"/>
              <w:bottom w:val="single" w:sz="4" w:space="0" w:color="auto"/>
              <w:right w:val="single" w:sz="4" w:space="0" w:color="auto"/>
            </w:tcBorders>
            <w:shd w:val="clear" w:color="auto" w:fill="3C54A5" w:themeFill="text2"/>
            <w:noWrap/>
            <w:vAlign w:val="bottom"/>
            <w:hideMark/>
          </w:tcPr>
          <w:p w14:paraId="19C342DD" w14:textId="77777777" w:rsidR="006C3B51" w:rsidRPr="008B463E" w:rsidRDefault="006C3B51" w:rsidP="008B463E">
            <w:pPr>
              <w:spacing w:after="0" w:line="240" w:lineRule="auto"/>
              <w:jc w:val="center"/>
              <w:rPr>
                <w:rFonts w:ascii="Calibri" w:eastAsia="Times New Roman" w:hAnsi="Calibri" w:cs="Calibri"/>
                <w:b/>
                <w:bCs/>
                <w:color w:val="FFFFFF"/>
                <w:sz w:val="20"/>
                <w:szCs w:val="20"/>
                <w:lang w:eastAsia="en-AU"/>
              </w:rPr>
            </w:pPr>
            <w:r w:rsidRPr="008B463E">
              <w:rPr>
                <w:rFonts w:ascii="Calibri" w:eastAsia="Times New Roman" w:hAnsi="Calibri" w:cs="Calibri"/>
                <w:b/>
                <w:bCs/>
                <w:color w:val="FFFFFF"/>
                <w:sz w:val="20"/>
                <w:szCs w:val="20"/>
                <w:lang w:eastAsia="en-AU"/>
              </w:rPr>
              <w:t>2020</w:t>
            </w:r>
          </w:p>
        </w:tc>
        <w:tc>
          <w:tcPr>
            <w:tcW w:w="1157" w:type="dxa"/>
            <w:tcBorders>
              <w:top w:val="single" w:sz="4" w:space="0" w:color="auto"/>
              <w:left w:val="nil"/>
              <w:bottom w:val="single" w:sz="4" w:space="0" w:color="auto"/>
              <w:right w:val="single" w:sz="4" w:space="0" w:color="auto"/>
            </w:tcBorders>
            <w:shd w:val="clear" w:color="auto" w:fill="3C54A5" w:themeFill="text2"/>
            <w:noWrap/>
            <w:vAlign w:val="bottom"/>
            <w:hideMark/>
          </w:tcPr>
          <w:p w14:paraId="72E8D294" w14:textId="77777777" w:rsidR="006C3B51" w:rsidRPr="008B463E" w:rsidRDefault="006C3B51" w:rsidP="008B463E">
            <w:pPr>
              <w:spacing w:after="0" w:line="240" w:lineRule="auto"/>
              <w:jc w:val="center"/>
              <w:rPr>
                <w:rFonts w:ascii="Calibri" w:eastAsia="Times New Roman" w:hAnsi="Calibri" w:cs="Calibri"/>
                <w:b/>
                <w:bCs/>
                <w:color w:val="FFFFFF"/>
                <w:sz w:val="20"/>
                <w:szCs w:val="20"/>
                <w:lang w:eastAsia="en-AU"/>
              </w:rPr>
            </w:pPr>
            <w:r w:rsidRPr="008B463E">
              <w:rPr>
                <w:rFonts w:ascii="Calibri" w:eastAsia="Times New Roman" w:hAnsi="Calibri" w:cs="Calibri"/>
                <w:b/>
                <w:bCs/>
                <w:color w:val="FFFFFF"/>
                <w:sz w:val="20"/>
                <w:szCs w:val="20"/>
                <w:lang w:eastAsia="en-AU"/>
              </w:rPr>
              <w:t>2019</w:t>
            </w:r>
          </w:p>
        </w:tc>
        <w:tc>
          <w:tcPr>
            <w:tcW w:w="2314" w:type="dxa"/>
            <w:gridSpan w:val="2"/>
            <w:tcBorders>
              <w:top w:val="single" w:sz="4" w:space="0" w:color="auto"/>
              <w:left w:val="nil"/>
              <w:bottom w:val="single" w:sz="4" w:space="0" w:color="auto"/>
              <w:right w:val="single" w:sz="4" w:space="0" w:color="000000"/>
            </w:tcBorders>
            <w:shd w:val="clear" w:color="auto" w:fill="3C54A5" w:themeFill="text2"/>
            <w:noWrap/>
            <w:vAlign w:val="bottom"/>
            <w:hideMark/>
          </w:tcPr>
          <w:p w14:paraId="68E35DBE" w14:textId="71C9E5F6" w:rsidR="006C3B51" w:rsidRPr="008B463E" w:rsidRDefault="006C3B51" w:rsidP="008B463E">
            <w:pPr>
              <w:spacing w:after="0" w:line="240" w:lineRule="auto"/>
              <w:jc w:val="center"/>
              <w:rPr>
                <w:rFonts w:ascii="Calibri" w:eastAsia="Times New Roman" w:hAnsi="Calibri" w:cs="Calibri"/>
                <w:b/>
                <w:bCs/>
                <w:color w:val="FFFFFF"/>
                <w:sz w:val="20"/>
                <w:szCs w:val="20"/>
                <w:lang w:eastAsia="en-AU"/>
              </w:rPr>
            </w:pPr>
            <w:r w:rsidRPr="008B463E">
              <w:rPr>
                <w:rFonts w:ascii="Calibri" w:eastAsia="Times New Roman" w:hAnsi="Calibri" w:cs="Calibri"/>
                <w:b/>
                <w:bCs/>
                <w:color w:val="FFFFFF"/>
                <w:sz w:val="20"/>
                <w:szCs w:val="20"/>
                <w:lang w:eastAsia="en-AU"/>
              </w:rPr>
              <w:t>Change</w:t>
            </w:r>
          </w:p>
        </w:tc>
      </w:tr>
      <w:tr w:rsidR="00F70D46" w:rsidRPr="008B463E" w14:paraId="3647C1B1" w14:textId="77777777" w:rsidTr="006C3B51">
        <w:trPr>
          <w:trHeight w:val="300"/>
        </w:trPr>
        <w:tc>
          <w:tcPr>
            <w:tcW w:w="4388" w:type="dxa"/>
            <w:tcBorders>
              <w:top w:val="nil"/>
              <w:left w:val="single" w:sz="4" w:space="0" w:color="auto"/>
              <w:bottom w:val="single" w:sz="4" w:space="0" w:color="auto"/>
              <w:right w:val="single" w:sz="4" w:space="0" w:color="auto"/>
            </w:tcBorders>
            <w:shd w:val="clear" w:color="auto" w:fill="3C54A5" w:themeFill="text2"/>
            <w:noWrap/>
            <w:hideMark/>
          </w:tcPr>
          <w:p w14:paraId="35C5F0BB" w14:textId="77777777" w:rsidR="008B463E" w:rsidRPr="008B463E" w:rsidRDefault="008B463E" w:rsidP="008B463E">
            <w:pPr>
              <w:spacing w:after="0" w:line="240" w:lineRule="auto"/>
              <w:rPr>
                <w:rFonts w:ascii="Calibri" w:eastAsia="Times New Roman" w:hAnsi="Calibri" w:cs="Calibri"/>
                <w:b/>
                <w:bCs/>
                <w:color w:val="FFFFFF"/>
                <w:sz w:val="20"/>
                <w:szCs w:val="20"/>
                <w:lang w:eastAsia="en-AU"/>
              </w:rPr>
            </w:pPr>
            <w:r w:rsidRPr="008B463E">
              <w:rPr>
                <w:rFonts w:ascii="Calibri" w:eastAsia="Times New Roman" w:hAnsi="Calibri" w:cs="Calibri"/>
                <w:b/>
                <w:bCs/>
                <w:color w:val="FFFFFF"/>
                <w:sz w:val="20"/>
                <w:szCs w:val="20"/>
                <w:lang w:eastAsia="en-AU"/>
              </w:rPr>
              <w:t> </w:t>
            </w:r>
          </w:p>
        </w:tc>
        <w:tc>
          <w:tcPr>
            <w:tcW w:w="1157" w:type="dxa"/>
            <w:tcBorders>
              <w:top w:val="nil"/>
              <w:left w:val="nil"/>
              <w:bottom w:val="single" w:sz="4" w:space="0" w:color="auto"/>
              <w:right w:val="single" w:sz="4" w:space="0" w:color="auto"/>
            </w:tcBorders>
            <w:shd w:val="clear" w:color="auto" w:fill="3C54A5" w:themeFill="text2"/>
            <w:noWrap/>
            <w:vAlign w:val="bottom"/>
            <w:hideMark/>
          </w:tcPr>
          <w:p w14:paraId="05B1165F" w14:textId="77777777" w:rsidR="008B463E" w:rsidRPr="008B463E" w:rsidRDefault="008B463E" w:rsidP="008B463E">
            <w:pPr>
              <w:spacing w:after="0" w:line="240" w:lineRule="auto"/>
              <w:jc w:val="center"/>
              <w:rPr>
                <w:rFonts w:ascii="Calibri" w:eastAsia="Times New Roman" w:hAnsi="Calibri" w:cs="Calibri"/>
                <w:b/>
                <w:bCs/>
                <w:color w:val="FFFFFF"/>
                <w:sz w:val="20"/>
                <w:szCs w:val="20"/>
                <w:lang w:eastAsia="en-AU"/>
              </w:rPr>
            </w:pPr>
            <w:r w:rsidRPr="008B463E">
              <w:rPr>
                <w:rFonts w:ascii="Calibri" w:eastAsia="Times New Roman" w:hAnsi="Calibri" w:cs="Calibri"/>
                <w:b/>
                <w:bCs/>
                <w:color w:val="FFFFFF"/>
                <w:sz w:val="20"/>
                <w:szCs w:val="20"/>
                <w:lang w:eastAsia="en-AU"/>
              </w:rPr>
              <w:t>$'000</w:t>
            </w:r>
          </w:p>
        </w:tc>
        <w:tc>
          <w:tcPr>
            <w:tcW w:w="1157" w:type="dxa"/>
            <w:tcBorders>
              <w:top w:val="nil"/>
              <w:left w:val="nil"/>
              <w:bottom w:val="single" w:sz="4" w:space="0" w:color="auto"/>
              <w:right w:val="single" w:sz="4" w:space="0" w:color="auto"/>
            </w:tcBorders>
            <w:shd w:val="clear" w:color="auto" w:fill="3C54A5" w:themeFill="text2"/>
            <w:noWrap/>
            <w:vAlign w:val="bottom"/>
            <w:hideMark/>
          </w:tcPr>
          <w:p w14:paraId="75B3E538" w14:textId="77777777" w:rsidR="008B463E" w:rsidRPr="008B463E" w:rsidRDefault="008B463E" w:rsidP="008B463E">
            <w:pPr>
              <w:spacing w:after="0" w:line="240" w:lineRule="auto"/>
              <w:jc w:val="center"/>
              <w:rPr>
                <w:rFonts w:ascii="Calibri" w:eastAsia="Times New Roman" w:hAnsi="Calibri" w:cs="Calibri"/>
                <w:b/>
                <w:bCs/>
                <w:color w:val="FFFFFF"/>
                <w:sz w:val="20"/>
                <w:szCs w:val="20"/>
                <w:lang w:eastAsia="en-AU"/>
              </w:rPr>
            </w:pPr>
            <w:r w:rsidRPr="008B463E">
              <w:rPr>
                <w:rFonts w:ascii="Calibri" w:eastAsia="Times New Roman" w:hAnsi="Calibri" w:cs="Calibri"/>
                <w:b/>
                <w:bCs/>
                <w:color w:val="FFFFFF"/>
                <w:sz w:val="20"/>
                <w:szCs w:val="20"/>
                <w:lang w:eastAsia="en-AU"/>
              </w:rPr>
              <w:t>$'000</w:t>
            </w:r>
          </w:p>
        </w:tc>
        <w:tc>
          <w:tcPr>
            <w:tcW w:w="1157" w:type="dxa"/>
            <w:tcBorders>
              <w:top w:val="nil"/>
              <w:left w:val="nil"/>
              <w:bottom w:val="single" w:sz="4" w:space="0" w:color="auto"/>
              <w:right w:val="single" w:sz="4" w:space="0" w:color="auto"/>
            </w:tcBorders>
            <w:shd w:val="clear" w:color="auto" w:fill="3C54A5" w:themeFill="text2"/>
            <w:noWrap/>
            <w:vAlign w:val="bottom"/>
            <w:hideMark/>
          </w:tcPr>
          <w:p w14:paraId="116D83B7" w14:textId="77777777" w:rsidR="008B463E" w:rsidRPr="008B463E" w:rsidRDefault="008B463E" w:rsidP="008B463E">
            <w:pPr>
              <w:spacing w:after="0" w:line="240" w:lineRule="auto"/>
              <w:jc w:val="center"/>
              <w:rPr>
                <w:rFonts w:ascii="Calibri" w:eastAsia="Times New Roman" w:hAnsi="Calibri" w:cs="Calibri"/>
                <w:b/>
                <w:bCs/>
                <w:color w:val="FFFFFF"/>
                <w:sz w:val="20"/>
                <w:szCs w:val="20"/>
                <w:lang w:eastAsia="en-AU"/>
              </w:rPr>
            </w:pPr>
            <w:r w:rsidRPr="008B463E">
              <w:rPr>
                <w:rFonts w:ascii="Calibri" w:eastAsia="Times New Roman" w:hAnsi="Calibri" w:cs="Calibri"/>
                <w:b/>
                <w:bCs/>
                <w:color w:val="FFFFFF"/>
                <w:sz w:val="20"/>
                <w:szCs w:val="20"/>
                <w:lang w:eastAsia="en-AU"/>
              </w:rPr>
              <w:t>$'000</w:t>
            </w:r>
          </w:p>
        </w:tc>
        <w:tc>
          <w:tcPr>
            <w:tcW w:w="1157" w:type="dxa"/>
            <w:tcBorders>
              <w:top w:val="nil"/>
              <w:left w:val="nil"/>
              <w:bottom w:val="single" w:sz="4" w:space="0" w:color="auto"/>
              <w:right w:val="single" w:sz="4" w:space="0" w:color="auto"/>
            </w:tcBorders>
            <w:shd w:val="clear" w:color="auto" w:fill="3C54A5" w:themeFill="text2"/>
            <w:noWrap/>
            <w:vAlign w:val="bottom"/>
            <w:hideMark/>
          </w:tcPr>
          <w:p w14:paraId="3162CC63" w14:textId="77777777" w:rsidR="008B463E" w:rsidRPr="008B463E" w:rsidRDefault="008B463E" w:rsidP="008B463E">
            <w:pPr>
              <w:spacing w:after="0" w:line="240" w:lineRule="auto"/>
              <w:jc w:val="center"/>
              <w:rPr>
                <w:rFonts w:ascii="Calibri" w:eastAsia="Times New Roman" w:hAnsi="Calibri" w:cs="Calibri"/>
                <w:b/>
                <w:bCs/>
                <w:color w:val="FFFFFF"/>
                <w:sz w:val="20"/>
                <w:szCs w:val="20"/>
                <w:lang w:eastAsia="en-AU"/>
              </w:rPr>
            </w:pPr>
            <w:r w:rsidRPr="008B463E">
              <w:rPr>
                <w:rFonts w:ascii="Calibri" w:eastAsia="Times New Roman" w:hAnsi="Calibri" w:cs="Calibri"/>
                <w:b/>
                <w:bCs/>
                <w:color w:val="FFFFFF"/>
                <w:sz w:val="20"/>
                <w:szCs w:val="20"/>
                <w:lang w:eastAsia="en-AU"/>
              </w:rPr>
              <w:t>%</w:t>
            </w:r>
          </w:p>
        </w:tc>
      </w:tr>
      <w:tr w:rsidR="00426208" w:rsidRPr="008B463E" w14:paraId="771A9AEA" w14:textId="77777777" w:rsidTr="0014385F">
        <w:trPr>
          <w:trHeight w:val="300"/>
        </w:trPr>
        <w:tc>
          <w:tcPr>
            <w:tcW w:w="4388" w:type="dxa"/>
            <w:tcBorders>
              <w:top w:val="nil"/>
              <w:left w:val="single" w:sz="4" w:space="0" w:color="auto"/>
              <w:bottom w:val="single" w:sz="4" w:space="0" w:color="auto"/>
              <w:right w:val="single" w:sz="4" w:space="0" w:color="auto"/>
            </w:tcBorders>
            <w:shd w:val="clear" w:color="auto" w:fill="auto"/>
            <w:noWrap/>
            <w:vAlign w:val="bottom"/>
            <w:hideMark/>
          </w:tcPr>
          <w:p w14:paraId="79DE60F7" w14:textId="77777777" w:rsidR="00426208" w:rsidRPr="008B463E" w:rsidRDefault="00426208" w:rsidP="00426208">
            <w:pPr>
              <w:spacing w:after="0" w:line="240" w:lineRule="auto"/>
              <w:rPr>
                <w:rFonts w:ascii="Calibri" w:eastAsia="Times New Roman" w:hAnsi="Calibri" w:cs="Calibri"/>
                <w:color w:val="000000"/>
                <w:sz w:val="18"/>
                <w:szCs w:val="18"/>
                <w:lang w:eastAsia="en-AU"/>
              </w:rPr>
            </w:pPr>
            <w:r w:rsidRPr="008B463E">
              <w:rPr>
                <w:rFonts w:ascii="Calibri" w:eastAsia="Times New Roman" w:hAnsi="Calibri" w:cs="Calibri"/>
                <w:color w:val="000000"/>
                <w:sz w:val="18"/>
                <w:szCs w:val="18"/>
                <w:lang w:eastAsia="en-AU"/>
              </w:rPr>
              <w:t>Australian Government Grants</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AD060" w14:textId="1E3552FD"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12,122,312</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14:paraId="6258DB66" w14:textId="43D50B65"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11,976,440</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14:paraId="05E5C0CF" w14:textId="5BF5E3A1"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145,872</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14:paraId="5A227620" w14:textId="0FE2A2D4"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1.2%</w:t>
            </w:r>
          </w:p>
        </w:tc>
      </w:tr>
      <w:tr w:rsidR="00426208" w:rsidRPr="008B463E" w14:paraId="7C0D5694" w14:textId="77777777" w:rsidTr="0014385F">
        <w:trPr>
          <w:trHeight w:val="300"/>
        </w:trPr>
        <w:tc>
          <w:tcPr>
            <w:tcW w:w="4388" w:type="dxa"/>
            <w:tcBorders>
              <w:top w:val="nil"/>
              <w:left w:val="single" w:sz="4" w:space="0" w:color="auto"/>
              <w:bottom w:val="single" w:sz="4" w:space="0" w:color="auto"/>
              <w:right w:val="single" w:sz="4" w:space="0" w:color="auto"/>
            </w:tcBorders>
            <w:shd w:val="clear" w:color="auto" w:fill="auto"/>
            <w:noWrap/>
            <w:vAlign w:val="bottom"/>
            <w:hideMark/>
          </w:tcPr>
          <w:p w14:paraId="52B5F56C" w14:textId="77777777" w:rsidR="00426208" w:rsidRPr="008B463E" w:rsidRDefault="00426208" w:rsidP="00426208">
            <w:pPr>
              <w:spacing w:after="0" w:line="240" w:lineRule="auto"/>
              <w:rPr>
                <w:rFonts w:ascii="Calibri" w:eastAsia="Times New Roman" w:hAnsi="Calibri" w:cs="Calibri"/>
                <w:color w:val="000000"/>
                <w:sz w:val="18"/>
                <w:szCs w:val="18"/>
                <w:lang w:eastAsia="en-AU"/>
              </w:rPr>
            </w:pPr>
            <w:r w:rsidRPr="008B463E">
              <w:rPr>
                <w:rFonts w:ascii="Calibri" w:eastAsia="Times New Roman" w:hAnsi="Calibri" w:cs="Calibri"/>
                <w:color w:val="000000"/>
                <w:sz w:val="18"/>
                <w:szCs w:val="18"/>
                <w:lang w:eastAsia="en-AU"/>
              </w:rPr>
              <w:t>HELP Payments</w:t>
            </w: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14:paraId="29951829" w14:textId="3B1BA60A"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6,063,971</w:t>
            </w:r>
          </w:p>
        </w:tc>
        <w:tc>
          <w:tcPr>
            <w:tcW w:w="1157" w:type="dxa"/>
            <w:tcBorders>
              <w:top w:val="nil"/>
              <w:left w:val="nil"/>
              <w:bottom w:val="single" w:sz="4" w:space="0" w:color="auto"/>
              <w:right w:val="single" w:sz="4" w:space="0" w:color="auto"/>
            </w:tcBorders>
            <w:shd w:val="clear" w:color="auto" w:fill="auto"/>
            <w:noWrap/>
            <w:vAlign w:val="bottom"/>
            <w:hideMark/>
          </w:tcPr>
          <w:p w14:paraId="57CCB443" w14:textId="3922A8EB"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5,806,178</w:t>
            </w:r>
          </w:p>
        </w:tc>
        <w:tc>
          <w:tcPr>
            <w:tcW w:w="1157" w:type="dxa"/>
            <w:tcBorders>
              <w:top w:val="nil"/>
              <w:left w:val="nil"/>
              <w:bottom w:val="single" w:sz="4" w:space="0" w:color="auto"/>
              <w:right w:val="single" w:sz="4" w:space="0" w:color="auto"/>
            </w:tcBorders>
            <w:shd w:val="clear" w:color="auto" w:fill="auto"/>
            <w:noWrap/>
            <w:vAlign w:val="bottom"/>
            <w:hideMark/>
          </w:tcPr>
          <w:p w14:paraId="632C403C" w14:textId="68F896A8"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257,793</w:t>
            </w:r>
          </w:p>
        </w:tc>
        <w:tc>
          <w:tcPr>
            <w:tcW w:w="1157" w:type="dxa"/>
            <w:tcBorders>
              <w:top w:val="nil"/>
              <w:left w:val="nil"/>
              <w:bottom w:val="single" w:sz="4" w:space="0" w:color="auto"/>
              <w:right w:val="single" w:sz="4" w:space="0" w:color="auto"/>
            </w:tcBorders>
            <w:shd w:val="clear" w:color="auto" w:fill="auto"/>
            <w:noWrap/>
            <w:vAlign w:val="bottom"/>
            <w:hideMark/>
          </w:tcPr>
          <w:p w14:paraId="33A92C18" w14:textId="7C8B7C9E"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4.4%</w:t>
            </w:r>
          </w:p>
        </w:tc>
      </w:tr>
      <w:tr w:rsidR="00426208" w:rsidRPr="008B463E" w14:paraId="4A966164" w14:textId="77777777" w:rsidTr="009805D8">
        <w:trPr>
          <w:trHeight w:val="300"/>
        </w:trPr>
        <w:tc>
          <w:tcPr>
            <w:tcW w:w="4388" w:type="dxa"/>
            <w:tcBorders>
              <w:top w:val="nil"/>
              <w:left w:val="single" w:sz="4" w:space="0" w:color="auto"/>
              <w:bottom w:val="single" w:sz="4" w:space="0" w:color="auto"/>
              <w:right w:val="single" w:sz="4" w:space="0" w:color="auto"/>
            </w:tcBorders>
            <w:shd w:val="clear" w:color="auto" w:fill="D5DBEF" w:themeFill="text2" w:themeFillTint="33"/>
            <w:noWrap/>
            <w:vAlign w:val="bottom"/>
            <w:hideMark/>
          </w:tcPr>
          <w:p w14:paraId="26BF5F02" w14:textId="77777777" w:rsidR="00426208" w:rsidRPr="008B463E" w:rsidRDefault="00426208" w:rsidP="00426208">
            <w:pPr>
              <w:spacing w:after="0" w:line="240" w:lineRule="auto"/>
              <w:rPr>
                <w:rFonts w:ascii="Calibri" w:eastAsia="Times New Roman" w:hAnsi="Calibri" w:cs="Calibri"/>
                <w:b/>
                <w:bCs/>
                <w:color w:val="000000"/>
                <w:sz w:val="18"/>
                <w:szCs w:val="18"/>
                <w:lang w:eastAsia="en-AU"/>
              </w:rPr>
            </w:pPr>
            <w:r w:rsidRPr="008B463E">
              <w:rPr>
                <w:rFonts w:ascii="Calibri" w:eastAsia="Times New Roman" w:hAnsi="Calibri" w:cs="Calibri"/>
                <w:b/>
                <w:bCs/>
                <w:color w:val="000000"/>
                <w:sz w:val="18"/>
                <w:szCs w:val="18"/>
                <w:lang w:eastAsia="en-AU"/>
              </w:rPr>
              <w:t>Australian Government Financial Assistance</w:t>
            </w:r>
          </w:p>
        </w:tc>
        <w:tc>
          <w:tcPr>
            <w:tcW w:w="1157" w:type="dxa"/>
            <w:tcBorders>
              <w:top w:val="nil"/>
              <w:left w:val="single" w:sz="4" w:space="0" w:color="auto"/>
              <w:bottom w:val="single" w:sz="4" w:space="0" w:color="auto"/>
              <w:right w:val="single" w:sz="4" w:space="0" w:color="auto"/>
            </w:tcBorders>
            <w:shd w:val="clear" w:color="auto" w:fill="D5DBEF" w:themeFill="text2" w:themeFillTint="33"/>
            <w:noWrap/>
            <w:vAlign w:val="bottom"/>
            <w:hideMark/>
          </w:tcPr>
          <w:p w14:paraId="16AC914B" w14:textId="31185BFD" w:rsidR="00426208" w:rsidRPr="008B463E" w:rsidRDefault="00426208" w:rsidP="0042620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18"/>
                <w:szCs w:val="18"/>
              </w:rPr>
              <w:t>18,186,283</w:t>
            </w:r>
          </w:p>
        </w:tc>
        <w:tc>
          <w:tcPr>
            <w:tcW w:w="1157" w:type="dxa"/>
            <w:tcBorders>
              <w:top w:val="nil"/>
              <w:left w:val="nil"/>
              <w:bottom w:val="single" w:sz="4" w:space="0" w:color="auto"/>
              <w:right w:val="single" w:sz="4" w:space="0" w:color="auto"/>
            </w:tcBorders>
            <w:shd w:val="clear" w:color="auto" w:fill="D5DBEF" w:themeFill="text2" w:themeFillTint="33"/>
            <w:noWrap/>
            <w:vAlign w:val="bottom"/>
            <w:hideMark/>
          </w:tcPr>
          <w:p w14:paraId="754E9B3F" w14:textId="6D827378" w:rsidR="00426208" w:rsidRPr="008B463E" w:rsidRDefault="00426208" w:rsidP="0042620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18"/>
                <w:szCs w:val="18"/>
              </w:rPr>
              <w:t>17,782,618</w:t>
            </w:r>
          </w:p>
        </w:tc>
        <w:tc>
          <w:tcPr>
            <w:tcW w:w="1157" w:type="dxa"/>
            <w:tcBorders>
              <w:top w:val="nil"/>
              <w:left w:val="nil"/>
              <w:bottom w:val="single" w:sz="4" w:space="0" w:color="auto"/>
              <w:right w:val="single" w:sz="4" w:space="0" w:color="auto"/>
            </w:tcBorders>
            <w:shd w:val="clear" w:color="auto" w:fill="D5DBEF" w:themeFill="text2" w:themeFillTint="33"/>
            <w:noWrap/>
            <w:vAlign w:val="bottom"/>
            <w:hideMark/>
          </w:tcPr>
          <w:p w14:paraId="63A6B825" w14:textId="237B1B08" w:rsidR="00426208" w:rsidRPr="008B463E" w:rsidRDefault="00426208" w:rsidP="0042620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18"/>
                <w:szCs w:val="18"/>
              </w:rPr>
              <w:t>403,665</w:t>
            </w:r>
          </w:p>
        </w:tc>
        <w:tc>
          <w:tcPr>
            <w:tcW w:w="1157" w:type="dxa"/>
            <w:tcBorders>
              <w:top w:val="nil"/>
              <w:left w:val="nil"/>
              <w:bottom w:val="single" w:sz="4" w:space="0" w:color="auto"/>
              <w:right w:val="single" w:sz="4" w:space="0" w:color="auto"/>
            </w:tcBorders>
            <w:shd w:val="clear" w:color="auto" w:fill="D5DBEF" w:themeFill="text2" w:themeFillTint="33"/>
            <w:noWrap/>
            <w:vAlign w:val="bottom"/>
            <w:hideMark/>
          </w:tcPr>
          <w:p w14:paraId="0DF351D0" w14:textId="65E2BFBE" w:rsidR="00426208" w:rsidRPr="008B463E" w:rsidRDefault="00426208" w:rsidP="0042620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18"/>
                <w:szCs w:val="18"/>
              </w:rPr>
              <w:t>2.3%</w:t>
            </w:r>
          </w:p>
        </w:tc>
      </w:tr>
      <w:tr w:rsidR="00426208" w:rsidRPr="008B463E" w14:paraId="1194813F" w14:textId="77777777" w:rsidTr="0014385F">
        <w:trPr>
          <w:trHeight w:val="300"/>
        </w:trPr>
        <w:tc>
          <w:tcPr>
            <w:tcW w:w="4388" w:type="dxa"/>
            <w:tcBorders>
              <w:top w:val="nil"/>
              <w:left w:val="single" w:sz="4" w:space="0" w:color="auto"/>
              <w:bottom w:val="single" w:sz="4" w:space="0" w:color="auto"/>
              <w:right w:val="single" w:sz="4" w:space="0" w:color="auto"/>
            </w:tcBorders>
            <w:shd w:val="clear" w:color="auto" w:fill="auto"/>
            <w:noWrap/>
            <w:vAlign w:val="bottom"/>
            <w:hideMark/>
          </w:tcPr>
          <w:p w14:paraId="06232873" w14:textId="77777777" w:rsidR="00426208" w:rsidRPr="008B463E" w:rsidRDefault="00426208" w:rsidP="00426208">
            <w:pPr>
              <w:spacing w:after="0" w:line="240" w:lineRule="auto"/>
              <w:rPr>
                <w:rFonts w:ascii="Calibri" w:eastAsia="Times New Roman" w:hAnsi="Calibri" w:cs="Calibri"/>
                <w:color w:val="000000"/>
                <w:sz w:val="18"/>
                <w:szCs w:val="18"/>
                <w:lang w:eastAsia="en-AU"/>
              </w:rPr>
            </w:pPr>
            <w:r w:rsidRPr="008B463E">
              <w:rPr>
                <w:rFonts w:ascii="Calibri" w:eastAsia="Times New Roman" w:hAnsi="Calibri" w:cs="Calibri"/>
                <w:color w:val="000000"/>
                <w:sz w:val="18"/>
                <w:szCs w:val="18"/>
                <w:lang w:eastAsia="en-AU"/>
              </w:rPr>
              <w:t>State and Local Government Financial Assistance</w:t>
            </w: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14:paraId="0DD38591" w14:textId="042AFCA8"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763,738</w:t>
            </w:r>
          </w:p>
        </w:tc>
        <w:tc>
          <w:tcPr>
            <w:tcW w:w="1157" w:type="dxa"/>
            <w:tcBorders>
              <w:top w:val="nil"/>
              <w:left w:val="nil"/>
              <w:bottom w:val="single" w:sz="4" w:space="0" w:color="auto"/>
              <w:right w:val="single" w:sz="4" w:space="0" w:color="auto"/>
            </w:tcBorders>
            <w:shd w:val="clear" w:color="auto" w:fill="auto"/>
            <w:noWrap/>
            <w:vAlign w:val="bottom"/>
            <w:hideMark/>
          </w:tcPr>
          <w:p w14:paraId="06B7D196" w14:textId="1DA3A0C1"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725,351</w:t>
            </w:r>
          </w:p>
        </w:tc>
        <w:tc>
          <w:tcPr>
            <w:tcW w:w="1157" w:type="dxa"/>
            <w:tcBorders>
              <w:top w:val="nil"/>
              <w:left w:val="nil"/>
              <w:bottom w:val="single" w:sz="4" w:space="0" w:color="auto"/>
              <w:right w:val="single" w:sz="4" w:space="0" w:color="auto"/>
            </w:tcBorders>
            <w:shd w:val="clear" w:color="auto" w:fill="auto"/>
            <w:noWrap/>
            <w:vAlign w:val="bottom"/>
            <w:hideMark/>
          </w:tcPr>
          <w:p w14:paraId="54F02D06" w14:textId="1AB9B54D"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38,387</w:t>
            </w:r>
          </w:p>
        </w:tc>
        <w:tc>
          <w:tcPr>
            <w:tcW w:w="1157" w:type="dxa"/>
            <w:tcBorders>
              <w:top w:val="nil"/>
              <w:left w:val="nil"/>
              <w:bottom w:val="single" w:sz="4" w:space="0" w:color="auto"/>
              <w:right w:val="single" w:sz="4" w:space="0" w:color="auto"/>
            </w:tcBorders>
            <w:shd w:val="clear" w:color="auto" w:fill="auto"/>
            <w:noWrap/>
            <w:vAlign w:val="bottom"/>
            <w:hideMark/>
          </w:tcPr>
          <w:p w14:paraId="1CFC2E9A" w14:textId="3194C378"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5.3%</w:t>
            </w:r>
          </w:p>
        </w:tc>
      </w:tr>
      <w:tr w:rsidR="00426208" w:rsidRPr="008B463E" w14:paraId="35BFB990" w14:textId="77777777" w:rsidTr="0014385F">
        <w:trPr>
          <w:trHeight w:val="300"/>
        </w:trPr>
        <w:tc>
          <w:tcPr>
            <w:tcW w:w="4388" w:type="dxa"/>
            <w:tcBorders>
              <w:top w:val="nil"/>
              <w:left w:val="single" w:sz="4" w:space="0" w:color="auto"/>
              <w:bottom w:val="single" w:sz="4" w:space="0" w:color="auto"/>
              <w:right w:val="single" w:sz="4" w:space="0" w:color="auto"/>
            </w:tcBorders>
            <w:shd w:val="clear" w:color="auto" w:fill="auto"/>
            <w:noWrap/>
            <w:vAlign w:val="bottom"/>
            <w:hideMark/>
          </w:tcPr>
          <w:p w14:paraId="092F0350" w14:textId="77777777" w:rsidR="00426208" w:rsidRPr="008B463E" w:rsidRDefault="00426208" w:rsidP="00426208">
            <w:pPr>
              <w:spacing w:after="0" w:line="240" w:lineRule="auto"/>
              <w:rPr>
                <w:rFonts w:ascii="Calibri" w:eastAsia="Times New Roman" w:hAnsi="Calibri" w:cs="Calibri"/>
                <w:color w:val="000000"/>
                <w:sz w:val="18"/>
                <w:szCs w:val="18"/>
                <w:lang w:eastAsia="en-AU"/>
              </w:rPr>
            </w:pPr>
            <w:r w:rsidRPr="008B463E">
              <w:rPr>
                <w:rFonts w:ascii="Calibri" w:eastAsia="Times New Roman" w:hAnsi="Calibri" w:cs="Calibri"/>
                <w:color w:val="000000"/>
                <w:sz w:val="18"/>
                <w:szCs w:val="18"/>
                <w:lang w:eastAsia="en-AU"/>
              </w:rPr>
              <w:t>Upfront Student Contributions</w:t>
            </w: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14:paraId="6B9EDB18" w14:textId="48794713"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455,532</w:t>
            </w:r>
          </w:p>
        </w:tc>
        <w:tc>
          <w:tcPr>
            <w:tcW w:w="1157" w:type="dxa"/>
            <w:tcBorders>
              <w:top w:val="nil"/>
              <w:left w:val="nil"/>
              <w:bottom w:val="single" w:sz="4" w:space="0" w:color="auto"/>
              <w:right w:val="single" w:sz="4" w:space="0" w:color="auto"/>
            </w:tcBorders>
            <w:shd w:val="clear" w:color="auto" w:fill="auto"/>
            <w:noWrap/>
            <w:vAlign w:val="bottom"/>
            <w:hideMark/>
          </w:tcPr>
          <w:p w14:paraId="4848090D" w14:textId="2B7CEFC3"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459,066</w:t>
            </w:r>
          </w:p>
        </w:tc>
        <w:tc>
          <w:tcPr>
            <w:tcW w:w="1157" w:type="dxa"/>
            <w:tcBorders>
              <w:top w:val="nil"/>
              <w:left w:val="nil"/>
              <w:bottom w:val="single" w:sz="4" w:space="0" w:color="auto"/>
              <w:right w:val="single" w:sz="4" w:space="0" w:color="auto"/>
            </w:tcBorders>
            <w:shd w:val="clear" w:color="auto" w:fill="auto"/>
            <w:noWrap/>
            <w:vAlign w:val="bottom"/>
            <w:hideMark/>
          </w:tcPr>
          <w:p w14:paraId="0E900FC4" w14:textId="66A1042E"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FF0000"/>
                <w:sz w:val="18"/>
                <w:szCs w:val="18"/>
              </w:rPr>
              <w:t>(3,534)</w:t>
            </w:r>
          </w:p>
        </w:tc>
        <w:tc>
          <w:tcPr>
            <w:tcW w:w="1157" w:type="dxa"/>
            <w:tcBorders>
              <w:top w:val="nil"/>
              <w:left w:val="nil"/>
              <w:bottom w:val="single" w:sz="4" w:space="0" w:color="auto"/>
              <w:right w:val="single" w:sz="4" w:space="0" w:color="auto"/>
            </w:tcBorders>
            <w:shd w:val="clear" w:color="auto" w:fill="auto"/>
            <w:noWrap/>
            <w:vAlign w:val="bottom"/>
            <w:hideMark/>
          </w:tcPr>
          <w:p w14:paraId="47B99617" w14:textId="52717F68"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FF0000"/>
                <w:sz w:val="18"/>
                <w:szCs w:val="18"/>
              </w:rPr>
              <w:t>-0.8%</w:t>
            </w:r>
          </w:p>
        </w:tc>
      </w:tr>
      <w:tr w:rsidR="00426208" w:rsidRPr="008B463E" w14:paraId="67D1C4D6" w14:textId="77777777" w:rsidTr="0014385F">
        <w:trPr>
          <w:trHeight w:val="300"/>
        </w:trPr>
        <w:tc>
          <w:tcPr>
            <w:tcW w:w="4388" w:type="dxa"/>
            <w:tcBorders>
              <w:top w:val="nil"/>
              <w:left w:val="single" w:sz="4" w:space="0" w:color="auto"/>
              <w:bottom w:val="single" w:sz="4" w:space="0" w:color="auto"/>
              <w:right w:val="single" w:sz="4" w:space="0" w:color="auto"/>
            </w:tcBorders>
            <w:shd w:val="clear" w:color="auto" w:fill="auto"/>
            <w:noWrap/>
            <w:vAlign w:val="bottom"/>
            <w:hideMark/>
          </w:tcPr>
          <w:p w14:paraId="173E8E8D" w14:textId="77777777" w:rsidR="00426208" w:rsidRPr="008B463E" w:rsidRDefault="00426208" w:rsidP="00426208">
            <w:pPr>
              <w:spacing w:after="0" w:line="240" w:lineRule="auto"/>
              <w:rPr>
                <w:rFonts w:ascii="Calibri" w:eastAsia="Times New Roman" w:hAnsi="Calibri" w:cs="Calibri"/>
                <w:color w:val="000000"/>
                <w:sz w:val="18"/>
                <w:szCs w:val="18"/>
                <w:lang w:eastAsia="en-AU"/>
              </w:rPr>
            </w:pPr>
            <w:r w:rsidRPr="008B463E">
              <w:rPr>
                <w:rFonts w:ascii="Calibri" w:eastAsia="Times New Roman" w:hAnsi="Calibri" w:cs="Calibri"/>
                <w:color w:val="000000"/>
                <w:sz w:val="18"/>
                <w:szCs w:val="18"/>
                <w:lang w:eastAsia="en-AU"/>
              </w:rPr>
              <w:t>International Student Fees</w:t>
            </w: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14:paraId="55EF6467" w14:textId="76ACCE95"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9,222,983</w:t>
            </w:r>
          </w:p>
        </w:tc>
        <w:tc>
          <w:tcPr>
            <w:tcW w:w="1157" w:type="dxa"/>
            <w:tcBorders>
              <w:top w:val="nil"/>
              <w:left w:val="nil"/>
              <w:bottom w:val="single" w:sz="4" w:space="0" w:color="auto"/>
              <w:right w:val="single" w:sz="4" w:space="0" w:color="auto"/>
            </w:tcBorders>
            <w:shd w:val="clear" w:color="auto" w:fill="auto"/>
            <w:noWrap/>
            <w:vAlign w:val="bottom"/>
            <w:hideMark/>
          </w:tcPr>
          <w:p w14:paraId="5BEBB190" w14:textId="2775E449"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9,978,794</w:t>
            </w:r>
          </w:p>
        </w:tc>
        <w:tc>
          <w:tcPr>
            <w:tcW w:w="1157" w:type="dxa"/>
            <w:tcBorders>
              <w:top w:val="nil"/>
              <w:left w:val="nil"/>
              <w:bottom w:val="single" w:sz="4" w:space="0" w:color="auto"/>
              <w:right w:val="single" w:sz="4" w:space="0" w:color="auto"/>
            </w:tcBorders>
            <w:shd w:val="clear" w:color="auto" w:fill="auto"/>
            <w:noWrap/>
            <w:vAlign w:val="bottom"/>
            <w:hideMark/>
          </w:tcPr>
          <w:p w14:paraId="7C07BB99" w14:textId="18BC4255"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FF0000"/>
                <w:sz w:val="18"/>
                <w:szCs w:val="18"/>
              </w:rPr>
              <w:t>(755,811)</w:t>
            </w:r>
          </w:p>
        </w:tc>
        <w:tc>
          <w:tcPr>
            <w:tcW w:w="1157" w:type="dxa"/>
            <w:tcBorders>
              <w:top w:val="nil"/>
              <w:left w:val="nil"/>
              <w:bottom w:val="single" w:sz="4" w:space="0" w:color="auto"/>
              <w:right w:val="single" w:sz="4" w:space="0" w:color="auto"/>
            </w:tcBorders>
            <w:shd w:val="clear" w:color="auto" w:fill="auto"/>
            <w:noWrap/>
            <w:vAlign w:val="bottom"/>
            <w:hideMark/>
          </w:tcPr>
          <w:p w14:paraId="4FB4D810" w14:textId="63F18F28"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FF0000"/>
                <w:sz w:val="18"/>
                <w:szCs w:val="18"/>
              </w:rPr>
              <w:t>-7.6%</w:t>
            </w:r>
          </w:p>
        </w:tc>
      </w:tr>
      <w:tr w:rsidR="00426208" w:rsidRPr="008B463E" w14:paraId="53D912F1" w14:textId="77777777" w:rsidTr="0014385F">
        <w:trPr>
          <w:trHeight w:val="300"/>
        </w:trPr>
        <w:tc>
          <w:tcPr>
            <w:tcW w:w="4388" w:type="dxa"/>
            <w:tcBorders>
              <w:top w:val="nil"/>
              <w:left w:val="single" w:sz="4" w:space="0" w:color="auto"/>
              <w:bottom w:val="single" w:sz="4" w:space="0" w:color="auto"/>
              <w:right w:val="single" w:sz="4" w:space="0" w:color="auto"/>
            </w:tcBorders>
            <w:shd w:val="clear" w:color="auto" w:fill="auto"/>
            <w:noWrap/>
            <w:vAlign w:val="bottom"/>
            <w:hideMark/>
          </w:tcPr>
          <w:p w14:paraId="75793C93" w14:textId="77777777" w:rsidR="00426208" w:rsidRPr="008B463E" w:rsidRDefault="00426208" w:rsidP="00426208">
            <w:pPr>
              <w:spacing w:after="0" w:line="240" w:lineRule="auto"/>
              <w:rPr>
                <w:rFonts w:ascii="Calibri" w:eastAsia="Times New Roman" w:hAnsi="Calibri" w:cs="Calibri"/>
                <w:color w:val="000000"/>
                <w:sz w:val="18"/>
                <w:szCs w:val="18"/>
                <w:lang w:eastAsia="en-AU"/>
              </w:rPr>
            </w:pPr>
            <w:r w:rsidRPr="008B463E">
              <w:rPr>
                <w:rFonts w:ascii="Calibri" w:eastAsia="Times New Roman" w:hAnsi="Calibri" w:cs="Calibri"/>
                <w:color w:val="000000"/>
                <w:sz w:val="18"/>
                <w:szCs w:val="18"/>
                <w:lang w:eastAsia="en-AU"/>
              </w:rPr>
              <w:t>Other Fees and Charges</w:t>
            </w: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14:paraId="4715D6C0" w14:textId="3DEC456D"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1,454,207</w:t>
            </w:r>
          </w:p>
        </w:tc>
        <w:tc>
          <w:tcPr>
            <w:tcW w:w="1157" w:type="dxa"/>
            <w:tcBorders>
              <w:top w:val="nil"/>
              <w:left w:val="nil"/>
              <w:bottom w:val="single" w:sz="4" w:space="0" w:color="auto"/>
              <w:right w:val="single" w:sz="4" w:space="0" w:color="auto"/>
            </w:tcBorders>
            <w:shd w:val="clear" w:color="auto" w:fill="auto"/>
            <w:noWrap/>
            <w:vAlign w:val="bottom"/>
            <w:hideMark/>
          </w:tcPr>
          <w:p w14:paraId="2BDC6DA0" w14:textId="4F84389F"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1,814,300</w:t>
            </w:r>
          </w:p>
        </w:tc>
        <w:tc>
          <w:tcPr>
            <w:tcW w:w="1157" w:type="dxa"/>
            <w:tcBorders>
              <w:top w:val="nil"/>
              <w:left w:val="nil"/>
              <w:bottom w:val="single" w:sz="4" w:space="0" w:color="auto"/>
              <w:right w:val="single" w:sz="4" w:space="0" w:color="auto"/>
            </w:tcBorders>
            <w:shd w:val="clear" w:color="auto" w:fill="auto"/>
            <w:noWrap/>
            <w:vAlign w:val="bottom"/>
            <w:hideMark/>
          </w:tcPr>
          <w:p w14:paraId="42665FDA" w14:textId="3E04AE57"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FF0000"/>
                <w:sz w:val="18"/>
                <w:szCs w:val="18"/>
              </w:rPr>
              <w:t>(360,093)</w:t>
            </w:r>
          </w:p>
        </w:tc>
        <w:tc>
          <w:tcPr>
            <w:tcW w:w="1157" w:type="dxa"/>
            <w:tcBorders>
              <w:top w:val="nil"/>
              <w:left w:val="nil"/>
              <w:bottom w:val="single" w:sz="4" w:space="0" w:color="auto"/>
              <w:right w:val="single" w:sz="4" w:space="0" w:color="auto"/>
            </w:tcBorders>
            <w:shd w:val="clear" w:color="auto" w:fill="auto"/>
            <w:noWrap/>
            <w:vAlign w:val="bottom"/>
            <w:hideMark/>
          </w:tcPr>
          <w:p w14:paraId="6C780808" w14:textId="4400B496"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FF0000"/>
                <w:sz w:val="18"/>
                <w:szCs w:val="18"/>
              </w:rPr>
              <w:t>-19.8%</w:t>
            </w:r>
          </w:p>
        </w:tc>
      </w:tr>
      <w:tr w:rsidR="00426208" w:rsidRPr="008B463E" w14:paraId="509022F5" w14:textId="77777777" w:rsidTr="0014385F">
        <w:trPr>
          <w:trHeight w:val="300"/>
        </w:trPr>
        <w:tc>
          <w:tcPr>
            <w:tcW w:w="4388" w:type="dxa"/>
            <w:tcBorders>
              <w:top w:val="nil"/>
              <w:left w:val="single" w:sz="4" w:space="0" w:color="auto"/>
              <w:bottom w:val="single" w:sz="4" w:space="0" w:color="auto"/>
              <w:right w:val="single" w:sz="4" w:space="0" w:color="auto"/>
            </w:tcBorders>
            <w:shd w:val="clear" w:color="auto" w:fill="auto"/>
            <w:noWrap/>
            <w:vAlign w:val="bottom"/>
            <w:hideMark/>
          </w:tcPr>
          <w:p w14:paraId="49B88117" w14:textId="77777777" w:rsidR="00426208" w:rsidRPr="008B463E" w:rsidRDefault="00426208" w:rsidP="00426208">
            <w:pPr>
              <w:spacing w:after="0" w:line="240" w:lineRule="auto"/>
              <w:rPr>
                <w:rFonts w:ascii="Calibri" w:eastAsia="Times New Roman" w:hAnsi="Calibri" w:cs="Calibri"/>
                <w:color w:val="000000"/>
                <w:sz w:val="18"/>
                <w:szCs w:val="18"/>
                <w:lang w:eastAsia="en-AU"/>
              </w:rPr>
            </w:pPr>
            <w:r w:rsidRPr="008B463E">
              <w:rPr>
                <w:rFonts w:ascii="Calibri" w:eastAsia="Times New Roman" w:hAnsi="Calibri" w:cs="Calibri"/>
                <w:color w:val="000000"/>
                <w:sz w:val="18"/>
                <w:szCs w:val="18"/>
                <w:lang w:eastAsia="en-AU"/>
              </w:rPr>
              <w:t>Investment Revenue</w:t>
            </w: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14:paraId="463D2B84" w14:textId="6973F696"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927,414</w:t>
            </w:r>
          </w:p>
        </w:tc>
        <w:tc>
          <w:tcPr>
            <w:tcW w:w="1157" w:type="dxa"/>
            <w:tcBorders>
              <w:top w:val="nil"/>
              <w:left w:val="nil"/>
              <w:bottom w:val="single" w:sz="4" w:space="0" w:color="auto"/>
              <w:right w:val="single" w:sz="4" w:space="0" w:color="auto"/>
            </w:tcBorders>
            <w:shd w:val="clear" w:color="auto" w:fill="auto"/>
            <w:noWrap/>
            <w:vAlign w:val="bottom"/>
            <w:hideMark/>
          </w:tcPr>
          <w:p w14:paraId="33BB50D4" w14:textId="29D7641E"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2,191,312</w:t>
            </w:r>
          </w:p>
        </w:tc>
        <w:tc>
          <w:tcPr>
            <w:tcW w:w="1157" w:type="dxa"/>
            <w:tcBorders>
              <w:top w:val="nil"/>
              <w:left w:val="nil"/>
              <w:bottom w:val="single" w:sz="4" w:space="0" w:color="auto"/>
              <w:right w:val="single" w:sz="4" w:space="0" w:color="auto"/>
            </w:tcBorders>
            <w:shd w:val="clear" w:color="auto" w:fill="auto"/>
            <w:noWrap/>
            <w:vAlign w:val="bottom"/>
            <w:hideMark/>
          </w:tcPr>
          <w:p w14:paraId="3418A1BE" w14:textId="7E8E9F4B"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FF0000"/>
                <w:sz w:val="18"/>
                <w:szCs w:val="18"/>
              </w:rPr>
              <w:t>(1,263,898)</w:t>
            </w:r>
          </w:p>
        </w:tc>
        <w:tc>
          <w:tcPr>
            <w:tcW w:w="1157" w:type="dxa"/>
            <w:tcBorders>
              <w:top w:val="nil"/>
              <w:left w:val="nil"/>
              <w:bottom w:val="single" w:sz="4" w:space="0" w:color="auto"/>
              <w:right w:val="single" w:sz="4" w:space="0" w:color="auto"/>
            </w:tcBorders>
            <w:shd w:val="clear" w:color="auto" w:fill="auto"/>
            <w:noWrap/>
            <w:vAlign w:val="bottom"/>
            <w:hideMark/>
          </w:tcPr>
          <w:p w14:paraId="3001CFDD" w14:textId="5715C4FD"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FF0000"/>
                <w:sz w:val="18"/>
                <w:szCs w:val="18"/>
              </w:rPr>
              <w:t>-57.7%</w:t>
            </w:r>
          </w:p>
        </w:tc>
      </w:tr>
      <w:tr w:rsidR="00426208" w:rsidRPr="008B463E" w14:paraId="2CBB6D89" w14:textId="77777777" w:rsidTr="0014385F">
        <w:trPr>
          <w:trHeight w:val="300"/>
        </w:trPr>
        <w:tc>
          <w:tcPr>
            <w:tcW w:w="4388" w:type="dxa"/>
            <w:tcBorders>
              <w:top w:val="nil"/>
              <w:left w:val="single" w:sz="4" w:space="0" w:color="auto"/>
              <w:bottom w:val="single" w:sz="4" w:space="0" w:color="auto"/>
              <w:right w:val="single" w:sz="4" w:space="0" w:color="auto"/>
            </w:tcBorders>
            <w:shd w:val="clear" w:color="auto" w:fill="auto"/>
            <w:noWrap/>
            <w:vAlign w:val="bottom"/>
            <w:hideMark/>
          </w:tcPr>
          <w:p w14:paraId="4499EA65" w14:textId="77777777" w:rsidR="00426208" w:rsidRPr="008B463E" w:rsidRDefault="00426208" w:rsidP="00426208">
            <w:pPr>
              <w:spacing w:after="0" w:line="240" w:lineRule="auto"/>
              <w:rPr>
                <w:rFonts w:ascii="Calibri" w:eastAsia="Times New Roman" w:hAnsi="Calibri" w:cs="Calibri"/>
                <w:color w:val="000000"/>
                <w:sz w:val="18"/>
                <w:szCs w:val="18"/>
                <w:lang w:eastAsia="en-AU"/>
              </w:rPr>
            </w:pPr>
            <w:r w:rsidRPr="008B463E">
              <w:rPr>
                <w:rFonts w:ascii="Calibri" w:eastAsia="Times New Roman" w:hAnsi="Calibri" w:cs="Calibri"/>
                <w:color w:val="000000"/>
                <w:sz w:val="18"/>
                <w:szCs w:val="18"/>
                <w:lang w:eastAsia="en-AU"/>
              </w:rPr>
              <w:t>Consultancy and Contracts</w:t>
            </w: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14:paraId="5FC1F2EA" w14:textId="33CD2D1F"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1,628,787</w:t>
            </w:r>
          </w:p>
        </w:tc>
        <w:tc>
          <w:tcPr>
            <w:tcW w:w="1157" w:type="dxa"/>
            <w:tcBorders>
              <w:top w:val="nil"/>
              <w:left w:val="nil"/>
              <w:bottom w:val="single" w:sz="4" w:space="0" w:color="auto"/>
              <w:right w:val="single" w:sz="4" w:space="0" w:color="auto"/>
            </w:tcBorders>
            <w:shd w:val="clear" w:color="auto" w:fill="auto"/>
            <w:noWrap/>
            <w:vAlign w:val="bottom"/>
            <w:hideMark/>
          </w:tcPr>
          <w:p w14:paraId="2E90ED20" w14:textId="4035CA89"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1,567,755</w:t>
            </w:r>
          </w:p>
        </w:tc>
        <w:tc>
          <w:tcPr>
            <w:tcW w:w="1157" w:type="dxa"/>
            <w:tcBorders>
              <w:top w:val="nil"/>
              <w:left w:val="nil"/>
              <w:bottom w:val="single" w:sz="4" w:space="0" w:color="auto"/>
              <w:right w:val="single" w:sz="4" w:space="0" w:color="auto"/>
            </w:tcBorders>
            <w:shd w:val="clear" w:color="auto" w:fill="auto"/>
            <w:noWrap/>
            <w:vAlign w:val="bottom"/>
            <w:hideMark/>
          </w:tcPr>
          <w:p w14:paraId="08E5B09B" w14:textId="3FA9591F"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61,032</w:t>
            </w:r>
          </w:p>
        </w:tc>
        <w:tc>
          <w:tcPr>
            <w:tcW w:w="1157" w:type="dxa"/>
            <w:tcBorders>
              <w:top w:val="nil"/>
              <w:left w:val="nil"/>
              <w:bottom w:val="single" w:sz="4" w:space="0" w:color="auto"/>
              <w:right w:val="single" w:sz="4" w:space="0" w:color="auto"/>
            </w:tcBorders>
            <w:shd w:val="clear" w:color="auto" w:fill="auto"/>
            <w:noWrap/>
            <w:vAlign w:val="bottom"/>
            <w:hideMark/>
          </w:tcPr>
          <w:p w14:paraId="6EB4E4D3" w14:textId="737BB4E8"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3.9%</w:t>
            </w:r>
          </w:p>
        </w:tc>
      </w:tr>
      <w:tr w:rsidR="00426208" w:rsidRPr="008B463E" w14:paraId="6478E4AA" w14:textId="77777777" w:rsidTr="0014385F">
        <w:trPr>
          <w:trHeight w:val="300"/>
        </w:trPr>
        <w:tc>
          <w:tcPr>
            <w:tcW w:w="4388" w:type="dxa"/>
            <w:tcBorders>
              <w:top w:val="nil"/>
              <w:left w:val="single" w:sz="4" w:space="0" w:color="auto"/>
              <w:bottom w:val="single" w:sz="4" w:space="0" w:color="auto"/>
              <w:right w:val="single" w:sz="4" w:space="0" w:color="auto"/>
            </w:tcBorders>
            <w:shd w:val="clear" w:color="auto" w:fill="auto"/>
            <w:noWrap/>
            <w:vAlign w:val="bottom"/>
            <w:hideMark/>
          </w:tcPr>
          <w:p w14:paraId="2D65F66A" w14:textId="77777777" w:rsidR="00426208" w:rsidRPr="008B463E" w:rsidRDefault="00426208" w:rsidP="00426208">
            <w:pPr>
              <w:spacing w:after="0" w:line="240" w:lineRule="auto"/>
              <w:rPr>
                <w:rFonts w:ascii="Calibri" w:eastAsia="Times New Roman" w:hAnsi="Calibri" w:cs="Calibri"/>
                <w:color w:val="000000"/>
                <w:sz w:val="18"/>
                <w:szCs w:val="18"/>
                <w:lang w:eastAsia="en-AU"/>
              </w:rPr>
            </w:pPr>
            <w:r w:rsidRPr="008B463E">
              <w:rPr>
                <w:rFonts w:ascii="Calibri" w:eastAsia="Times New Roman" w:hAnsi="Calibri" w:cs="Calibri"/>
                <w:color w:val="000000"/>
                <w:sz w:val="18"/>
                <w:szCs w:val="18"/>
                <w:lang w:eastAsia="en-AU"/>
              </w:rPr>
              <w:t>Other Income *</w:t>
            </w:r>
          </w:p>
        </w:tc>
        <w:tc>
          <w:tcPr>
            <w:tcW w:w="1157" w:type="dxa"/>
            <w:tcBorders>
              <w:top w:val="nil"/>
              <w:left w:val="single" w:sz="4" w:space="0" w:color="auto"/>
              <w:bottom w:val="single" w:sz="4" w:space="0" w:color="auto"/>
              <w:right w:val="single" w:sz="4" w:space="0" w:color="auto"/>
            </w:tcBorders>
            <w:shd w:val="clear" w:color="auto" w:fill="auto"/>
            <w:noWrap/>
            <w:vAlign w:val="bottom"/>
            <w:hideMark/>
          </w:tcPr>
          <w:p w14:paraId="3BAB0B96" w14:textId="02947DB7"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2,012,14</w:t>
            </w:r>
            <w:r w:rsidR="006E1ED9">
              <w:rPr>
                <w:rFonts w:ascii="Calibri" w:hAnsi="Calibri" w:cs="Calibri"/>
                <w:color w:val="000000"/>
                <w:sz w:val="18"/>
                <w:szCs w:val="18"/>
              </w:rPr>
              <w:t>9</w:t>
            </w:r>
          </w:p>
        </w:tc>
        <w:tc>
          <w:tcPr>
            <w:tcW w:w="1157" w:type="dxa"/>
            <w:tcBorders>
              <w:top w:val="nil"/>
              <w:left w:val="nil"/>
              <w:bottom w:val="single" w:sz="4" w:space="0" w:color="auto"/>
              <w:right w:val="single" w:sz="4" w:space="0" w:color="auto"/>
            </w:tcBorders>
            <w:shd w:val="clear" w:color="auto" w:fill="auto"/>
            <w:noWrap/>
            <w:vAlign w:val="bottom"/>
            <w:hideMark/>
          </w:tcPr>
          <w:p w14:paraId="2BE8537C" w14:textId="51E13E58"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2,000,053</w:t>
            </w:r>
          </w:p>
        </w:tc>
        <w:tc>
          <w:tcPr>
            <w:tcW w:w="1157" w:type="dxa"/>
            <w:tcBorders>
              <w:top w:val="nil"/>
              <w:left w:val="nil"/>
              <w:bottom w:val="single" w:sz="4" w:space="0" w:color="auto"/>
              <w:right w:val="single" w:sz="4" w:space="0" w:color="auto"/>
            </w:tcBorders>
            <w:shd w:val="clear" w:color="auto" w:fill="auto"/>
            <w:noWrap/>
            <w:vAlign w:val="bottom"/>
            <w:hideMark/>
          </w:tcPr>
          <w:p w14:paraId="0AD7754C" w14:textId="3FB08CB3"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12,09</w:t>
            </w:r>
            <w:r w:rsidR="006E1ED9">
              <w:rPr>
                <w:rFonts w:ascii="Calibri" w:hAnsi="Calibri" w:cs="Calibri"/>
                <w:color w:val="000000"/>
                <w:sz w:val="18"/>
                <w:szCs w:val="18"/>
              </w:rPr>
              <w:t>6</w:t>
            </w:r>
          </w:p>
        </w:tc>
        <w:tc>
          <w:tcPr>
            <w:tcW w:w="1157" w:type="dxa"/>
            <w:tcBorders>
              <w:top w:val="nil"/>
              <w:left w:val="nil"/>
              <w:bottom w:val="single" w:sz="4" w:space="0" w:color="auto"/>
              <w:right w:val="single" w:sz="4" w:space="0" w:color="auto"/>
            </w:tcBorders>
            <w:shd w:val="clear" w:color="auto" w:fill="auto"/>
            <w:noWrap/>
            <w:vAlign w:val="bottom"/>
            <w:hideMark/>
          </w:tcPr>
          <w:p w14:paraId="06BB8F66" w14:textId="0D60AF41" w:rsidR="00426208" w:rsidRPr="008B463E" w:rsidRDefault="00426208" w:rsidP="0042620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0.6%</w:t>
            </w:r>
          </w:p>
        </w:tc>
      </w:tr>
      <w:tr w:rsidR="00426208" w:rsidRPr="008B463E" w14:paraId="59281621" w14:textId="77777777" w:rsidTr="009805D8">
        <w:trPr>
          <w:trHeight w:val="300"/>
        </w:trPr>
        <w:tc>
          <w:tcPr>
            <w:tcW w:w="4388" w:type="dxa"/>
            <w:tcBorders>
              <w:top w:val="nil"/>
              <w:left w:val="single" w:sz="4" w:space="0" w:color="auto"/>
              <w:bottom w:val="single" w:sz="4" w:space="0" w:color="auto"/>
              <w:right w:val="single" w:sz="4" w:space="0" w:color="auto"/>
            </w:tcBorders>
            <w:shd w:val="clear" w:color="auto" w:fill="D5DBEF" w:themeFill="text2" w:themeFillTint="33"/>
            <w:noWrap/>
            <w:vAlign w:val="bottom"/>
            <w:hideMark/>
          </w:tcPr>
          <w:p w14:paraId="0CE938D5" w14:textId="77777777" w:rsidR="00426208" w:rsidRPr="008B463E" w:rsidRDefault="00426208" w:rsidP="00426208">
            <w:pPr>
              <w:spacing w:after="0" w:line="240" w:lineRule="auto"/>
              <w:rPr>
                <w:rFonts w:ascii="Calibri" w:eastAsia="Times New Roman" w:hAnsi="Calibri" w:cs="Calibri"/>
                <w:b/>
                <w:bCs/>
                <w:color w:val="000000"/>
                <w:sz w:val="18"/>
                <w:szCs w:val="18"/>
                <w:lang w:eastAsia="en-AU"/>
              </w:rPr>
            </w:pPr>
            <w:r w:rsidRPr="008B463E">
              <w:rPr>
                <w:rFonts w:ascii="Calibri" w:eastAsia="Times New Roman" w:hAnsi="Calibri" w:cs="Calibri"/>
                <w:b/>
                <w:bCs/>
                <w:color w:val="000000"/>
                <w:sz w:val="18"/>
                <w:szCs w:val="18"/>
                <w:lang w:eastAsia="en-AU"/>
              </w:rPr>
              <w:t>Total Revenues from Continuing Operations</w:t>
            </w:r>
          </w:p>
        </w:tc>
        <w:tc>
          <w:tcPr>
            <w:tcW w:w="1157" w:type="dxa"/>
            <w:tcBorders>
              <w:top w:val="nil"/>
              <w:left w:val="single" w:sz="4" w:space="0" w:color="auto"/>
              <w:bottom w:val="single" w:sz="4" w:space="0" w:color="auto"/>
              <w:right w:val="single" w:sz="4" w:space="0" w:color="auto"/>
            </w:tcBorders>
            <w:shd w:val="clear" w:color="auto" w:fill="D5DBEF" w:themeFill="text2" w:themeFillTint="33"/>
            <w:noWrap/>
            <w:vAlign w:val="bottom"/>
            <w:hideMark/>
          </w:tcPr>
          <w:p w14:paraId="6A360C82" w14:textId="55B14286" w:rsidR="00426208" w:rsidRPr="008B463E" w:rsidRDefault="00426208" w:rsidP="0042620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18"/>
                <w:szCs w:val="18"/>
              </w:rPr>
              <w:t>34,651,09</w:t>
            </w:r>
            <w:r w:rsidR="006E1ED9">
              <w:rPr>
                <w:rFonts w:ascii="Calibri" w:hAnsi="Calibri" w:cs="Calibri"/>
                <w:b/>
                <w:bCs/>
                <w:color w:val="000000"/>
                <w:sz w:val="18"/>
                <w:szCs w:val="18"/>
              </w:rPr>
              <w:t>3</w:t>
            </w:r>
          </w:p>
        </w:tc>
        <w:tc>
          <w:tcPr>
            <w:tcW w:w="1157" w:type="dxa"/>
            <w:tcBorders>
              <w:top w:val="nil"/>
              <w:left w:val="nil"/>
              <w:bottom w:val="single" w:sz="4" w:space="0" w:color="auto"/>
              <w:right w:val="single" w:sz="4" w:space="0" w:color="auto"/>
            </w:tcBorders>
            <w:shd w:val="clear" w:color="auto" w:fill="D5DBEF" w:themeFill="text2" w:themeFillTint="33"/>
            <w:noWrap/>
            <w:vAlign w:val="bottom"/>
            <w:hideMark/>
          </w:tcPr>
          <w:p w14:paraId="368ABBDB" w14:textId="450A7578" w:rsidR="00426208" w:rsidRPr="008B463E" w:rsidRDefault="00426208" w:rsidP="0042620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18"/>
                <w:szCs w:val="18"/>
              </w:rPr>
              <w:t>36,519,249</w:t>
            </w:r>
          </w:p>
        </w:tc>
        <w:tc>
          <w:tcPr>
            <w:tcW w:w="1157" w:type="dxa"/>
            <w:tcBorders>
              <w:top w:val="nil"/>
              <w:left w:val="nil"/>
              <w:bottom w:val="single" w:sz="4" w:space="0" w:color="auto"/>
              <w:right w:val="single" w:sz="4" w:space="0" w:color="auto"/>
            </w:tcBorders>
            <w:shd w:val="clear" w:color="auto" w:fill="D5DBEF" w:themeFill="text2" w:themeFillTint="33"/>
            <w:noWrap/>
            <w:vAlign w:val="bottom"/>
            <w:hideMark/>
          </w:tcPr>
          <w:p w14:paraId="0355983B" w14:textId="2AF3C8FC" w:rsidR="00426208" w:rsidRPr="008B463E" w:rsidRDefault="00426208" w:rsidP="0042620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FF0000"/>
                <w:sz w:val="18"/>
                <w:szCs w:val="18"/>
              </w:rPr>
              <w:t>(1,868,15</w:t>
            </w:r>
            <w:r w:rsidR="006E1ED9">
              <w:rPr>
                <w:rFonts w:ascii="Calibri" w:hAnsi="Calibri" w:cs="Calibri"/>
                <w:b/>
                <w:bCs/>
                <w:color w:val="FF0000"/>
                <w:sz w:val="18"/>
                <w:szCs w:val="18"/>
              </w:rPr>
              <w:t>6</w:t>
            </w:r>
            <w:r>
              <w:rPr>
                <w:rFonts w:ascii="Calibri" w:hAnsi="Calibri" w:cs="Calibri"/>
                <w:b/>
                <w:bCs/>
                <w:color w:val="FF0000"/>
                <w:sz w:val="18"/>
                <w:szCs w:val="18"/>
              </w:rPr>
              <w:t>)</w:t>
            </w:r>
          </w:p>
        </w:tc>
        <w:tc>
          <w:tcPr>
            <w:tcW w:w="1157" w:type="dxa"/>
            <w:tcBorders>
              <w:top w:val="nil"/>
              <w:left w:val="nil"/>
              <w:bottom w:val="single" w:sz="4" w:space="0" w:color="auto"/>
              <w:right w:val="single" w:sz="4" w:space="0" w:color="auto"/>
            </w:tcBorders>
            <w:shd w:val="clear" w:color="auto" w:fill="D5DBEF" w:themeFill="text2" w:themeFillTint="33"/>
            <w:noWrap/>
            <w:vAlign w:val="bottom"/>
            <w:hideMark/>
          </w:tcPr>
          <w:p w14:paraId="05BDB07B" w14:textId="3C5AEB11" w:rsidR="00426208" w:rsidRPr="008B463E" w:rsidRDefault="00426208" w:rsidP="0042620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FF0000"/>
                <w:sz w:val="18"/>
                <w:szCs w:val="18"/>
              </w:rPr>
              <w:t>-5.1%</w:t>
            </w:r>
          </w:p>
        </w:tc>
      </w:tr>
    </w:tbl>
    <w:p w14:paraId="0D64A724" w14:textId="77777777" w:rsidR="008B463E" w:rsidRPr="00F51503" w:rsidRDefault="008B463E" w:rsidP="00D92D6E">
      <w:pPr>
        <w:pStyle w:val="Source"/>
        <w:spacing w:after="0" w:line="240" w:lineRule="auto"/>
        <w:rPr>
          <w:rStyle w:val="Strong"/>
          <w:b/>
          <w:sz w:val="22"/>
          <w:szCs w:val="22"/>
        </w:rPr>
      </w:pPr>
    </w:p>
    <w:p w14:paraId="6139D02C" w14:textId="77777777" w:rsidR="00494681" w:rsidRPr="00F51503" w:rsidRDefault="00C06224" w:rsidP="00C2009F">
      <w:pPr>
        <w:rPr>
          <w:rFonts w:eastAsia="Times New Roman" w:cstheme="minorHAnsi"/>
          <w:color w:val="000000"/>
          <w:sz w:val="18"/>
          <w:szCs w:val="18"/>
          <w:lang w:eastAsia="en-AU"/>
        </w:rPr>
      </w:pPr>
      <w:r w:rsidRPr="00F51503">
        <w:rPr>
          <w:rFonts w:eastAsia="Times New Roman" w:cstheme="minorHAnsi"/>
          <w:color w:val="000000"/>
          <w:sz w:val="18"/>
          <w:szCs w:val="18"/>
          <w:lang w:eastAsia="en-AU"/>
        </w:rPr>
        <w:t>* Other income includes royalties, trademarks and licenses and the share of net result of associates and joint ventures accounted for using the equity method.</w:t>
      </w:r>
    </w:p>
    <w:p w14:paraId="3415504F" w14:textId="77777777" w:rsidR="00C7551A" w:rsidRPr="00F51503" w:rsidRDefault="00C7551A" w:rsidP="00CA2C75">
      <w:pPr>
        <w:rPr>
          <w:rStyle w:val="Strong"/>
        </w:rPr>
      </w:pPr>
      <w:bookmarkStart w:id="8" w:name="_Toc26884138"/>
    </w:p>
    <w:p w14:paraId="51DF5E06" w14:textId="5AB25488" w:rsidR="00B87946" w:rsidRPr="007D73EC" w:rsidRDefault="00B87946" w:rsidP="00CA2C75">
      <w:r w:rsidRPr="0060723E">
        <w:rPr>
          <w:rStyle w:val="Strong"/>
        </w:rPr>
        <w:t xml:space="preserve">Figure 2: </w:t>
      </w:r>
      <w:r w:rsidR="00F67E41" w:rsidRPr="0060723E">
        <w:rPr>
          <w:rStyle w:val="Strong"/>
        </w:rPr>
        <w:t>2019</w:t>
      </w:r>
      <w:r w:rsidRPr="0060723E">
        <w:rPr>
          <w:rStyle w:val="Strong"/>
        </w:rPr>
        <w:t xml:space="preserve"> and </w:t>
      </w:r>
      <w:r w:rsidR="00F67E41" w:rsidRPr="0060723E">
        <w:rPr>
          <w:rStyle w:val="Strong"/>
        </w:rPr>
        <w:t>2020</w:t>
      </w:r>
      <w:r w:rsidRPr="0060723E">
        <w:rPr>
          <w:rStyle w:val="Strong"/>
        </w:rPr>
        <w:t xml:space="preserve"> Revenue by Source</w:t>
      </w:r>
      <w:bookmarkEnd w:id="8"/>
    </w:p>
    <w:p w14:paraId="3B8A6752" w14:textId="7B5F5B98" w:rsidR="000E115B" w:rsidRPr="007D73EC" w:rsidRDefault="005E7D05" w:rsidP="00CA2C75">
      <w:r w:rsidRPr="007D73EC">
        <w:rPr>
          <w:noProof/>
        </w:rPr>
        <w:drawing>
          <wp:inline distT="0" distB="0" distL="0" distR="0" wp14:anchorId="648C9BFB" wp14:editId="74208728">
            <wp:extent cx="5715000" cy="3745865"/>
            <wp:effectExtent l="0" t="0" r="0" b="6985"/>
            <wp:docPr id="9" name="Chart 9">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4F6684" w:rsidRPr="007D73EC">
        <w:t xml:space="preserve"> </w:t>
      </w:r>
    </w:p>
    <w:p w14:paraId="656B8680" w14:textId="32153D73" w:rsidR="00F44065" w:rsidRPr="004C0DB2" w:rsidRDefault="003A7CB6" w:rsidP="00EC3E4E">
      <w:pPr>
        <w:pStyle w:val="ListParagraph"/>
        <w:numPr>
          <w:ilvl w:val="0"/>
          <w:numId w:val="25"/>
        </w:numPr>
      </w:pPr>
      <w:r w:rsidRPr="00170DA5">
        <w:t>Australian Government financial assistance</w:t>
      </w:r>
      <w:r w:rsidR="00676E3A" w:rsidRPr="00170DA5">
        <w:t xml:space="preserve"> continued to</w:t>
      </w:r>
      <w:r w:rsidRPr="00170DA5">
        <w:t xml:space="preserve"> represent the largest source of income for Australian universities during </w:t>
      </w:r>
      <w:r w:rsidR="00F67E41" w:rsidRPr="00170DA5">
        <w:t>2020</w:t>
      </w:r>
      <w:r w:rsidR="00676E3A" w:rsidRPr="00170DA5">
        <w:t xml:space="preserve"> at</w:t>
      </w:r>
      <w:r w:rsidRPr="00170DA5">
        <w:t xml:space="preserve"> </w:t>
      </w:r>
      <w:r w:rsidR="00676E3A" w:rsidRPr="00170DA5">
        <w:t>$1</w:t>
      </w:r>
      <w:r w:rsidR="00170DA5" w:rsidRPr="00170DA5">
        <w:t>8.2</w:t>
      </w:r>
      <w:r w:rsidR="00676E3A" w:rsidRPr="00170DA5">
        <w:t xml:space="preserve"> billion, </w:t>
      </w:r>
      <w:r w:rsidR="00F44065" w:rsidRPr="00170DA5">
        <w:t>up from $17.</w:t>
      </w:r>
      <w:r w:rsidR="00170DA5" w:rsidRPr="00170DA5">
        <w:t>8</w:t>
      </w:r>
      <w:r w:rsidR="00F44065" w:rsidRPr="00170DA5">
        <w:t xml:space="preserve"> </w:t>
      </w:r>
      <w:r w:rsidR="00F44065" w:rsidRPr="004C0DB2">
        <w:t xml:space="preserve">billion in </w:t>
      </w:r>
      <w:r w:rsidR="00F67E41" w:rsidRPr="004C0DB2">
        <w:t>2019</w:t>
      </w:r>
      <w:r w:rsidR="00F44065" w:rsidRPr="004C0DB2">
        <w:t xml:space="preserve">. </w:t>
      </w:r>
    </w:p>
    <w:p w14:paraId="40F7B6D6" w14:textId="5B6CD2FF" w:rsidR="003A7CB6" w:rsidRPr="00481744" w:rsidRDefault="00F44065" w:rsidP="00EC3E4E">
      <w:pPr>
        <w:pStyle w:val="ListParagraph"/>
        <w:numPr>
          <w:ilvl w:val="0"/>
          <w:numId w:val="25"/>
        </w:numPr>
      </w:pPr>
      <w:r w:rsidRPr="004C0DB2">
        <w:lastRenderedPageBreak/>
        <w:t xml:space="preserve">During </w:t>
      </w:r>
      <w:r w:rsidR="00F67E41" w:rsidRPr="004C0DB2">
        <w:t>2020</w:t>
      </w:r>
      <w:r w:rsidRPr="004C0DB2">
        <w:t xml:space="preserve"> the sector derived </w:t>
      </w:r>
      <w:r w:rsidR="004C0DB2" w:rsidRPr="004C0DB2">
        <w:t>52</w:t>
      </w:r>
      <w:r w:rsidR="003A7CB6" w:rsidRPr="004C0DB2">
        <w:t>.</w:t>
      </w:r>
      <w:r w:rsidR="00451DAC">
        <w:t>5</w:t>
      </w:r>
      <w:r w:rsidR="003A7CB6" w:rsidRPr="004C0DB2">
        <w:t xml:space="preserve"> </w:t>
      </w:r>
      <w:r w:rsidR="00E43BD8">
        <w:t>per cent</w:t>
      </w:r>
      <w:r w:rsidR="003A7CB6" w:rsidRPr="004C0DB2">
        <w:t xml:space="preserve"> of total revenue</w:t>
      </w:r>
      <w:r w:rsidRPr="004C0DB2">
        <w:t xml:space="preserve"> from Australian Government </w:t>
      </w:r>
      <w:r w:rsidRPr="00481744">
        <w:t xml:space="preserve">sources, </w:t>
      </w:r>
      <w:r w:rsidR="004C0DB2" w:rsidRPr="00481744">
        <w:t>up</w:t>
      </w:r>
      <w:r w:rsidRPr="00481744">
        <w:t xml:space="preserve"> from </w:t>
      </w:r>
      <w:r w:rsidR="004C0DB2" w:rsidRPr="00481744">
        <w:t>48.7</w:t>
      </w:r>
      <w:r w:rsidR="003A7CB6" w:rsidRPr="00481744">
        <w:t xml:space="preserve"> </w:t>
      </w:r>
      <w:r w:rsidR="00E43BD8">
        <w:t>per cent</w:t>
      </w:r>
      <w:r w:rsidR="003A7CB6" w:rsidRPr="00481744">
        <w:t xml:space="preserve"> </w:t>
      </w:r>
      <w:r w:rsidRPr="00481744">
        <w:t xml:space="preserve">in </w:t>
      </w:r>
      <w:r w:rsidR="00F67E41" w:rsidRPr="00481744">
        <w:t>2019</w:t>
      </w:r>
      <w:r w:rsidR="004F69FC">
        <w:t>. This is</w:t>
      </w:r>
      <w:r w:rsidRPr="00481744">
        <w:t xml:space="preserve"> due to </w:t>
      </w:r>
      <w:r w:rsidR="00B428AF">
        <w:t xml:space="preserve">a </w:t>
      </w:r>
      <w:r w:rsidR="004F69FC">
        <w:t xml:space="preserve">combination of increased funding from the Government and a </w:t>
      </w:r>
      <w:r w:rsidR="00B428AF">
        <w:t>decline</w:t>
      </w:r>
      <w:r w:rsidRPr="00481744">
        <w:t xml:space="preserve"> in other sources of income</w:t>
      </w:r>
      <w:r w:rsidR="003A7CB6" w:rsidRPr="00481744">
        <w:t>.</w:t>
      </w:r>
    </w:p>
    <w:p w14:paraId="20E9AD51" w14:textId="18B69C2B" w:rsidR="003A7CB6" w:rsidRPr="00481744" w:rsidRDefault="003A7CB6" w:rsidP="00EC3E4E">
      <w:pPr>
        <w:pStyle w:val="ListParagraph"/>
        <w:numPr>
          <w:ilvl w:val="0"/>
          <w:numId w:val="25"/>
        </w:numPr>
      </w:pPr>
      <w:r w:rsidRPr="00481744">
        <w:t>At the individual institution level</w:t>
      </w:r>
      <w:r w:rsidR="00676E3A" w:rsidRPr="00481744">
        <w:t>,</w:t>
      </w:r>
      <w:r w:rsidRPr="00481744">
        <w:t xml:space="preserve"> the reliance on Australian Government funding ra</w:t>
      </w:r>
      <w:r w:rsidR="00F44065" w:rsidRPr="00481744">
        <w:t>nged</w:t>
      </w:r>
      <w:r w:rsidRPr="00481744">
        <w:t xml:space="preserve"> from a high of 83.</w:t>
      </w:r>
      <w:r w:rsidR="0071792B" w:rsidRPr="00481744">
        <w:t>2</w:t>
      </w:r>
      <w:r w:rsidRPr="00481744">
        <w:t xml:space="preserve"> </w:t>
      </w:r>
      <w:r w:rsidR="00E43BD8">
        <w:t>per cent</w:t>
      </w:r>
      <w:r w:rsidRPr="00481744">
        <w:t xml:space="preserve"> to a low of 3</w:t>
      </w:r>
      <w:r w:rsidR="00481744" w:rsidRPr="00481744">
        <w:t>5.7</w:t>
      </w:r>
      <w:r w:rsidR="00E43BD8">
        <w:t> per cent</w:t>
      </w:r>
      <w:r w:rsidRPr="00481744">
        <w:t>.</w:t>
      </w:r>
    </w:p>
    <w:p w14:paraId="041C67FB" w14:textId="22328391" w:rsidR="00EC3E4E" w:rsidRPr="006420D0" w:rsidRDefault="00C2009F" w:rsidP="00A401C7">
      <w:pPr>
        <w:pStyle w:val="ListParagraph"/>
        <w:numPr>
          <w:ilvl w:val="0"/>
          <w:numId w:val="25"/>
        </w:numPr>
      </w:pPr>
      <w:r w:rsidRPr="00481744">
        <w:t>International student fees contributed the second largest proportion of revenue at $</w:t>
      </w:r>
      <w:r w:rsidR="00481744" w:rsidRPr="00481744">
        <w:t>9.2</w:t>
      </w:r>
      <w:r w:rsidRPr="00481744">
        <w:t xml:space="preserve"> </w:t>
      </w:r>
      <w:r w:rsidR="00A720A5" w:rsidRPr="00481744">
        <w:t>billion</w:t>
      </w:r>
      <w:r w:rsidRPr="00481744">
        <w:t xml:space="preserve">, </w:t>
      </w:r>
      <w:r w:rsidR="00481744" w:rsidRPr="00481744">
        <w:t xml:space="preserve">down </w:t>
      </w:r>
      <w:r w:rsidRPr="00481744">
        <w:t>from $</w:t>
      </w:r>
      <w:r w:rsidR="00481744" w:rsidRPr="00481744">
        <w:t>10.0</w:t>
      </w:r>
      <w:r w:rsidRPr="00481744">
        <w:t xml:space="preserve"> </w:t>
      </w:r>
      <w:r w:rsidR="00A720A5" w:rsidRPr="006420D0">
        <w:t>billion</w:t>
      </w:r>
      <w:r w:rsidRPr="006420D0">
        <w:t xml:space="preserve"> in </w:t>
      </w:r>
      <w:r w:rsidR="00F67E41" w:rsidRPr="006420D0">
        <w:t>2019</w:t>
      </w:r>
      <w:r w:rsidR="00B428AF">
        <w:t xml:space="preserve"> due to</w:t>
      </w:r>
      <w:r w:rsidR="00862B46" w:rsidRPr="006420D0">
        <w:t xml:space="preserve"> the closure of international borders</w:t>
      </w:r>
      <w:r w:rsidR="00B428AF">
        <w:t xml:space="preserve"> during the pa</w:t>
      </w:r>
      <w:r w:rsidR="006420D0" w:rsidRPr="006420D0">
        <w:t>ndemic</w:t>
      </w:r>
      <w:r w:rsidR="00B428AF">
        <w:t xml:space="preserve">, and giving rise to </w:t>
      </w:r>
      <w:r w:rsidR="00862B46" w:rsidRPr="006420D0">
        <w:t>a reversal in the trend</w:t>
      </w:r>
      <w:r w:rsidRPr="006420D0">
        <w:t xml:space="preserve"> of increasing reliance on international student fees </w:t>
      </w:r>
      <w:r w:rsidR="00862B46" w:rsidRPr="006420D0">
        <w:t xml:space="preserve">that </w:t>
      </w:r>
      <w:r w:rsidRPr="006420D0">
        <w:t>has been reported across the sector in recent</w:t>
      </w:r>
      <w:r w:rsidR="00B428AF">
        <w:t xml:space="preserve"> years</w:t>
      </w:r>
      <w:r w:rsidRPr="006420D0">
        <w:t xml:space="preserve">. </w:t>
      </w:r>
      <w:r w:rsidR="006420D0" w:rsidRPr="006420D0">
        <w:t>It is expected that revenue from international students will continue to be impacted going forward while international borders remain closed to new arrivals.</w:t>
      </w:r>
    </w:p>
    <w:p w14:paraId="35C430E2" w14:textId="320887F7" w:rsidR="00EC3E4E" w:rsidRPr="00481744" w:rsidRDefault="00C2009F" w:rsidP="00C2009F">
      <w:pPr>
        <w:pStyle w:val="ListParagraph"/>
        <w:numPr>
          <w:ilvl w:val="0"/>
          <w:numId w:val="25"/>
        </w:numPr>
      </w:pPr>
      <w:r w:rsidRPr="006420D0">
        <w:t>T</w:t>
      </w:r>
      <w:r w:rsidRPr="006420D0">
        <w:rPr>
          <w:rFonts w:cstheme="minorHAnsi"/>
        </w:rPr>
        <w:t xml:space="preserve">he sector </w:t>
      </w:r>
      <w:r w:rsidR="00F44065" w:rsidRPr="006420D0">
        <w:rPr>
          <w:rFonts w:cstheme="minorHAnsi"/>
        </w:rPr>
        <w:t>derived</w:t>
      </w:r>
      <w:r w:rsidRPr="006420D0">
        <w:rPr>
          <w:rFonts w:cstheme="minorHAnsi"/>
        </w:rPr>
        <w:t xml:space="preserve"> </w:t>
      </w:r>
      <w:r w:rsidR="00C90FF4" w:rsidRPr="006420D0">
        <w:rPr>
          <w:rFonts w:cstheme="minorHAnsi"/>
        </w:rPr>
        <w:t>2</w:t>
      </w:r>
      <w:r w:rsidR="00481744" w:rsidRPr="006420D0">
        <w:rPr>
          <w:rFonts w:cstheme="minorHAnsi"/>
        </w:rPr>
        <w:t>6.6</w:t>
      </w:r>
      <w:r w:rsidRPr="006420D0">
        <w:rPr>
          <w:rFonts w:cstheme="minorHAnsi"/>
        </w:rPr>
        <w:t xml:space="preserve"> </w:t>
      </w:r>
      <w:r w:rsidR="00E43BD8">
        <w:rPr>
          <w:rFonts w:cstheme="minorHAnsi"/>
        </w:rPr>
        <w:t>per cent</w:t>
      </w:r>
      <w:r w:rsidRPr="00481744">
        <w:rPr>
          <w:rFonts w:cstheme="minorHAnsi"/>
        </w:rPr>
        <w:t xml:space="preserve"> of its</w:t>
      </w:r>
      <w:r w:rsidR="007A38A5" w:rsidRPr="00481744">
        <w:rPr>
          <w:rFonts w:cstheme="minorHAnsi"/>
        </w:rPr>
        <w:t xml:space="preserve"> total revenue from</w:t>
      </w:r>
      <w:r w:rsidR="00451DAC">
        <w:rPr>
          <w:rFonts w:cstheme="minorHAnsi"/>
        </w:rPr>
        <w:t xml:space="preserve"> international student fees</w:t>
      </w:r>
      <w:r w:rsidR="00F44065" w:rsidRPr="00481744">
        <w:rPr>
          <w:rFonts w:cstheme="minorHAnsi"/>
        </w:rPr>
        <w:t xml:space="preserve"> during </w:t>
      </w:r>
      <w:r w:rsidR="00F67E41" w:rsidRPr="00481744">
        <w:rPr>
          <w:rFonts w:cstheme="minorHAnsi"/>
        </w:rPr>
        <w:t>2020</w:t>
      </w:r>
      <w:r w:rsidR="00EC3E4E" w:rsidRPr="00481744">
        <w:rPr>
          <w:rFonts w:cstheme="minorHAnsi"/>
        </w:rPr>
        <w:t>,</w:t>
      </w:r>
      <w:r w:rsidRPr="00481744">
        <w:rPr>
          <w:rFonts w:cstheme="minorHAnsi"/>
        </w:rPr>
        <w:t xml:space="preserve"> </w:t>
      </w:r>
      <w:r w:rsidR="00481744" w:rsidRPr="00481744">
        <w:rPr>
          <w:rFonts w:cstheme="minorHAnsi"/>
        </w:rPr>
        <w:t xml:space="preserve">down from 27.3 </w:t>
      </w:r>
      <w:r w:rsidR="00E43BD8">
        <w:rPr>
          <w:rFonts w:cstheme="minorHAnsi"/>
        </w:rPr>
        <w:t>per cent</w:t>
      </w:r>
      <w:r w:rsidR="00481744" w:rsidRPr="00481744">
        <w:rPr>
          <w:rFonts w:cstheme="minorHAnsi"/>
        </w:rPr>
        <w:t xml:space="preserve"> in 2019, although still higher than </w:t>
      </w:r>
      <w:r w:rsidR="00C90FF4" w:rsidRPr="00481744">
        <w:rPr>
          <w:rFonts w:cstheme="minorHAnsi"/>
        </w:rPr>
        <w:t>26.2</w:t>
      </w:r>
      <w:r w:rsidRPr="00481744">
        <w:rPr>
          <w:rFonts w:cstheme="minorHAnsi"/>
        </w:rPr>
        <w:t xml:space="preserve"> </w:t>
      </w:r>
      <w:r w:rsidR="00E43BD8">
        <w:rPr>
          <w:rFonts w:cstheme="minorHAnsi"/>
        </w:rPr>
        <w:t>per cent</w:t>
      </w:r>
      <w:r w:rsidRPr="00481744">
        <w:rPr>
          <w:rFonts w:cstheme="minorHAnsi"/>
        </w:rPr>
        <w:t xml:space="preserve"> in </w:t>
      </w:r>
      <w:r w:rsidR="00F67E41" w:rsidRPr="00481744">
        <w:rPr>
          <w:rFonts w:cstheme="minorHAnsi"/>
        </w:rPr>
        <w:t>201</w:t>
      </w:r>
      <w:r w:rsidR="00481744" w:rsidRPr="00481744">
        <w:rPr>
          <w:rFonts w:cstheme="minorHAnsi"/>
        </w:rPr>
        <w:t>8</w:t>
      </w:r>
      <w:r w:rsidRPr="00481744">
        <w:rPr>
          <w:rFonts w:cstheme="minorHAnsi"/>
        </w:rPr>
        <w:t xml:space="preserve">. </w:t>
      </w:r>
    </w:p>
    <w:p w14:paraId="17FFD344" w14:textId="6981CA8A" w:rsidR="00957D00" w:rsidRPr="00E214A9" w:rsidRDefault="00957D00" w:rsidP="00C2009F">
      <w:pPr>
        <w:pStyle w:val="ListParagraph"/>
        <w:numPr>
          <w:ilvl w:val="0"/>
          <w:numId w:val="25"/>
        </w:numPr>
      </w:pPr>
      <w:r w:rsidRPr="00481744">
        <w:t>At t</w:t>
      </w:r>
      <w:r w:rsidR="007A38A5" w:rsidRPr="00481744">
        <w:t>he individual institution level</w:t>
      </w:r>
      <w:r w:rsidR="0014481F" w:rsidRPr="00481744">
        <w:t>,</w:t>
      </w:r>
      <w:r w:rsidR="007A38A5" w:rsidRPr="00481744">
        <w:t xml:space="preserve"> </w:t>
      </w:r>
      <w:r w:rsidRPr="00481744">
        <w:t>th</w:t>
      </w:r>
      <w:r w:rsidR="007A38A5" w:rsidRPr="00481744">
        <w:t>e</w:t>
      </w:r>
      <w:r w:rsidRPr="00481744">
        <w:t xml:space="preserve"> reliance on international student fees </w:t>
      </w:r>
      <w:r w:rsidR="006C1BCD" w:rsidRPr="00481744">
        <w:t>range</w:t>
      </w:r>
      <w:r w:rsidR="00F44065" w:rsidRPr="00481744">
        <w:t>d</w:t>
      </w:r>
      <w:r w:rsidR="006C1BCD" w:rsidRPr="00481744">
        <w:t xml:space="preserve"> from a high of </w:t>
      </w:r>
      <w:r w:rsidR="00C90FF4" w:rsidRPr="00481744">
        <w:t>4</w:t>
      </w:r>
      <w:r w:rsidR="00481744" w:rsidRPr="00481744">
        <w:t>1.8</w:t>
      </w:r>
      <w:r w:rsidR="006C1BCD" w:rsidRPr="00481744">
        <w:t xml:space="preserve"> </w:t>
      </w:r>
      <w:r w:rsidR="00E43BD8">
        <w:t>per cent</w:t>
      </w:r>
      <w:r w:rsidR="006C1BCD" w:rsidRPr="00481744">
        <w:t xml:space="preserve"> to a low of 0.0 </w:t>
      </w:r>
      <w:r w:rsidR="00E43BD8">
        <w:t>per cent</w:t>
      </w:r>
      <w:r w:rsidR="006C1BCD" w:rsidRPr="00E214A9">
        <w:t xml:space="preserve">. </w:t>
      </w:r>
    </w:p>
    <w:p w14:paraId="7E62799A" w14:textId="1B23E9C6" w:rsidR="00A97FCF" w:rsidRDefault="00E67D4E" w:rsidP="00A97FCF">
      <w:pPr>
        <w:pStyle w:val="ListParagraph"/>
        <w:numPr>
          <w:ilvl w:val="0"/>
          <w:numId w:val="25"/>
        </w:numPr>
      </w:pPr>
      <w:bookmarkStart w:id="9" w:name="_Hlk77685003"/>
      <w:r w:rsidRPr="00E214A9">
        <w:t xml:space="preserve">A significant </w:t>
      </w:r>
      <w:r w:rsidR="00E214A9" w:rsidRPr="00E214A9">
        <w:t>de</w:t>
      </w:r>
      <w:r w:rsidRPr="00E214A9">
        <w:t xml:space="preserve">crease in investment revenue was reported across the sector in </w:t>
      </w:r>
      <w:r w:rsidR="00F67E41" w:rsidRPr="00E214A9">
        <w:t>2020</w:t>
      </w:r>
      <w:r w:rsidRPr="00E214A9">
        <w:t xml:space="preserve">, </w:t>
      </w:r>
      <w:r w:rsidR="00E214A9" w:rsidRPr="00E214A9">
        <w:t xml:space="preserve">down </w:t>
      </w:r>
      <w:r w:rsidRPr="00E214A9">
        <w:t>$1.</w:t>
      </w:r>
      <w:r w:rsidR="00E214A9" w:rsidRPr="00E214A9">
        <w:t>3</w:t>
      </w:r>
      <w:r w:rsidR="00E43BD8">
        <w:t> </w:t>
      </w:r>
      <w:r w:rsidRPr="00E214A9">
        <w:t>billion to $</w:t>
      </w:r>
      <w:r w:rsidR="00E214A9" w:rsidRPr="00E214A9">
        <w:t>927.4 million</w:t>
      </w:r>
      <w:r w:rsidRPr="00E214A9">
        <w:t xml:space="preserve">, a </w:t>
      </w:r>
      <w:r w:rsidR="00E214A9" w:rsidRPr="00E214A9">
        <w:t xml:space="preserve">57.7 </w:t>
      </w:r>
      <w:r w:rsidR="00E43BD8">
        <w:t>per cent</w:t>
      </w:r>
      <w:r w:rsidR="00E214A9" w:rsidRPr="00E214A9">
        <w:t xml:space="preserve"> de</w:t>
      </w:r>
      <w:r w:rsidRPr="00E214A9">
        <w:t>crease from $</w:t>
      </w:r>
      <w:r w:rsidR="00E214A9" w:rsidRPr="00E214A9">
        <w:t>2.2 b</w:t>
      </w:r>
      <w:r w:rsidRPr="00E214A9">
        <w:t xml:space="preserve">illion in </w:t>
      </w:r>
      <w:r w:rsidR="00F67E41" w:rsidRPr="00E214A9">
        <w:t>2019</w:t>
      </w:r>
      <w:r w:rsidRPr="00E214A9">
        <w:t xml:space="preserve">. This </w:t>
      </w:r>
      <w:r w:rsidR="00E214A9" w:rsidRPr="00E214A9">
        <w:t>de</w:t>
      </w:r>
      <w:r w:rsidRPr="00E214A9">
        <w:t xml:space="preserve">crease was driven by </w:t>
      </w:r>
      <w:r w:rsidR="00E214A9" w:rsidRPr="00E214A9">
        <w:t xml:space="preserve">the weaker </w:t>
      </w:r>
      <w:r w:rsidRPr="00E214A9">
        <w:t>performance across global equity markets</w:t>
      </w:r>
      <w:r w:rsidR="00E214A9" w:rsidRPr="00E214A9">
        <w:t xml:space="preserve"> when compared to 2019, w</w:t>
      </w:r>
      <w:r w:rsidR="00451DAC">
        <w:t>ith 2019 being</w:t>
      </w:r>
      <w:r w:rsidR="00E214A9" w:rsidRPr="00E214A9">
        <w:t xml:space="preserve"> an exceptionally strong year for investment returns</w:t>
      </w:r>
      <w:r w:rsidRPr="00E214A9">
        <w:t>.</w:t>
      </w:r>
    </w:p>
    <w:p w14:paraId="380ACA9B" w14:textId="3DEE087B" w:rsidR="00A22F1A" w:rsidRDefault="00115314" w:rsidP="00A97FCF">
      <w:r w:rsidRPr="0060723E">
        <w:rPr>
          <w:rStyle w:val="Strong"/>
        </w:rPr>
        <w:t xml:space="preserve">Figure </w:t>
      </w:r>
      <w:r>
        <w:rPr>
          <w:rStyle w:val="Strong"/>
        </w:rPr>
        <w:t>3</w:t>
      </w:r>
      <w:r w:rsidRPr="0060723E">
        <w:rPr>
          <w:rStyle w:val="Strong"/>
        </w:rPr>
        <w:t xml:space="preserve">: </w:t>
      </w:r>
      <w:r>
        <w:rPr>
          <w:rStyle w:val="Strong"/>
        </w:rPr>
        <w:t xml:space="preserve">Growth in </w:t>
      </w:r>
      <w:r w:rsidRPr="0060723E">
        <w:rPr>
          <w:rStyle w:val="Strong"/>
        </w:rPr>
        <w:t xml:space="preserve">Revenue </w:t>
      </w:r>
      <w:r>
        <w:rPr>
          <w:rStyle w:val="Strong"/>
        </w:rPr>
        <w:t>over time</w:t>
      </w:r>
    </w:p>
    <w:p w14:paraId="583F5966" w14:textId="79391B20" w:rsidR="00A22F1A" w:rsidRDefault="00A22F1A" w:rsidP="00A22F1A">
      <w:pPr>
        <w:sectPr w:rsidR="00A22F1A" w:rsidSect="00431F12">
          <w:headerReference w:type="default" r:id="rId17"/>
          <w:footerReference w:type="default" r:id="rId18"/>
          <w:type w:val="continuous"/>
          <w:pgSz w:w="11906" w:h="16838"/>
          <w:pgMar w:top="1135" w:right="1440" w:bottom="1440" w:left="1440" w:header="708" w:footer="1011" w:gutter="0"/>
          <w:pgNumType w:start="2"/>
          <w:cols w:space="708"/>
          <w:titlePg/>
          <w:docGrid w:linePitch="360"/>
        </w:sectPr>
      </w:pPr>
      <w:r>
        <w:rPr>
          <w:noProof/>
        </w:rPr>
        <w:drawing>
          <wp:inline distT="0" distB="0" distL="0" distR="0" wp14:anchorId="1ED284BA" wp14:editId="1C1A4083">
            <wp:extent cx="5349922" cy="3657600"/>
            <wp:effectExtent l="0" t="0" r="3175" b="0"/>
            <wp:docPr id="2" name="Chart 2">
              <a:extLst xmlns:a="http://schemas.openxmlformats.org/drawingml/2006/main">
                <a:ext uri="{FF2B5EF4-FFF2-40B4-BE49-F238E27FC236}">
                  <a16:creationId xmlns:a16="http://schemas.microsoft.com/office/drawing/2014/main" id="{70CD3C8E-0572-4E6D-A02F-12EBC79F83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D13861" w14:textId="1D2FFC08" w:rsidR="00A97FCF" w:rsidRDefault="00A97FCF" w:rsidP="00A97FCF">
      <w:pPr>
        <w:pStyle w:val="Source"/>
        <w:spacing w:after="0" w:line="240" w:lineRule="auto"/>
        <w:rPr>
          <w:rStyle w:val="Strong"/>
          <w:b/>
          <w:sz w:val="22"/>
          <w:szCs w:val="22"/>
        </w:rPr>
      </w:pPr>
      <w:r w:rsidRPr="00F51503">
        <w:rPr>
          <w:rStyle w:val="Strong"/>
          <w:b/>
          <w:sz w:val="22"/>
          <w:szCs w:val="22"/>
        </w:rPr>
        <w:lastRenderedPageBreak/>
        <w:t xml:space="preserve">Table </w:t>
      </w:r>
      <w:r>
        <w:rPr>
          <w:rStyle w:val="Strong"/>
          <w:b/>
          <w:sz w:val="22"/>
          <w:szCs w:val="22"/>
        </w:rPr>
        <w:t>3</w:t>
      </w:r>
      <w:r w:rsidRPr="00F51503">
        <w:rPr>
          <w:rStyle w:val="Strong"/>
          <w:b/>
          <w:sz w:val="22"/>
          <w:szCs w:val="22"/>
        </w:rPr>
        <w:t xml:space="preserve">: </w:t>
      </w:r>
      <w:r w:rsidR="00E724BF">
        <w:rPr>
          <w:rStyle w:val="Strong"/>
          <w:b/>
          <w:sz w:val="22"/>
          <w:szCs w:val="22"/>
        </w:rPr>
        <w:t xml:space="preserve">2019 and 2020 </w:t>
      </w:r>
      <w:r w:rsidRPr="00F51503">
        <w:rPr>
          <w:rStyle w:val="Strong"/>
          <w:b/>
          <w:sz w:val="22"/>
          <w:szCs w:val="22"/>
        </w:rPr>
        <w:t>Revenue</w:t>
      </w:r>
      <w:r w:rsidR="00677740">
        <w:rPr>
          <w:rStyle w:val="Strong"/>
          <w:b/>
          <w:sz w:val="22"/>
          <w:szCs w:val="22"/>
        </w:rPr>
        <w:t xml:space="preserve"> by University</w:t>
      </w:r>
    </w:p>
    <w:tbl>
      <w:tblPr>
        <w:tblW w:w="5000" w:type="pct"/>
        <w:tblLook w:val="04A0" w:firstRow="1" w:lastRow="0" w:firstColumn="1" w:lastColumn="0" w:noHBand="0" w:noVBand="1"/>
      </w:tblPr>
      <w:tblGrid>
        <w:gridCol w:w="3905"/>
        <w:gridCol w:w="1036"/>
        <w:gridCol w:w="1036"/>
        <w:gridCol w:w="1036"/>
        <w:gridCol w:w="1036"/>
        <w:gridCol w:w="882"/>
        <w:gridCol w:w="1082"/>
        <w:gridCol w:w="982"/>
        <w:gridCol w:w="985"/>
        <w:gridCol w:w="867"/>
        <w:gridCol w:w="867"/>
        <w:gridCol w:w="843"/>
        <w:gridCol w:w="831"/>
      </w:tblGrid>
      <w:tr w:rsidR="00304440" w:rsidRPr="00B23317" w14:paraId="6A0EBC00" w14:textId="77777777" w:rsidTr="00304440">
        <w:trPr>
          <w:trHeight w:val="255"/>
        </w:trPr>
        <w:tc>
          <w:tcPr>
            <w:tcW w:w="1270" w:type="pct"/>
            <w:vMerge w:val="restart"/>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172B4422"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 </w:t>
            </w:r>
          </w:p>
        </w:tc>
        <w:tc>
          <w:tcPr>
            <w:tcW w:w="675" w:type="pct"/>
            <w:gridSpan w:val="2"/>
            <w:tcBorders>
              <w:top w:val="single" w:sz="4" w:space="0" w:color="auto"/>
              <w:left w:val="nil"/>
              <w:bottom w:val="single" w:sz="4" w:space="0" w:color="auto"/>
              <w:right w:val="single" w:sz="4" w:space="0" w:color="000000"/>
            </w:tcBorders>
            <w:shd w:val="clear" w:color="000000" w:fill="4F81BD"/>
            <w:vAlign w:val="bottom"/>
            <w:hideMark/>
          </w:tcPr>
          <w:p w14:paraId="4D0C2C36" w14:textId="77777777" w:rsidR="007D1FF6"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Total Revenue</w:t>
            </w:r>
          </w:p>
          <w:p w14:paraId="71E19328" w14:textId="6709007C" w:rsidR="00B23317" w:rsidRPr="00B23317" w:rsidRDefault="00F90806" w:rsidP="00B23317">
            <w:pPr>
              <w:spacing w:after="0" w:line="240" w:lineRule="auto"/>
              <w:jc w:val="center"/>
              <w:rPr>
                <w:rFonts w:eastAsia="Times New Roman" w:cstheme="minorHAnsi"/>
                <w:b/>
                <w:bCs/>
                <w:color w:val="FFFFFF"/>
                <w:sz w:val="16"/>
                <w:szCs w:val="16"/>
                <w:lang w:eastAsia="en-AU"/>
              </w:rPr>
            </w:pPr>
            <w:r>
              <w:rPr>
                <w:rFonts w:eastAsia="Times New Roman" w:cstheme="minorHAnsi"/>
                <w:b/>
                <w:bCs/>
                <w:color w:val="FFFFFF"/>
                <w:sz w:val="16"/>
                <w:szCs w:val="16"/>
                <w:lang w:eastAsia="en-AU"/>
              </w:rPr>
              <w:t>($’000)</w:t>
            </w:r>
          </w:p>
        </w:tc>
        <w:tc>
          <w:tcPr>
            <w:tcW w:w="675" w:type="pct"/>
            <w:gridSpan w:val="2"/>
            <w:tcBorders>
              <w:top w:val="single" w:sz="4" w:space="0" w:color="auto"/>
              <w:left w:val="nil"/>
              <w:bottom w:val="single" w:sz="4" w:space="0" w:color="auto"/>
              <w:right w:val="single" w:sz="4" w:space="0" w:color="auto"/>
            </w:tcBorders>
            <w:shd w:val="clear" w:color="000000" w:fill="4F81BD"/>
            <w:vAlign w:val="bottom"/>
            <w:hideMark/>
          </w:tcPr>
          <w:p w14:paraId="75D75852"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Increase / Decrease</w:t>
            </w:r>
          </w:p>
        </w:tc>
        <w:tc>
          <w:tcPr>
            <w:tcW w:w="641" w:type="pct"/>
            <w:gridSpan w:val="2"/>
            <w:tcBorders>
              <w:top w:val="single" w:sz="4" w:space="0" w:color="auto"/>
              <w:left w:val="nil"/>
              <w:bottom w:val="single" w:sz="4" w:space="0" w:color="auto"/>
              <w:right w:val="single" w:sz="4" w:space="0" w:color="000000"/>
            </w:tcBorders>
            <w:shd w:val="clear" w:color="000000" w:fill="4F81BD"/>
            <w:vAlign w:val="bottom"/>
            <w:hideMark/>
          </w:tcPr>
          <w:p w14:paraId="6164261E" w14:textId="07D76A52"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Investment Revenue</w:t>
            </w:r>
            <w:r w:rsidR="00F90806">
              <w:rPr>
                <w:rFonts w:eastAsia="Times New Roman" w:cstheme="minorHAnsi"/>
                <w:b/>
                <w:bCs/>
                <w:color w:val="FFFFFF"/>
                <w:sz w:val="16"/>
                <w:szCs w:val="16"/>
                <w:lang w:eastAsia="en-AU"/>
              </w:rPr>
              <w:t xml:space="preserve"> ($’000)</w:t>
            </w:r>
          </w:p>
        </w:tc>
        <w:tc>
          <w:tcPr>
            <w:tcW w:w="641" w:type="pct"/>
            <w:gridSpan w:val="2"/>
            <w:tcBorders>
              <w:top w:val="single" w:sz="4" w:space="0" w:color="auto"/>
              <w:left w:val="nil"/>
              <w:bottom w:val="single" w:sz="4" w:space="0" w:color="auto"/>
              <w:right w:val="single" w:sz="4" w:space="0" w:color="auto"/>
            </w:tcBorders>
            <w:shd w:val="clear" w:color="000000" w:fill="4F81BD"/>
            <w:vAlign w:val="bottom"/>
            <w:hideMark/>
          </w:tcPr>
          <w:p w14:paraId="5A172F21"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Increase / Decrease</w:t>
            </w:r>
          </w:p>
        </w:tc>
        <w:tc>
          <w:tcPr>
            <w:tcW w:w="549" w:type="pct"/>
            <w:gridSpan w:val="2"/>
            <w:tcBorders>
              <w:top w:val="single" w:sz="4" w:space="0" w:color="auto"/>
              <w:left w:val="nil"/>
              <w:bottom w:val="single" w:sz="4" w:space="0" w:color="auto"/>
              <w:right w:val="single" w:sz="4" w:space="0" w:color="000000"/>
            </w:tcBorders>
            <w:shd w:val="clear" w:color="000000" w:fill="4F81BD"/>
            <w:vAlign w:val="bottom"/>
            <w:hideMark/>
          </w:tcPr>
          <w:p w14:paraId="4677E3D9" w14:textId="5A56846E"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International Student Fees</w:t>
            </w:r>
            <w:r w:rsidR="00F90806">
              <w:rPr>
                <w:rFonts w:eastAsia="Times New Roman" w:cstheme="minorHAnsi"/>
                <w:b/>
                <w:bCs/>
                <w:color w:val="FFFFFF"/>
                <w:sz w:val="16"/>
                <w:szCs w:val="16"/>
                <w:lang w:eastAsia="en-AU"/>
              </w:rPr>
              <w:t xml:space="preserve"> ($’000)</w:t>
            </w:r>
          </w:p>
        </w:tc>
        <w:tc>
          <w:tcPr>
            <w:tcW w:w="549" w:type="pct"/>
            <w:gridSpan w:val="2"/>
            <w:tcBorders>
              <w:top w:val="single" w:sz="4" w:space="0" w:color="auto"/>
              <w:left w:val="nil"/>
              <w:bottom w:val="single" w:sz="4" w:space="0" w:color="auto"/>
              <w:right w:val="single" w:sz="4" w:space="0" w:color="auto"/>
            </w:tcBorders>
            <w:shd w:val="clear" w:color="000000" w:fill="4F81BD"/>
            <w:vAlign w:val="bottom"/>
            <w:hideMark/>
          </w:tcPr>
          <w:p w14:paraId="006CD407"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Increase / Decrease</w:t>
            </w:r>
          </w:p>
        </w:tc>
      </w:tr>
      <w:tr w:rsidR="00B23317" w:rsidRPr="00304440" w14:paraId="3396D608" w14:textId="77777777" w:rsidTr="00304440">
        <w:trPr>
          <w:trHeight w:val="255"/>
        </w:trPr>
        <w:tc>
          <w:tcPr>
            <w:tcW w:w="1270" w:type="pct"/>
            <w:vMerge/>
            <w:tcBorders>
              <w:top w:val="single" w:sz="4" w:space="0" w:color="auto"/>
              <w:left w:val="single" w:sz="4" w:space="0" w:color="auto"/>
              <w:bottom w:val="single" w:sz="4" w:space="0" w:color="auto"/>
              <w:right w:val="single" w:sz="4" w:space="0" w:color="auto"/>
            </w:tcBorders>
            <w:vAlign w:val="center"/>
            <w:hideMark/>
          </w:tcPr>
          <w:p w14:paraId="524F3354" w14:textId="77777777" w:rsidR="00B23317" w:rsidRPr="00B23317" w:rsidRDefault="00B23317" w:rsidP="00B23317">
            <w:pPr>
              <w:spacing w:after="0" w:line="240" w:lineRule="auto"/>
              <w:rPr>
                <w:rFonts w:eastAsia="Times New Roman" w:cstheme="minorHAnsi"/>
                <w:b/>
                <w:bCs/>
                <w:color w:val="FFFFFF"/>
                <w:sz w:val="16"/>
                <w:szCs w:val="16"/>
                <w:lang w:eastAsia="en-AU"/>
              </w:rPr>
            </w:pPr>
          </w:p>
        </w:tc>
        <w:tc>
          <w:tcPr>
            <w:tcW w:w="338" w:type="pct"/>
            <w:tcBorders>
              <w:top w:val="nil"/>
              <w:left w:val="nil"/>
              <w:bottom w:val="single" w:sz="4" w:space="0" w:color="auto"/>
              <w:right w:val="single" w:sz="4" w:space="0" w:color="auto"/>
            </w:tcBorders>
            <w:shd w:val="clear" w:color="000000" w:fill="4F81BD"/>
            <w:noWrap/>
            <w:vAlign w:val="bottom"/>
            <w:hideMark/>
          </w:tcPr>
          <w:p w14:paraId="4370EEF6"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2020</w:t>
            </w:r>
          </w:p>
        </w:tc>
        <w:tc>
          <w:tcPr>
            <w:tcW w:w="338" w:type="pct"/>
            <w:tcBorders>
              <w:top w:val="nil"/>
              <w:left w:val="nil"/>
              <w:bottom w:val="single" w:sz="4" w:space="0" w:color="auto"/>
              <w:right w:val="single" w:sz="4" w:space="0" w:color="auto"/>
            </w:tcBorders>
            <w:shd w:val="clear" w:color="000000" w:fill="4F81BD"/>
            <w:noWrap/>
            <w:vAlign w:val="bottom"/>
            <w:hideMark/>
          </w:tcPr>
          <w:p w14:paraId="5E8C3E37"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2019</w:t>
            </w:r>
          </w:p>
        </w:tc>
        <w:tc>
          <w:tcPr>
            <w:tcW w:w="338" w:type="pct"/>
            <w:tcBorders>
              <w:top w:val="nil"/>
              <w:left w:val="nil"/>
              <w:bottom w:val="single" w:sz="4" w:space="0" w:color="auto"/>
              <w:right w:val="single" w:sz="4" w:space="0" w:color="auto"/>
            </w:tcBorders>
            <w:shd w:val="clear" w:color="00FF00" w:fill="4F81BD"/>
            <w:vAlign w:val="bottom"/>
            <w:hideMark/>
          </w:tcPr>
          <w:p w14:paraId="453B9E92"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$'000</w:t>
            </w:r>
          </w:p>
        </w:tc>
        <w:tc>
          <w:tcPr>
            <w:tcW w:w="338" w:type="pct"/>
            <w:tcBorders>
              <w:top w:val="nil"/>
              <w:left w:val="nil"/>
              <w:bottom w:val="single" w:sz="4" w:space="0" w:color="auto"/>
              <w:right w:val="single" w:sz="4" w:space="0" w:color="auto"/>
            </w:tcBorders>
            <w:shd w:val="clear" w:color="00FF00" w:fill="4F81BD"/>
            <w:vAlign w:val="bottom"/>
            <w:hideMark/>
          </w:tcPr>
          <w:p w14:paraId="1B3F11AC"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w:t>
            </w:r>
          </w:p>
        </w:tc>
        <w:tc>
          <w:tcPr>
            <w:tcW w:w="288" w:type="pct"/>
            <w:tcBorders>
              <w:top w:val="nil"/>
              <w:left w:val="nil"/>
              <w:bottom w:val="single" w:sz="4" w:space="0" w:color="auto"/>
              <w:right w:val="single" w:sz="4" w:space="0" w:color="auto"/>
            </w:tcBorders>
            <w:shd w:val="clear" w:color="000000" w:fill="4F81BD"/>
            <w:noWrap/>
            <w:vAlign w:val="bottom"/>
            <w:hideMark/>
          </w:tcPr>
          <w:p w14:paraId="5D95A3A9"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2020</w:t>
            </w:r>
          </w:p>
        </w:tc>
        <w:tc>
          <w:tcPr>
            <w:tcW w:w="352" w:type="pct"/>
            <w:tcBorders>
              <w:top w:val="nil"/>
              <w:left w:val="nil"/>
              <w:bottom w:val="single" w:sz="4" w:space="0" w:color="auto"/>
              <w:right w:val="single" w:sz="4" w:space="0" w:color="auto"/>
            </w:tcBorders>
            <w:shd w:val="clear" w:color="000000" w:fill="4F81BD"/>
            <w:noWrap/>
            <w:vAlign w:val="bottom"/>
            <w:hideMark/>
          </w:tcPr>
          <w:p w14:paraId="50B482BB"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2019</w:t>
            </w:r>
          </w:p>
        </w:tc>
        <w:tc>
          <w:tcPr>
            <w:tcW w:w="320" w:type="pct"/>
            <w:tcBorders>
              <w:top w:val="nil"/>
              <w:left w:val="nil"/>
              <w:bottom w:val="single" w:sz="4" w:space="0" w:color="auto"/>
              <w:right w:val="single" w:sz="4" w:space="0" w:color="auto"/>
            </w:tcBorders>
            <w:shd w:val="clear" w:color="00FF00" w:fill="4F81BD"/>
            <w:vAlign w:val="bottom"/>
            <w:hideMark/>
          </w:tcPr>
          <w:p w14:paraId="38080ED5"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$'000</w:t>
            </w:r>
          </w:p>
        </w:tc>
        <w:tc>
          <w:tcPr>
            <w:tcW w:w="320" w:type="pct"/>
            <w:tcBorders>
              <w:top w:val="nil"/>
              <w:left w:val="nil"/>
              <w:bottom w:val="single" w:sz="4" w:space="0" w:color="auto"/>
              <w:right w:val="single" w:sz="4" w:space="0" w:color="auto"/>
            </w:tcBorders>
            <w:shd w:val="clear" w:color="00FF00" w:fill="4F81BD"/>
            <w:vAlign w:val="bottom"/>
            <w:hideMark/>
          </w:tcPr>
          <w:p w14:paraId="282DE57C"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w:t>
            </w:r>
          </w:p>
        </w:tc>
        <w:tc>
          <w:tcPr>
            <w:tcW w:w="275" w:type="pct"/>
            <w:tcBorders>
              <w:top w:val="nil"/>
              <w:left w:val="nil"/>
              <w:bottom w:val="single" w:sz="4" w:space="0" w:color="auto"/>
              <w:right w:val="single" w:sz="4" w:space="0" w:color="auto"/>
            </w:tcBorders>
            <w:shd w:val="clear" w:color="000000" w:fill="4F81BD"/>
            <w:noWrap/>
            <w:vAlign w:val="bottom"/>
            <w:hideMark/>
          </w:tcPr>
          <w:p w14:paraId="03C9934D"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2020</w:t>
            </w:r>
          </w:p>
        </w:tc>
        <w:tc>
          <w:tcPr>
            <w:tcW w:w="275" w:type="pct"/>
            <w:tcBorders>
              <w:top w:val="nil"/>
              <w:left w:val="nil"/>
              <w:bottom w:val="single" w:sz="4" w:space="0" w:color="auto"/>
              <w:right w:val="single" w:sz="4" w:space="0" w:color="auto"/>
            </w:tcBorders>
            <w:shd w:val="clear" w:color="000000" w:fill="4F81BD"/>
            <w:noWrap/>
            <w:vAlign w:val="bottom"/>
            <w:hideMark/>
          </w:tcPr>
          <w:p w14:paraId="6724AEDD"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2019</w:t>
            </w:r>
          </w:p>
        </w:tc>
        <w:tc>
          <w:tcPr>
            <w:tcW w:w="275" w:type="pct"/>
            <w:tcBorders>
              <w:top w:val="nil"/>
              <w:left w:val="nil"/>
              <w:bottom w:val="single" w:sz="4" w:space="0" w:color="auto"/>
              <w:right w:val="single" w:sz="4" w:space="0" w:color="auto"/>
            </w:tcBorders>
            <w:shd w:val="clear" w:color="00FF00" w:fill="4F81BD"/>
            <w:vAlign w:val="bottom"/>
            <w:hideMark/>
          </w:tcPr>
          <w:p w14:paraId="05552F7A"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$'000</w:t>
            </w:r>
          </w:p>
        </w:tc>
        <w:tc>
          <w:tcPr>
            <w:tcW w:w="275" w:type="pct"/>
            <w:tcBorders>
              <w:top w:val="nil"/>
              <w:left w:val="nil"/>
              <w:bottom w:val="single" w:sz="4" w:space="0" w:color="auto"/>
              <w:right w:val="single" w:sz="4" w:space="0" w:color="auto"/>
            </w:tcBorders>
            <w:shd w:val="clear" w:color="00FF00" w:fill="4F81BD"/>
            <w:vAlign w:val="bottom"/>
            <w:hideMark/>
          </w:tcPr>
          <w:p w14:paraId="300B10F8" w14:textId="77777777" w:rsidR="00B23317" w:rsidRPr="00B23317" w:rsidRDefault="00B23317" w:rsidP="00B23317">
            <w:pPr>
              <w:spacing w:after="0" w:line="240" w:lineRule="auto"/>
              <w:jc w:val="center"/>
              <w:rPr>
                <w:rFonts w:eastAsia="Times New Roman" w:cstheme="minorHAnsi"/>
                <w:b/>
                <w:bCs/>
                <w:color w:val="FFFFFF"/>
                <w:sz w:val="16"/>
                <w:szCs w:val="16"/>
                <w:lang w:eastAsia="en-AU"/>
              </w:rPr>
            </w:pPr>
            <w:r w:rsidRPr="00B23317">
              <w:rPr>
                <w:rFonts w:eastAsia="Times New Roman" w:cstheme="minorHAnsi"/>
                <w:b/>
                <w:bCs/>
                <w:color w:val="FFFFFF"/>
                <w:sz w:val="16"/>
                <w:szCs w:val="16"/>
                <w:lang w:eastAsia="en-AU"/>
              </w:rPr>
              <w:t>%</w:t>
            </w:r>
          </w:p>
        </w:tc>
      </w:tr>
      <w:tr w:rsidR="00304440" w:rsidRPr="00B23317" w14:paraId="6E8190D2"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C9DC5E0"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Monash University</w:t>
            </w:r>
          </w:p>
        </w:tc>
        <w:tc>
          <w:tcPr>
            <w:tcW w:w="338" w:type="pct"/>
            <w:tcBorders>
              <w:top w:val="nil"/>
              <w:left w:val="nil"/>
              <w:bottom w:val="single" w:sz="4" w:space="0" w:color="auto"/>
              <w:right w:val="single" w:sz="4" w:space="0" w:color="auto"/>
            </w:tcBorders>
            <w:shd w:val="clear" w:color="auto" w:fill="auto"/>
            <w:noWrap/>
            <w:vAlign w:val="bottom"/>
            <w:hideMark/>
          </w:tcPr>
          <w:p w14:paraId="0BBCFB7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2,697,018 </w:t>
            </w:r>
          </w:p>
        </w:tc>
        <w:tc>
          <w:tcPr>
            <w:tcW w:w="338" w:type="pct"/>
            <w:tcBorders>
              <w:top w:val="nil"/>
              <w:left w:val="nil"/>
              <w:bottom w:val="single" w:sz="4" w:space="0" w:color="auto"/>
              <w:right w:val="single" w:sz="4" w:space="0" w:color="auto"/>
            </w:tcBorders>
            <w:shd w:val="clear" w:color="auto" w:fill="auto"/>
            <w:noWrap/>
            <w:vAlign w:val="bottom"/>
            <w:hideMark/>
          </w:tcPr>
          <w:p w14:paraId="6C07DCF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2,787,410 </w:t>
            </w:r>
          </w:p>
        </w:tc>
        <w:tc>
          <w:tcPr>
            <w:tcW w:w="338" w:type="pct"/>
            <w:tcBorders>
              <w:top w:val="nil"/>
              <w:left w:val="nil"/>
              <w:bottom w:val="single" w:sz="4" w:space="0" w:color="auto"/>
              <w:right w:val="single" w:sz="4" w:space="0" w:color="auto"/>
            </w:tcBorders>
            <w:shd w:val="clear" w:color="000000" w:fill="D9D9D9"/>
            <w:noWrap/>
            <w:vAlign w:val="bottom"/>
            <w:hideMark/>
          </w:tcPr>
          <w:p w14:paraId="04B40C2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-90,392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A42FEBA"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-3.2%</w:t>
            </w:r>
          </w:p>
        </w:tc>
        <w:tc>
          <w:tcPr>
            <w:tcW w:w="288" w:type="pct"/>
            <w:tcBorders>
              <w:top w:val="nil"/>
              <w:left w:val="nil"/>
              <w:bottom w:val="single" w:sz="4" w:space="0" w:color="auto"/>
              <w:right w:val="single" w:sz="4" w:space="0" w:color="auto"/>
            </w:tcBorders>
            <w:shd w:val="clear" w:color="auto" w:fill="auto"/>
            <w:noWrap/>
            <w:vAlign w:val="bottom"/>
            <w:hideMark/>
          </w:tcPr>
          <w:p w14:paraId="4732CEC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59,398 </w:t>
            </w:r>
          </w:p>
        </w:tc>
        <w:tc>
          <w:tcPr>
            <w:tcW w:w="352" w:type="pct"/>
            <w:tcBorders>
              <w:top w:val="nil"/>
              <w:left w:val="nil"/>
              <w:bottom w:val="single" w:sz="4" w:space="0" w:color="auto"/>
              <w:right w:val="single" w:sz="4" w:space="0" w:color="auto"/>
            </w:tcBorders>
            <w:shd w:val="clear" w:color="auto" w:fill="auto"/>
            <w:noWrap/>
            <w:vAlign w:val="bottom"/>
            <w:hideMark/>
          </w:tcPr>
          <w:p w14:paraId="0333A4C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146,907 </w:t>
            </w:r>
          </w:p>
        </w:tc>
        <w:tc>
          <w:tcPr>
            <w:tcW w:w="320" w:type="pct"/>
            <w:tcBorders>
              <w:top w:val="nil"/>
              <w:left w:val="nil"/>
              <w:bottom w:val="single" w:sz="4" w:space="0" w:color="auto"/>
              <w:right w:val="single" w:sz="4" w:space="0" w:color="auto"/>
            </w:tcBorders>
            <w:shd w:val="clear" w:color="000000" w:fill="D9D9D9"/>
            <w:noWrap/>
            <w:vAlign w:val="bottom"/>
            <w:hideMark/>
          </w:tcPr>
          <w:p w14:paraId="6F44284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-87,509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4C9ED0F"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-59.6%</w:t>
            </w:r>
          </w:p>
        </w:tc>
        <w:tc>
          <w:tcPr>
            <w:tcW w:w="275" w:type="pct"/>
            <w:tcBorders>
              <w:top w:val="nil"/>
              <w:left w:val="nil"/>
              <w:bottom w:val="single" w:sz="4" w:space="0" w:color="auto"/>
              <w:right w:val="single" w:sz="4" w:space="0" w:color="auto"/>
            </w:tcBorders>
            <w:shd w:val="clear" w:color="auto" w:fill="auto"/>
            <w:noWrap/>
            <w:vAlign w:val="bottom"/>
            <w:hideMark/>
          </w:tcPr>
          <w:p w14:paraId="71982AF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982,634 </w:t>
            </w:r>
          </w:p>
        </w:tc>
        <w:tc>
          <w:tcPr>
            <w:tcW w:w="275" w:type="pct"/>
            <w:tcBorders>
              <w:top w:val="nil"/>
              <w:left w:val="nil"/>
              <w:bottom w:val="single" w:sz="4" w:space="0" w:color="auto"/>
              <w:right w:val="single" w:sz="4" w:space="0" w:color="auto"/>
            </w:tcBorders>
            <w:shd w:val="clear" w:color="auto" w:fill="auto"/>
            <w:noWrap/>
            <w:vAlign w:val="bottom"/>
            <w:hideMark/>
          </w:tcPr>
          <w:p w14:paraId="75B45F3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1,003,980 </w:t>
            </w:r>
          </w:p>
        </w:tc>
        <w:tc>
          <w:tcPr>
            <w:tcW w:w="275" w:type="pct"/>
            <w:tcBorders>
              <w:top w:val="nil"/>
              <w:left w:val="nil"/>
              <w:bottom w:val="single" w:sz="4" w:space="0" w:color="auto"/>
              <w:right w:val="single" w:sz="4" w:space="0" w:color="auto"/>
            </w:tcBorders>
            <w:shd w:val="clear" w:color="000000" w:fill="D9D9D9"/>
            <w:noWrap/>
            <w:vAlign w:val="bottom"/>
            <w:hideMark/>
          </w:tcPr>
          <w:p w14:paraId="23B621B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-21,346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D375340"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-2.1%</w:t>
            </w:r>
          </w:p>
        </w:tc>
      </w:tr>
      <w:tr w:rsidR="00304440" w:rsidRPr="00B23317" w14:paraId="149CD694"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B9DA892"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The University of Melbourne</w:t>
            </w:r>
          </w:p>
        </w:tc>
        <w:tc>
          <w:tcPr>
            <w:tcW w:w="338" w:type="pct"/>
            <w:tcBorders>
              <w:top w:val="nil"/>
              <w:left w:val="nil"/>
              <w:bottom w:val="single" w:sz="4" w:space="0" w:color="auto"/>
              <w:right w:val="single" w:sz="4" w:space="0" w:color="auto"/>
            </w:tcBorders>
            <w:shd w:val="clear" w:color="auto" w:fill="auto"/>
            <w:noWrap/>
            <w:vAlign w:val="bottom"/>
            <w:hideMark/>
          </w:tcPr>
          <w:p w14:paraId="6A58D29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2,657,711 </w:t>
            </w:r>
          </w:p>
        </w:tc>
        <w:tc>
          <w:tcPr>
            <w:tcW w:w="338" w:type="pct"/>
            <w:tcBorders>
              <w:top w:val="nil"/>
              <w:left w:val="nil"/>
              <w:bottom w:val="single" w:sz="4" w:space="0" w:color="auto"/>
              <w:right w:val="single" w:sz="4" w:space="0" w:color="auto"/>
            </w:tcBorders>
            <w:shd w:val="clear" w:color="auto" w:fill="auto"/>
            <w:noWrap/>
            <w:vAlign w:val="bottom"/>
            <w:hideMark/>
          </w:tcPr>
          <w:p w14:paraId="6C94A85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2,872,841 </w:t>
            </w:r>
          </w:p>
        </w:tc>
        <w:tc>
          <w:tcPr>
            <w:tcW w:w="338" w:type="pct"/>
            <w:tcBorders>
              <w:top w:val="nil"/>
              <w:left w:val="nil"/>
              <w:bottom w:val="single" w:sz="4" w:space="0" w:color="auto"/>
              <w:right w:val="single" w:sz="4" w:space="0" w:color="auto"/>
            </w:tcBorders>
            <w:shd w:val="clear" w:color="000000" w:fill="D9D9D9"/>
            <w:noWrap/>
            <w:vAlign w:val="bottom"/>
            <w:hideMark/>
          </w:tcPr>
          <w:p w14:paraId="1E0A697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-215,130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07C0678"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-7.5%</w:t>
            </w:r>
          </w:p>
        </w:tc>
        <w:tc>
          <w:tcPr>
            <w:tcW w:w="288" w:type="pct"/>
            <w:tcBorders>
              <w:top w:val="nil"/>
              <w:left w:val="nil"/>
              <w:bottom w:val="single" w:sz="4" w:space="0" w:color="auto"/>
              <w:right w:val="single" w:sz="4" w:space="0" w:color="auto"/>
            </w:tcBorders>
            <w:shd w:val="clear" w:color="auto" w:fill="auto"/>
            <w:noWrap/>
            <w:vAlign w:val="bottom"/>
            <w:hideMark/>
          </w:tcPr>
          <w:p w14:paraId="0110EB1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170,087 </w:t>
            </w:r>
          </w:p>
        </w:tc>
        <w:tc>
          <w:tcPr>
            <w:tcW w:w="352" w:type="pct"/>
            <w:tcBorders>
              <w:top w:val="nil"/>
              <w:left w:val="nil"/>
              <w:bottom w:val="single" w:sz="4" w:space="0" w:color="auto"/>
              <w:right w:val="single" w:sz="4" w:space="0" w:color="auto"/>
            </w:tcBorders>
            <w:shd w:val="clear" w:color="auto" w:fill="auto"/>
            <w:noWrap/>
            <w:vAlign w:val="bottom"/>
            <w:hideMark/>
          </w:tcPr>
          <w:p w14:paraId="0117550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337,278 </w:t>
            </w:r>
          </w:p>
        </w:tc>
        <w:tc>
          <w:tcPr>
            <w:tcW w:w="320" w:type="pct"/>
            <w:tcBorders>
              <w:top w:val="nil"/>
              <w:left w:val="nil"/>
              <w:bottom w:val="single" w:sz="4" w:space="0" w:color="auto"/>
              <w:right w:val="single" w:sz="4" w:space="0" w:color="auto"/>
            </w:tcBorders>
            <w:shd w:val="clear" w:color="000000" w:fill="D9D9D9"/>
            <w:noWrap/>
            <w:vAlign w:val="bottom"/>
            <w:hideMark/>
          </w:tcPr>
          <w:p w14:paraId="7725C38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-167,191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ECC3E5D"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-49.6%</w:t>
            </w:r>
          </w:p>
        </w:tc>
        <w:tc>
          <w:tcPr>
            <w:tcW w:w="275" w:type="pct"/>
            <w:tcBorders>
              <w:top w:val="nil"/>
              <w:left w:val="nil"/>
              <w:bottom w:val="single" w:sz="4" w:space="0" w:color="auto"/>
              <w:right w:val="single" w:sz="4" w:space="0" w:color="auto"/>
            </w:tcBorders>
            <w:shd w:val="clear" w:color="auto" w:fill="auto"/>
            <w:noWrap/>
            <w:vAlign w:val="bottom"/>
            <w:hideMark/>
          </w:tcPr>
          <w:p w14:paraId="7C817F9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845,593 </w:t>
            </w:r>
          </w:p>
        </w:tc>
        <w:tc>
          <w:tcPr>
            <w:tcW w:w="275" w:type="pct"/>
            <w:tcBorders>
              <w:top w:val="nil"/>
              <w:left w:val="nil"/>
              <w:bottom w:val="single" w:sz="4" w:space="0" w:color="auto"/>
              <w:right w:val="single" w:sz="4" w:space="0" w:color="auto"/>
            </w:tcBorders>
            <w:shd w:val="clear" w:color="auto" w:fill="auto"/>
            <w:noWrap/>
            <w:vAlign w:val="bottom"/>
            <w:hideMark/>
          </w:tcPr>
          <w:p w14:paraId="0F082C1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904,733 </w:t>
            </w:r>
          </w:p>
        </w:tc>
        <w:tc>
          <w:tcPr>
            <w:tcW w:w="275" w:type="pct"/>
            <w:tcBorders>
              <w:top w:val="nil"/>
              <w:left w:val="nil"/>
              <w:bottom w:val="single" w:sz="4" w:space="0" w:color="auto"/>
              <w:right w:val="single" w:sz="4" w:space="0" w:color="auto"/>
            </w:tcBorders>
            <w:shd w:val="clear" w:color="000000" w:fill="D9D9D9"/>
            <w:noWrap/>
            <w:vAlign w:val="bottom"/>
            <w:hideMark/>
          </w:tcPr>
          <w:p w14:paraId="4790CB7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-59,140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8DA9542"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-6.5%</w:t>
            </w:r>
          </w:p>
        </w:tc>
      </w:tr>
      <w:tr w:rsidR="00304440" w:rsidRPr="00B23317" w14:paraId="696DD231"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FE097D2"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The University of Sydney</w:t>
            </w:r>
          </w:p>
        </w:tc>
        <w:tc>
          <w:tcPr>
            <w:tcW w:w="338" w:type="pct"/>
            <w:tcBorders>
              <w:top w:val="nil"/>
              <w:left w:val="nil"/>
              <w:bottom w:val="single" w:sz="4" w:space="0" w:color="auto"/>
              <w:right w:val="single" w:sz="4" w:space="0" w:color="auto"/>
            </w:tcBorders>
            <w:shd w:val="clear" w:color="auto" w:fill="auto"/>
            <w:noWrap/>
            <w:vAlign w:val="bottom"/>
            <w:hideMark/>
          </w:tcPr>
          <w:p w14:paraId="462D4C0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2,644,430 </w:t>
            </w:r>
          </w:p>
        </w:tc>
        <w:tc>
          <w:tcPr>
            <w:tcW w:w="338" w:type="pct"/>
            <w:tcBorders>
              <w:top w:val="nil"/>
              <w:left w:val="nil"/>
              <w:bottom w:val="single" w:sz="4" w:space="0" w:color="auto"/>
              <w:right w:val="single" w:sz="4" w:space="0" w:color="auto"/>
            </w:tcBorders>
            <w:shd w:val="clear" w:color="auto" w:fill="auto"/>
            <w:noWrap/>
            <w:vAlign w:val="bottom"/>
            <w:hideMark/>
          </w:tcPr>
          <w:p w14:paraId="52C9676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2,740,320 </w:t>
            </w:r>
          </w:p>
        </w:tc>
        <w:tc>
          <w:tcPr>
            <w:tcW w:w="338" w:type="pct"/>
            <w:tcBorders>
              <w:top w:val="nil"/>
              <w:left w:val="nil"/>
              <w:bottom w:val="single" w:sz="4" w:space="0" w:color="auto"/>
              <w:right w:val="single" w:sz="4" w:space="0" w:color="auto"/>
            </w:tcBorders>
            <w:shd w:val="clear" w:color="000000" w:fill="D9D9D9"/>
            <w:noWrap/>
            <w:vAlign w:val="bottom"/>
            <w:hideMark/>
          </w:tcPr>
          <w:p w14:paraId="138FC3B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-95,890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54F8CA"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-3.5%</w:t>
            </w:r>
          </w:p>
        </w:tc>
        <w:tc>
          <w:tcPr>
            <w:tcW w:w="288" w:type="pct"/>
            <w:tcBorders>
              <w:top w:val="nil"/>
              <w:left w:val="nil"/>
              <w:bottom w:val="single" w:sz="4" w:space="0" w:color="auto"/>
              <w:right w:val="single" w:sz="4" w:space="0" w:color="auto"/>
            </w:tcBorders>
            <w:shd w:val="clear" w:color="auto" w:fill="auto"/>
            <w:noWrap/>
            <w:vAlign w:val="bottom"/>
            <w:hideMark/>
          </w:tcPr>
          <w:p w14:paraId="0FD909A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68,452 </w:t>
            </w:r>
          </w:p>
        </w:tc>
        <w:tc>
          <w:tcPr>
            <w:tcW w:w="352" w:type="pct"/>
            <w:tcBorders>
              <w:top w:val="nil"/>
              <w:left w:val="nil"/>
              <w:bottom w:val="single" w:sz="4" w:space="0" w:color="auto"/>
              <w:right w:val="single" w:sz="4" w:space="0" w:color="auto"/>
            </w:tcBorders>
            <w:shd w:val="clear" w:color="auto" w:fill="auto"/>
            <w:noWrap/>
            <w:vAlign w:val="bottom"/>
            <w:hideMark/>
          </w:tcPr>
          <w:p w14:paraId="1454A60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213,465 </w:t>
            </w:r>
          </w:p>
        </w:tc>
        <w:tc>
          <w:tcPr>
            <w:tcW w:w="320" w:type="pct"/>
            <w:tcBorders>
              <w:top w:val="nil"/>
              <w:left w:val="nil"/>
              <w:bottom w:val="single" w:sz="4" w:space="0" w:color="auto"/>
              <w:right w:val="single" w:sz="4" w:space="0" w:color="auto"/>
            </w:tcBorders>
            <w:shd w:val="clear" w:color="000000" w:fill="D9D9D9"/>
            <w:noWrap/>
            <w:vAlign w:val="bottom"/>
            <w:hideMark/>
          </w:tcPr>
          <w:p w14:paraId="0E71801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-145,013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4C5C6F"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-67.9%</w:t>
            </w:r>
          </w:p>
        </w:tc>
        <w:tc>
          <w:tcPr>
            <w:tcW w:w="275" w:type="pct"/>
            <w:tcBorders>
              <w:top w:val="nil"/>
              <w:left w:val="nil"/>
              <w:bottom w:val="single" w:sz="4" w:space="0" w:color="auto"/>
              <w:right w:val="single" w:sz="4" w:space="0" w:color="auto"/>
            </w:tcBorders>
            <w:shd w:val="clear" w:color="auto" w:fill="auto"/>
            <w:noWrap/>
            <w:vAlign w:val="bottom"/>
            <w:hideMark/>
          </w:tcPr>
          <w:p w14:paraId="1382D2E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1,105,160 </w:t>
            </w:r>
          </w:p>
        </w:tc>
        <w:tc>
          <w:tcPr>
            <w:tcW w:w="275" w:type="pct"/>
            <w:tcBorders>
              <w:top w:val="nil"/>
              <w:left w:val="nil"/>
              <w:bottom w:val="single" w:sz="4" w:space="0" w:color="auto"/>
              <w:right w:val="single" w:sz="4" w:space="0" w:color="auto"/>
            </w:tcBorders>
            <w:shd w:val="clear" w:color="auto" w:fill="auto"/>
            <w:noWrap/>
            <w:vAlign w:val="bottom"/>
            <w:hideMark/>
          </w:tcPr>
          <w:p w14:paraId="1CE109A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1,061,940 </w:t>
            </w:r>
          </w:p>
        </w:tc>
        <w:tc>
          <w:tcPr>
            <w:tcW w:w="275" w:type="pct"/>
            <w:tcBorders>
              <w:top w:val="nil"/>
              <w:left w:val="nil"/>
              <w:bottom w:val="single" w:sz="4" w:space="0" w:color="auto"/>
              <w:right w:val="single" w:sz="4" w:space="0" w:color="auto"/>
            </w:tcBorders>
            <w:shd w:val="clear" w:color="000000" w:fill="D9D9D9"/>
            <w:noWrap/>
            <w:vAlign w:val="bottom"/>
            <w:hideMark/>
          </w:tcPr>
          <w:p w14:paraId="003C5EE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43,220 </w:t>
            </w:r>
          </w:p>
        </w:tc>
        <w:tc>
          <w:tcPr>
            <w:tcW w:w="275" w:type="pct"/>
            <w:tcBorders>
              <w:top w:val="nil"/>
              <w:left w:val="nil"/>
              <w:bottom w:val="single" w:sz="4" w:space="0" w:color="auto"/>
              <w:right w:val="single" w:sz="4" w:space="0" w:color="auto"/>
            </w:tcBorders>
            <w:shd w:val="clear" w:color="000000" w:fill="D9D9D9"/>
            <w:noWrap/>
            <w:vAlign w:val="bottom"/>
            <w:hideMark/>
          </w:tcPr>
          <w:p w14:paraId="27119AD6"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4.1%</w:t>
            </w:r>
          </w:p>
        </w:tc>
      </w:tr>
      <w:tr w:rsidR="00304440" w:rsidRPr="00B23317" w14:paraId="792A2531"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52590D8"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The University of New South Wales</w:t>
            </w:r>
          </w:p>
        </w:tc>
        <w:tc>
          <w:tcPr>
            <w:tcW w:w="338" w:type="pct"/>
            <w:tcBorders>
              <w:top w:val="nil"/>
              <w:left w:val="nil"/>
              <w:bottom w:val="single" w:sz="4" w:space="0" w:color="auto"/>
              <w:right w:val="single" w:sz="4" w:space="0" w:color="auto"/>
            </w:tcBorders>
            <w:shd w:val="clear" w:color="auto" w:fill="auto"/>
            <w:noWrap/>
            <w:vAlign w:val="bottom"/>
            <w:hideMark/>
          </w:tcPr>
          <w:p w14:paraId="7D328FA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2,162,665 </w:t>
            </w:r>
          </w:p>
        </w:tc>
        <w:tc>
          <w:tcPr>
            <w:tcW w:w="338" w:type="pct"/>
            <w:tcBorders>
              <w:top w:val="nil"/>
              <w:left w:val="nil"/>
              <w:bottom w:val="single" w:sz="4" w:space="0" w:color="auto"/>
              <w:right w:val="single" w:sz="4" w:space="0" w:color="auto"/>
            </w:tcBorders>
            <w:shd w:val="clear" w:color="auto" w:fill="auto"/>
            <w:noWrap/>
            <w:vAlign w:val="bottom"/>
            <w:hideMark/>
          </w:tcPr>
          <w:p w14:paraId="17BDC3B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2,333,982 </w:t>
            </w:r>
          </w:p>
        </w:tc>
        <w:tc>
          <w:tcPr>
            <w:tcW w:w="338" w:type="pct"/>
            <w:tcBorders>
              <w:top w:val="nil"/>
              <w:left w:val="nil"/>
              <w:bottom w:val="single" w:sz="4" w:space="0" w:color="auto"/>
              <w:right w:val="single" w:sz="4" w:space="0" w:color="auto"/>
            </w:tcBorders>
            <w:shd w:val="clear" w:color="000000" w:fill="D9D9D9"/>
            <w:noWrap/>
            <w:vAlign w:val="bottom"/>
            <w:hideMark/>
          </w:tcPr>
          <w:p w14:paraId="66096F2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-171,317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FB5104"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-7.3%</w:t>
            </w:r>
          </w:p>
        </w:tc>
        <w:tc>
          <w:tcPr>
            <w:tcW w:w="288" w:type="pct"/>
            <w:tcBorders>
              <w:top w:val="nil"/>
              <w:left w:val="nil"/>
              <w:bottom w:val="single" w:sz="4" w:space="0" w:color="auto"/>
              <w:right w:val="single" w:sz="4" w:space="0" w:color="auto"/>
            </w:tcBorders>
            <w:shd w:val="clear" w:color="auto" w:fill="auto"/>
            <w:noWrap/>
            <w:vAlign w:val="bottom"/>
            <w:hideMark/>
          </w:tcPr>
          <w:p w14:paraId="4E5FD25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45,443 </w:t>
            </w:r>
          </w:p>
        </w:tc>
        <w:tc>
          <w:tcPr>
            <w:tcW w:w="352" w:type="pct"/>
            <w:tcBorders>
              <w:top w:val="nil"/>
              <w:left w:val="nil"/>
              <w:bottom w:val="single" w:sz="4" w:space="0" w:color="auto"/>
              <w:right w:val="single" w:sz="4" w:space="0" w:color="auto"/>
            </w:tcBorders>
            <w:shd w:val="clear" w:color="auto" w:fill="auto"/>
            <w:noWrap/>
            <w:vAlign w:val="bottom"/>
            <w:hideMark/>
          </w:tcPr>
          <w:p w14:paraId="4D15C6F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87,453 </w:t>
            </w:r>
          </w:p>
        </w:tc>
        <w:tc>
          <w:tcPr>
            <w:tcW w:w="320" w:type="pct"/>
            <w:tcBorders>
              <w:top w:val="nil"/>
              <w:left w:val="nil"/>
              <w:bottom w:val="single" w:sz="4" w:space="0" w:color="auto"/>
              <w:right w:val="single" w:sz="4" w:space="0" w:color="auto"/>
            </w:tcBorders>
            <w:shd w:val="clear" w:color="000000" w:fill="D9D9D9"/>
            <w:noWrap/>
            <w:vAlign w:val="bottom"/>
            <w:hideMark/>
          </w:tcPr>
          <w:p w14:paraId="577F171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-42,010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A5EF5A"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-48.0%</w:t>
            </w:r>
          </w:p>
        </w:tc>
        <w:tc>
          <w:tcPr>
            <w:tcW w:w="275" w:type="pct"/>
            <w:tcBorders>
              <w:top w:val="nil"/>
              <w:left w:val="nil"/>
              <w:bottom w:val="single" w:sz="4" w:space="0" w:color="auto"/>
              <w:right w:val="single" w:sz="4" w:space="0" w:color="auto"/>
            </w:tcBorders>
            <w:shd w:val="clear" w:color="auto" w:fill="auto"/>
            <w:noWrap/>
            <w:vAlign w:val="bottom"/>
            <w:hideMark/>
          </w:tcPr>
          <w:p w14:paraId="15DC1E4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671,350 </w:t>
            </w:r>
          </w:p>
        </w:tc>
        <w:tc>
          <w:tcPr>
            <w:tcW w:w="275" w:type="pct"/>
            <w:tcBorders>
              <w:top w:val="nil"/>
              <w:left w:val="nil"/>
              <w:bottom w:val="single" w:sz="4" w:space="0" w:color="auto"/>
              <w:right w:val="single" w:sz="4" w:space="0" w:color="auto"/>
            </w:tcBorders>
            <w:shd w:val="clear" w:color="auto" w:fill="auto"/>
            <w:noWrap/>
            <w:vAlign w:val="bottom"/>
            <w:hideMark/>
          </w:tcPr>
          <w:p w14:paraId="388311D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767,565 </w:t>
            </w:r>
          </w:p>
        </w:tc>
        <w:tc>
          <w:tcPr>
            <w:tcW w:w="275" w:type="pct"/>
            <w:tcBorders>
              <w:top w:val="nil"/>
              <w:left w:val="nil"/>
              <w:bottom w:val="single" w:sz="4" w:space="0" w:color="auto"/>
              <w:right w:val="single" w:sz="4" w:space="0" w:color="auto"/>
            </w:tcBorders>
            <w:shd w:val="clear" w:color="000000" w:fill="D9D9D9"/>
            <w:noWrap/>
            <w:vAlign w:val="bottom"/>
            <w:hideMark/>
          </w:tcPr>
          <w:p w14:paraId="175042D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-96,215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D2114DC"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-12.5%</w:t>
            </w:r>
          </w:p>
        </w:tc>
      </w:tr>
      <w:tr w:rsidR="00304440" w:rsidRPr="00B23317" w14:paraId="73536CAC"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60E1D0F2"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The University of Queensland</w:t>
            </w:r>
          </w:p>
        </w:tc>
        <w:tc>
          <w:tcPr>
            <w:tcW w:w="338" w:type="pct"/>
            <w:tcBorders>
              <w:top w:val="nil"/>
              <w:left w:val="nil"/>
              <w:bottom w:val="single" w:sz="4" w:space="0" w:color="auto"/>
              <w:right w:val="single" w:sz="4" w:space="0" w:color="auto"/>
            </w:tcBorders>
            <w:shd w:val="clear" w:color="auto" w:fill="auto"/>
            <w:noWrap/>
            <w:vAlign w:val="bottom"/>
            <w:hideMark/>
          </w:tcPr>
          <w:p w14:paraId="5219AF6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2,119,635 </w:t>
            </w:r>
          </w:p>
        </w:tc>
        <w:tc>
          <w:tcPr>
            <w:tcW w:w="338" w:type="pct"/>
            <w:tcBorders>
              <w:top w:val="nil"/>
              <w:left w:val="nil"/>
              <w:bottom w:val="single" w:sz="4" w:space="0" w:color="auto"/>
              <w:right w:val="single" w:sz="4" w:space="0" w:color="auto"/>
            </w:tcBorders>
            <w:shd w:val="clear" w:color="auto" w:fill="auto"/>
            <w:noWrap/>
            <w:vAlign w:val="bottom"/>
            <w:hideMark/>
          </w:tcPr>
          <w:p w14:paraId="3E6AD3F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2,194,156 </w:t>
            </w:r>
          </w:p>
        </w:tc>
        <w:tc>
          <w:tcPr>
            <w:tcW w:w="338" w:type="pct"/>
            <w:tcBorders>
              <w:top w:val="nil"/>
              <w:left w:val="nil"/>
              <w:bottom w:val="single" w:sz="4" w:space="0" w:color="auto"/>
              <w:right w:val="single" w:sz="4" w:space="0" w:color="auto"/>
            </w:tcBorders>
            <w:shd w:val="clear" w:color="000000" w:fill="D9D9D9"/>
            <w:noWrap/>
            <w:vAlign w:val="bottom"/>
            <w:hideMark/>
          </w:tcPr>
          <w:p w14:paraId="2351900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-74,521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B0E4CD6"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-3.4%</w:t>
            </w:r>
          </w:p>
        </w:tc>
        <w:tc>
          <w:tcPr>
            <w:tcW w:w="288" w:type="pct"/>
            <w:tcBorders>
              <w:top w:val="nil"/>
              <w:left w:val="nil"/>
              <w:bottom w:val="single" w:sz="4" w:space="0" w:color="auto"/>
              <w:right w:val="single" w:sz="4" w:space="0" w:color="auto"/>
            </w:tcBorders>
            <w:shd w:val="clear" w:color="auto" w:fill="auto"/>
            <w:noWrap/>
            <w:vAlign w:val="bottom"/>
            <w:hideMark/>
          </w:tcPr>
          <w:p w14:paraId="3EA6526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86,332 </w:t>
            </w:r>
          </w:p>
        </w:tc>
        <w:tc>
          <w:tcPr>
            <w:tcW w:w="352" w:type="pct"/>
            <w:tcBorders>
              <w:top w:val="nil"/>
              <w:left w:val="nil"/>
              <w:bottom w:val="single" w:sz="4" w:space="0" w:color="auto"/>
              <w:right w:val="single" w:sz="4" w:space="0" w:color="auto"/>
            </w:tcBorders>
            <w:shd w:val="clear" w:color="auto" w:fill="auto"/>
            <w:noWrap/>
            <w:vAlign w:val="bottom"/>
            <w:hideMark/>
          </w:tcPr>
          <w:p w14:paraId="0DB34CA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143,991 </w:t>
            </w:r>
          </w:p>
        </w:tc>
        <w:tc>
          <w:tcPr>
            <w:tcW w:w="320" w:type="pct"/>
            <w:tcBorders>
              <w:top w:val="nil"/>
              <w:left w:val="nil"/>
              <w:bottom w:val="single" w:sz="4" w:space="0" w:color="auto"/>
              <w:right w:val="single" w:sz="4" w:space="0" w:color="auto"/>
            </w:tcBorders>
            <w:shd w:val="clear" w:color="000000" w:fill="D9D9D9"/>
            <w:noWrap/>
            <w:vAlign w:val="bottom"/>
            <w:hideMark/>
          </w:tcPr>
          <w:p w14:paraId="328F537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-57,659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F82D98C"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-40.0%</w:t>
            </w:r>
          </w:p>
        </w:tc>
        <w:tc>
          <w:tcPr>
            <w:tcW w:w="275" w:type="pct"/>
            <w:tcBorders>
              <w:top w:val="nil"/>
              <w:left w:val="nil"/>
              <w:bottom w:val="single" w:sz="4" w:space="0" w:color="auto"/>
              <w:right w:val="single" w:sz="4" w:space="0" w:color="auto"/>
            </w:tcBorders>
            <w:shd w:val="clear" w:color="auto" w:fill="auto"/>
            <w:noWrap/>
            <w:vAlign w:val="bottom"/>
            <w:hideMark/>
          </w:tcPr>
          <w:p w14:paraId="19E0A25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648,903 </w:t>
            </w:r>
          </w:p>
        </w:tc>
        <w:tc>
          <w:tcPr>
            <w:tcW w:w="275" w:type="pct"/>
            <w:tcBorders>
              <w:top w:val="nil"/>
              <w:left w:val="nil"/>
              <w:bottom w:val="single" w:sz="4" w:space="0" w:color="auto"/>
              <w:right w:val="single" w:sz="4" w:space="0" w:color="auto"/>
            </w:tcBorders>
            <w:shd w:val="clear" w:color="auto" w:fill="auto"/>
            <w:noWrap/>
            <w:vAlign w:val="bottom"/>
            <w:hideMark/>
          </w:tcPr>
          <w:p w14:paraId="59C1565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678,865 </w:t>
            </w:r>
          </w:p>
        </w:tc>
        <w:tc>
          <w:tcPr>
            <w:tcW w:w="275" w:type="pct"/>
            <w:tcBorders>
              <w:top w:val="nil"/>
              <w:left w:val="nil"/>
              <w:bottom w:val="single" w:sz="4" w:space="0" w:color="auto"/>
              <w:right w:val="single" w:sz="4" w:space="0" w:color="auto"/>
            </w:tcBorders>
            <w:shd w:val="clear" w:color="000000" w:fill="D9D9D9"/>
            <w:noWrap/>
            <w:vAlign w:val="bottom"/>
            <w:hideMark/>
          </w:tcPr>
          <w:p w14:paraId="691B682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-29,962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76B039"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-4.4%</w:t>
            </w:r>
          </w:p>
        </w:tc>
      </w:tr>
      <w:tr w:rsidR="00304440" w:rsidRPr="00B23317" w14:paraId="40B9A764"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627CE6E3"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Australian National University</w:t>
            </w:r>
          </w:p>
        </w:tc>
        <w:tc>
          <w:tcPr>
            <w:tcW w:w="338" w:type="pct"/>
            <w:tcBorders>
              <w:top w:val="nil"/>
              <w:left w:val="nil"/>
              <w:bottom w:val="single" w:sz="4" w:space="0" w:color="auto"/>
              <w:right w:val="single" w:sz="4" w:space="0" w:color="auto"/>
            </w:tcBorders>
            <w:shd w:val="clear" w:color="auto" w:fill="auto"/>
            <w:noWrap/>
            <w:vAlign w:val="bottom"/>
            <w:hideMark/>
          </w:tcPr>
          <w:p w14:paraId="6CB27B9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1,297,514 </w:t>
            </w:r>
          </w:p>
        </w:tc>
        <w:tc>
          <w:tcPr>
            <w:tcW w:w="338" w:type="pct"/>
            <w:tcBorders>
              <w:top w:val="nil"/>
              <w:left w:val="nil"/>
              <w:bottom w:val="single" w:sz="4" w:space="0" w:color="auto"/>
              <w:right w:val="single" w:sz="4" w:space="0" w:color="auto"/>
            </w:tcBorders>
            <w:shd w:val="clear" w:color="auto" w:fill="auto"/>
            <w:noWrap/>
            <w:vAlign w:val="bottom"/>
            <w:hideMark/>
          </w:tcPr>
          <w:p w14:paraId="163C23A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1,508,535 </w:t>
            </w:r>
          </w:p>
        </w:tc>
        <w:tc>
          <w:tcPr>
            <w:tcW w:w="338" w:type="pct"/>
            <w:tcBorders>
              <w:top w:val="nil"/>
              <w:left w:val="nil"/>
              <w:bottom w:val="single" w:sz="4" w:space="0" w:color="auto"/>
              <w:right w:val="single" w:sz="4" w:space="0" w:color="auto"/>
            </w:tcBorders>
            <w:shd w:val="clear" w:color="000000" w:fill="D9D9D9"/>
            <w:noWrap/>
            <w:vAlign w:val="bottom"/>
            <w:hideMark/>
          </w:tcPr>
          <w:p w14:paraId="1C2F8DF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-211,021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765F23A"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-14.0%</w:t>
            </w:r>
          </w:p>
        </w:tc>
        <w:tc>
          <w:tcPr>
            <w:tcW w:w="288" w:type="pct"/>
            <w:tcBorders>
              <w:top w:val="nil"/>
              <w:left w:val="nil"/>
              <w:bottom w:val="single" w:sz="4" w:space="0" w:color="auto"/>
              <w:right w:val="single" w:sz="4" w:space="0" w:color="auto"/>
            </w:tcBorders>
            <w:shd w:val="clear" w:color="auto" w:fill="auto"/>
            <w:noWrap/>
            <w:vAlign w:val="bottom"/>
            <w:hideMark/>
          </w:tcPr>
          <w:p w14:paraId="4D0A8F6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61,452 </w:t>
            </w:r>
          </w:p>
        </w:tc>
        <w:tc>
          <w:tcPr>
            <w:tcW w:w="352" w:type="pct"/>
            <w:tcBorders>
              <w:top w:val="nil"/>
              <w:left w:val="nil"/>
              <w:bottom w:val="single" w:sz="4" w:space="0" w:color="auto"/>
              <w:right w:val="single" w:sz="4" w:space="0" w:color="auto"/>
            </w:tcBorders>
            <w:shd w:val="clear" w:color="auto" w:fill="auto"/>
            <w:noWrap/>
            <w:vAlign w:val="bottom"/>
            <w:hideMark/>
          </w:tcPr>
          <w:p w14:paraId="292D728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234,390 </w:t>
            </w:r>
          </w:p>
        </w:tc>
        <w:tc>
          <w:tcPr>
            <w:tcW w:w="320" w:type="pct"/>
            <w:tcBorders>
              <w:top w:val="nil"/>
              <w:left w:val="nil"/>
              <w:bottom w:val="single" w:sz="4" w:space="0" w:color="auto"/>
              <w:right w:val="single" w:sz="4" w:space="0" w:color="auto"/>
            </w:tcBorders>
            <w:shd w:val="clear" w:color="000000" w:fill="D9D9D9"/>
            <w:noWrap/>
            <w:vAlign w:val="bottom"/>
            <w:hideMark/>
          </w:tcPr>
          <w:p w14:paraId="4F8FCA1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-172,938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A4973EE"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-73.8%</w:t>
            </w:r>
          </w:p>
        </w:tc>
        <w:tc>
          <w:tcPr>
            <w:tcW w:w="275" w:type="pct"/>
            <w:tcBorders>
              <w:top w:val="nil"/>
              <w:left w:val="nil"/>
              <w:bottom w:val="single" w:sz="4" w:space="0" w:color="auto"/>
              <w:right w:val="single" w:sz="4" w:space="0" w:color="auto"/>
            </w:tcBorders>
            <w:shd w:val="clear" w:color="auto" w:fill="auto"/>
            <w:noWrap/>
            <w:vAlign w:val="bottom"/>
            <w:hideMark/>
          </w:tcPr>
          <w:p w14:paraId="4EF1508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248,071 </w:t>
            </w:r>
          </w:p>
        </w:tc>
        <w:tc>
          <w:tcPr>
            <w:tcW w:w="275" w:type="pct"/>
            <w:tcBorders>
              <w:top w:val="nil"/>
              <w:left w:val="nil"/>
              <w:bottom w:val="single" w:sz="4" w:space="0" w:color="auto"/>
              <w:right w:val="single" w:sz="4" w:space="0" w:color="auto"/>
            </w:tcBorders>
            <w:shd w:val="clear" w:color="auto" w:fill="auto"/>
            <w:noWrap/>
            <w:vAlign w:val="bottom"/>
            <w:hideMark/>
          </w:tcPr>
          <w:p w14:paraId="1AABD19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328,942 </w:t>
            </w:r>
          </w:p>
        </w:tc>
        <w:tc>
          <w:tcPr>
            <w:tcW w:w="275" w:type="pct"/>
            <w:tcBorders>
              <w:top w:val="nil"/>
              <w:left w:val="nil"/>
              <w:bottom w:val="single" w:sz="4" w:space="0" w:color="auto"/>
              <w:right w:val="single" w:sz="4" w:space="0" w:color="auto"/>
            </w:tcBorders>
            <w:shd w:val="clear" w:color="000000" w:fill="D9D9D9"/>
            <w:noWrap/>
            <w:vAlign w:val="bottom"/>
            <w:hideMark/>
          </w:tcPr>
          <w:p w14:paraId="4C9479A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-80,871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0CCA4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-24.6%</w:t>
            </w:r>
          </w:p>
        </w:tc>
      </w:tr>
      <w:tr w:rsidR="00304440" w:rsidRPr="00B23317" w14:paraId="1BD604EC"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D5782D1"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RMIT University</w:t>
            </w:r>
          </w:p>
        </w:tc>
        <w:tc>
          <w:tcPr>
            <w:tcW w:w="338" w:type="pct"/>
            <w:tcBorders>
              <w:top w:val="nil"/>
              <w:left w:val="nil"/>
              <w:bottom w:val="single" w:sz="4" w:space="0" w:color="auto"/>
              <w:right w:val="single" w:sz="4" w:space="0" w:color="auto"/>
            </w:tcBorders>
            <w:shd w:val="clear" w:color="auto" w:fill="auto"/>
            <w:noWrap/>
            <w:vAlign w:val="bottom"/>
            <w:hideMark/>
          </w:tcPr>
          <w:p w14:paraId="11425D7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1,291,816 </w:t>
            </w:r>
          </w:p>
        </w:tc>
        <w:tc>
          <w:tcPr>
            <w:tcW w:w="338" w:type="pct"/>
            <w:tcBorders>
              <w:top w:val="nil"/>
              <w:left w:val="nil"/>
              <w:bottom w:val="single" w:sz="4" w:space="0" w:color="auto"/>
              <w:right w:val="single" w:sz="4" w:space="0" w:color="auto"/>
            </w:tcBorders>
            <w:shd w:val="clear" w:color="auto" w:fill="auto"/>
            <w:noWrap/>
            <w:vAlign w:val="bottom"/>
            <w:hideMark/>
          </w:tcPr>
          <w:p w14:paraId="3A07D03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1,360,992 </w:t>
            </w:r>
          </w:p>
        </w:tc>
        <w:tc>
          <w:tcPr>
            <w:tcW w:w="338" w:type="pct"/>
            <w:tcBorders>
              <w:top w:val="nil"/>
              <w:left w:val="nil"/>
              <w:bottom w:val="single" w:sz="4" w:space="0" w:color="auto"/>
              <w:right w:val="single" w:sz="4" w:space="0" w:color="auto"/>
            </w:tcBorders>
            <w:shd w:val="clear" w:color="000000" w:fill="D9D9D9"/>
            <w:noWrap/>
            <w:vAlign w:val="bottom"/>
            <w:hideMark/>
          </w:tcPr>
          <w:p w14:paraId="58CC3DE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-69,176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6F91EC"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-5.1%</w:t>
            </w:r>
          </w:p>
        </w:tc>
        <w:tc>
          <w:tcPr>
            <w:tcW w:w="288" w:type="pct"/>
            <w:tcBorders>
              <w:top w:val="nil"/>
              <w:left w:val="nil"/>
              <w:bottom w:val="single" w:sz="4" w:space="0" w:color="auto"/>
              <w:right w:val="single" w:sz="4" w:space="0" w:color="auto"/>
            </w:tcBorders>
            <w:shd w:val="clear" w:color="auto" w:fill="auto"/>
            <w:noWrap/>
            <w:vAlign w:val="bottom"/>
            <w:hideMark/>
          </w:tcPr>
          <w:p w14:paraId="093DDDC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7,603 </w:t>
            </w:r>
          </w:p>
        </w:tc>
        <w:tc>
          <w:tcPr>
            <w:tcW w:w="352" w:type="pct"/>
            <w:tcBorders>
              <w:top w:val="nil"/>
              <w:left w:val="nil"/>
              <w:bottom w:val="single" w:sz="4" w:space="0" w:color="auto"/>
              <w:right w:val="single" w:sz="4" w:space="0" w:color="auto"/>
            </w:tcBorders>
            <w:shd w:val="clear" w:color="auto" w:fill="auto"/>
            <w:noWrap/>
            <w:vAlign w:val="bottom"/>
            <w:hideMark/>
          </w:tcPr>
          <w:p w14:paraId="257118D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14,155 </w:t>
            </w:r>
          </w:p>
        </w:tc>
        <w:tc>
          <w:tcPr>
            <w:tcW w:w="320" w:type="pct"/>
            <w:tcBorders>
              <w:top w:val="nil"/>
              <w:left w:val="nil"/>
              <w:bottom w:val="single" w:sz="4" w:space="0" w:color="auto"/>
              <w:right w:val="single" w:sz="4" w:space="0" w:color="auto"/>
            </w:tcBorders>
            <w:shd w:val="clear" w:color="000000" w:fill="D9D9D9"/>
            <w:noWrap/>
            <w:vAlign w:val="bottom"/>
            <w:hideMark/>
          </w:tcPr>
          <w:p w14:paraId="7ED2E73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-6,552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BFE0804"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-46.3%</w:t>
            </w:r>
          </w:p>
        </w:tc>
        <w:tc>
          <w:tcPr>
            <w:tcW w:w="275" w:type="pct"/>
            <w:tcBorders>
              <w:top w:val="nil"/>
              <w:left w:val="nil"/>
              <w:bottom w:val="single" w:sz="4" w:space="0" w:color="auto"/>
              <w:right w:val="single" w:sz="4" w:space="0" w:color="auto"/>
            </w:tcBorders>
            <w:shd w:val="clear" w:color="auto" w:fill="auto"/>
            <w:noWrap/>
            <w:vAlign w:val="bottom"/>
            <w:hideMark/>
          </w:tcPr>
          <w:p w14:paraId="5B86813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454,396 </w:t>
            </w:r>
          </w:p>
        </w:tc>
        <w:tc>
          <w:tcPr>
            <w:tcW w:w="275" w:type="pct"/>
            <w:tcBorders>
              <w:top w:val="nil"/>
              <w:left w:val="nil"/>
              <w:bottom w:val="single" w:sz="4" w:space="0" w:color="auto"/>
              <w:right w:val="single" w:sz="4" w:space="0" w:color="auto"/>
            </w:tcBorders>
            <w:shd w:val="clear" w:color="auto" w:fill="auto"/>
            <w:noWrap/>
            <w:vAlign w:val="bottom"/>
            <w:hideMark/>
          </w:tcPr>
          <w:p w14:paraId="52179C8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522,502 </w:t>
            </w:r>
          </w:p>
        </w:tc>
        <w:tc>
          <w:tcPr>
            <w:tcW w:w="275" w:type="pct"/>
            <w:tcBorders>
              <w:top w:val="nil"/>
              <w:left w:val="nil"/>
              <w:bottom w:val="single" w:sz="4" w:space="0" w:color="auto"/>
              <w:right w:val="single" w:sz="4" w:space="0" w:color="auto"/>
            </w:tcBorders>
            <w:shd w:val="clear" w:color="000000" w:fill="D9D9D9"/>
            <w:noWrap/>
            <w:vAlign w:val="bottom"/>
            <w:hideMark/>
          </w:tcPr>
          <w:p w14:paraId="6EDDC64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-68,106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D0D8C8E"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-13.0%</w:t>
            </w:r>
          </w:p>
        </w:tc>
      </w:tr>
      <w:tr w:rsidR="00304440" w:rsidRPr="00B23317" w14:paraId="3C82B3D6"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C878355"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Deakin University</w:t>
            </w:r>
          </w:p>
        </w:tc>
        <w:tc>
          <w:tcPr>
            <w:tcW w:w="338" w:type="pct"/>
            <w:tcBorders>
              <w:top w:val="nil"/>
              <w:left w:val="nil"/>
              <w:bottom w:val="single" w:sz="4" w:space="0" w:color="auto"/>
              <w:right w:val="single" w:sz="4" w:space="0" w:color="auto"/>
            </w:tcBorders>
            <w:shd w:val="clear" w:color="auto" w:fill="auto"/>
            <w:noWrap/>
            <w:vAlign w:val="bottom"/>
            <w:hideMark/>
          </w:tcPr>
          <w:p w14:paraId="75C65D8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1,224,003 </w:t>
            </w:r>
          </w:p>
        </w:tc>
        <w:tc>
          <w:tcPr>
            <w:tcW w:w="338" w:type="pct"/>
            <w:tcBorders>
              <w:top w:val="nil"/>
              <w:left w:val="nil"/>
              <w:bottom w:val="single" w:sz="4" w:space="0" w:color="auto"/>
              <w:right w:val="single" w:sz="4" w:space="0" w:color="auto"/>
            </w:tcBorders>
            <w:shd w:val="clear" w:color="auto" w:fill="auto"/>
            <w:noWrap/>
            <w:vAlign w:val="bottom"/>
            <w:hideMark/>
          </w:tcPr>
          <w:p w14:paraId="55FEAB1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1,320,511 </w:t>
            </w:r>
          </w:p>
        </w:tc>
        <w:tc>
          <w:tcPr>
            <w:tcW w:w="338" w:type="pct"/>
            <w:tcBorders>
              <w:top w:val="nil"/>
              <w:left w:val="nil"/>
              <w:bottom w:val="single" w:sz="4" w:space="0" w:color="auto"/>
              <w:right w:val="single" w:sz="4" w:space="0" w:color="auto"/>
            </w:tcBorders>
            <w:shd w:val="clear" w:color="000000" w:fill="D9D9D9"/>
            <w:noWrap/>
            <w:vAlign w:val="bottom"/>
            <w:hideMark/>
          </w:tcPr>
          <w:p w14:paraId="25F6108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-96,508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BE50B51"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-7.3%</w:t>
            </w:r>
          </w:p>
        </w:tc>
        <w:tc>
          <w:tcPr>
            <w:tcW w:w="288" w:type="pct"/>
            <w:tcBorders>
              <w:top w:val="nil"/>
              <w:left w:val="nil"/>
              <w:bottom w:val="single" w:sz="4" w:space="0" w:color="auto"/>
              <w:right w:val="single" w:sz="4" w:space="0" w:color="auto"/>
            </w:tcBorders>
            <w:shd w:val="clear" w:color="auto" w:fill="auto"/>
            <w:noWrap/>
            <w:vAlign w:val="bottom"/>
            <w:hideMark/>
          </w:tcPr>
          <w:p w14:paraId="4CF0216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31,739 </w:t>
            </w:r>
          </w:p>
        </w:tc>
        <w:tc>
          <w:tcPr>
            <w:tcW w:w="352" w:type="pct"/>
            <w:tcBorders>
              <w:top w:val="nil"/>
              <w:left w:val="nil"/>
              <w:bottom w:val="single" w:sz="4" w:space="0" w:color="auto"/>
              <w:right w:val="single" w:sz="4" w:space="0" w:color="auto"/>
            </w:tcBorders>
            <w:shd w:val="clear" w:color="auto" w:fill="auto"/>
            <w:noWrap/>
            <w:vAlign w:val="bottom"/>
            <w:hideMark/>
          </w:tcPr>
          <w:p w14:paraId="333F4E4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94,967 </w:t>
            </w:r>
          </w:p>
        </w:tc>
        <w:tc>
          <w:tcPr>
            <w:tcW w:w="320" w:type="pct"/>
            <w:tcBorders>
              <w:top w:val="nil"/>
              <w:left w:val="nil"/>
              <w:bottom w:val="single" w:sz="4" w:space="0" w:color="auto"/>
              <w:right w:val="single" w:sz="4" w:space="0" w:color="auto"/>
            </w:tcBorders>
            <w:shd w:val="clear" w:color="000000" w:fill="D9D9D9"/>
            <w:noWrap/>
            <w:vAlign w:val="bottom"/>
            <w:hideMark/>
          </w:tcPr>
          <w:p w14:paraId="1EABDBE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-63,228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2201764"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-66.6%</w:t>
            </w:r>
          </w:p>
        </w:tc>
        <w:tc>
          <w:tcPr>
            <w:tcW w:w="275" w:type="pct"/>
            <w:tcBorders>
              <w:top w:val="nil"/>
              <w:left w:val="nil"/>
              <w:bottom w:val="single" w:sz="4" w:space="0" w:color="auto"/>
              <w:right w:val="single" w:sz="4" w:space="0" w:color="auto"/>
            </w:tcBorders>
            <w:shd w:val="clear" w:color="auto" w:fill="auto"/>
            <w:noWrap/>
            <w:vAlign w:val="bottom"/>
            <w:hideMark/>
          </w:tcPr>
          <w:p w14:paraId="642E357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395,830 </w:t>
            </w:r>
          </w:p>
        </w:tc>
        <w:tc>
          <w:tcPr>
            <w:tcW w:w="275" w:type="pct"/>
            <w:tcBorders>
              <w:top w:val="nil"/>
              <w:left w:val="nil"/>
              <w:bottom w:val="single" w:sz="4" w:space="0" w:color="auto"/>
              <w:right w:val="single" w:sz="4" w:space="0" w:color="auto"/>
            </w:tcBorders>
            <w:shd w:val="clear" w:color="auto" w:fill="auto"/>
            <w:noWrap/>
            <w:vAlign w:val="bottom"/>
            <w:hideMark/>
          </w:tcPr>
          <w:p w14:paraId="5BC4E8E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412,658 </w:t>
            </w:r>
          </w:p>
        </w:tc>
        <w:tc>
          <w:tcPr>
            <w:tcW w:w="275" w:type="pct"/>
            <w:tcBorders>
              <w:top w:val="nil"/>
              <w:left w:val="nil"/>
              <w:bottom w:val="single" w:sz="4" w:space="0" w:color="auto"/>
              <w:right w:val="single" w:sz="4" w:space="0" w:color="auto"/>
            </w:tcBorders>
            <w:shd w:val="clear" w:color="000000" w:fill="D9D9D9"/>
            <w:noWrap/>
            <w:vAlign w:val="bottom"/>
            <w:hideMark/>
          </w:tcPr>
          <w:p w14:paraId="2C287A6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-16,828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ECA500"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-4.1%</w:t>
            </w:r>
          </w:p>
        </w:tc>
      </w:tr>
      <w:tr w:rsidR="00304440" w:rsidRPr="00B23317" w14:paraId="6255404A"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D39F37A"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University of Technology, Sydney</w:t>
            </w:r>
          </w:p>
        </w:tc>
        <w:tc>
          <w:tcPr>
            <w:tcW w:w="338" w:type="pct"/>
            <w:tcBorders>
              <w:top w:val="nil"/>
              <w:left w:val="nil"/>
              <w:bottom w:val="single" w:sz="4" w:space="0" w:color="auto"/>
              <w:right w:val="single" w:sz="4" w:space="0" w:color="auto"/>
            </w:tcBorders>
            <w:shd w:val="clear" w:color="auto" w:fill="auto"/>
            <w:noWrap/>
            <w:vAlign w:val="bottom"/>
            <w:hideMark/>
          </w:tcPr>
          <w:p w14:paraId="333E8E4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1,058,767 </w:t>
            </w:r>
          </w:p>
        </w:tc>
        <w:tc>
          <w:tcPr>
            <w:tcW w:w="338" w:type="pct"/>
            <w:tcBorders>
              <w:top w:val="nil"/>
              <w:left w:val="nil"/>
              <w:bottom w:val="single" w:sz="4" w:space="0" w:color="auto"/>
              <w:right w:val="single" w:sz="4" w:space="0" w:color="auto"/>
            </w:tcBorders>
            <w:shd w:val="clear" w:color="auto" w:fill="auto"/>
            <w:noWrap/>
            <w:vAlign w:val="bottom"/>
            <w:hideMark/>
          </w:tcPr>
          <w:p w14:paraId="01E3FBB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1,097,766 </w:t>
            </w:r>
          </w:p>
        </w:tc>
        <w:tc>
          <w:tcPr>
            <w:tcW w:w="338" w:type="pct"/>
            <w:tcBorders>
              <w:top w:val="nil"/>
              <w:left w:val="nil"/>
              <w:bottom w:val="single" w:sz="4" w:space="0" w:color="auto"/>
              <w:right w:val="single" w:sz="4" w:space="0" w:color="auto"/>
            </w:tcBorders>
            <w:shd w:val="clear" w:color="000000" w:fill="D9D9D9"/>
            <w:noWrap/>
            <w:vAlign w:val="bottom"/>
            <w:hideMark/>
          </w:tcPr>
          <w:p w14:paraId="223BE2B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-38,999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74398D"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-3.6%</w:t>
            </w:r>
          </w:p>
        </w:tc>
        <w:tc>
          <w:tcPr>
            <w:tcW w:w="288" w:type="pct"/>
            <w:tcBorders>
              <w:top w:val="nil"/>
              <w:left w:val="nil"/>
              <w:bottom w:val="single" w:sz="4" w:space="0" w:color="auto"/>
              <w:right w:val="single" w:sz="4" w:space="0" w:color="auto"/>
            </w:tcBorders>
            <w:shd w:val="clear" w:color="auto" w:fill="auto"/>
            <w:noWrap/>
            <w:vAlign w:val="bottom"/>
            <w:hideMark/>
          </w:tcPr>
          <w:p w14:paraId="7BD0CF3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7,311 </w:t>
            </w:r>
          </w:p>
        </w:tc>
        <w:tc>
          <w:tcPr>
            <w:tcW w:w="352" w:type="pct"/>
            <w:tcBorders>
              <w:top w:val="nil"/>
              <w:left w:val="nil"/>
              <w:bottom w:val="single" w:sz="4" w:space="0" w:color="auto"/>
              <w:right w:val="single" w:sz="4" w:space="0" w:color="auto"/>
            </w:tcBorders>
            <w:shd w:val="clear" w:color="auto" w:fill="auto"/>
            <w:noWrap/>
            <w:vAlign w:val="bottom"/>
            <w:hideMark/>
          </w:tcPr>
          <w:p w14:paraId="14AAF1C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9,880 </w:t>
            </w:r>
          </w:p>
        </w:tc>
        <w:tc>
          <w:tcPr>
            <w:tcW w:w="320" w:type="pct"/>
            <w:tcBorders>
              <w:top w:val="nil"/>
              <w:left w:val="nil"/>
              <w:bottom w:val="single" w:sz="4" w:space="0" w:color="auto"/>
              <w:right w:val="single" w:sz="4" w:space="0" w:color="auto"/>
            </w:tcBorders>
            <w:shd w:val="clear" w:color="000000" w:fill="D9D9D9"/>
            <w:noWrap/>
            <w:vAlign w:val="bottom"/>
            <w:hideMark/>
          </w:tcPr>
          <w:p w14:paraId="7D098BE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-2,569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248CA06"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-26.0%</w:t>
            </w:r>
          </w:p>
        </w:tc>
        <w:tc>
          <w:tcPr>
            <w:tcW w:w="275" w:type="pct"/>
            <w:tcBorders>
              <w:top w:val="nil"/>
              <w:left w:val="nil"/>
              <w:bottom w:val="single" w:sz="4" w:space="0" w:color="auto"/>
              <w:right w:val="single" w:sz="4" w:space="0" w:color="auto"/>
            </w:tcBorders>
            <w:shd w:val="clear" w:color="auto" w:fill="auto"/>
            <w:noWrap/>
            <w:vAlign w:val="bottom"/>
            <w:hideMark/>
          </w:tcPr>
          <w:p w14:paraId="6D7B2F8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366,814 </w:t>
            </w:r>
          </w:p>
        </w:tc>
        <w:tc>
          <w:tcPr>
            <w:tcW w:w="275" w:type="pct"/>
            <w:tcBorders>
              <w:top w:val="nil"/>
              <w:left w:val="nil"/>
              <w:bottom w:val="single" w:sz="4" w:space="0" w:color="auto"/>
              <w:right w:val="single" w:sz="4" w:space="0" w:color="auto"/>
            </w:tcBorders>
            <w:shd w:val="clear" w:color="auto" w:fill="auto"/>
            <w:noWrap/>
            <w:vAlign w:val="bottom"/>
            <w:hideMark/>
          </w:tcPr>
          <w:p w14:paraId="29DA544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405,079 </w:t>
            </w:r>
          </w:p>
        </w:tc>
        <w:tc>
          <w:tcPr>
            <w:tcW w:w="275" w:type="pct"/>
            <w:tcBorders>
              <w:top w:val="nil"/>
              <w:left w:val="nil"/>
              <w:bottom w:val="single" w:sz="4" w:space="0" w:color="auto"/>
              <w:right w:val="single" w:sz="4" w:space="0" w:color="auto"/>
            </w:tcBorders>
            <w:shd w:val="clear" w:color="000000" w:fill="D9D9D9"/>
            <w:noWrap/>
            <w:vAlign w:val="bottom"/>
            <w:hideMark/>
          </w:tcPr>
          <w:p w14:paraId="37E0481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-38,265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397BF5"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-9.4%</w:t>
            </w:r>
          </w:p>
        </w:tc>
      </w:tr>
      <w:tr w:rsidR="00304440" w:rsidRPr="00B23317" w14:paraId="6833CCA3"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B90525C"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Queensland University of Technology</w:t>
            </w:r>
          </w:p>
        </w:tc>
        <w:tc>
          <w:tcPr>
            <w:tcW w:w="338" w:type="pct"/>
            <w:tcBorders>
              <w:top w:val="nil"/>
              <w:left w:val="nil"/>
              <w:bottom w:val="single" w:sz="4" w:space="0" w:color="auto"/>
              <w:right w:val="single" w:sz="4" w:space="0" w:color="auto"/>
            </w:tcBorders>
            <w:shd w:val="clear" w:color="auto" w:fill="auto"/>
            <w:noWrap/>
            <w:vAlign w:val="bottom"/>
            <w:hideMark/>
          </w:tcPr>
          <w:p w14:paraId="6AB4A0C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1,054,164 </w:t>
            </w:r>
          </w:p>
        </w:tc>
        <w:tc>
          <w:tcPr>
            <w:tcW w:w="338" w:type="pct"/>
            <w:tcBorders>
              <w:top w:val="nil"/>
              <w:left w:val="nil"/>
              <w:bottom w:val="single" w:sz="4" w:space="0" w:color="auto"/>
              <w:right w:val="single" w:sz="4" w:space="0" w:color="auto"/>
            </w:tcBorders>
            <w:shd w:val="clear" w:color="auto" w:fill="auto"/>
            <w:noWrap/>
            <w:vAlign w:val="bottom"/>
            <w:hideMark/>
          </w:tcPr>
          <w:p w14:paraId="2E8A1C1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1,160,763 </w:t>
            </w:r>
          </w:p>
        </w:tc>
        <w:tc>
          <w:tcPr>
            <w:tcW w:w="338" w:type="pct"/>
            <w:tcBorders>
              <w:top w:val="nil"/>
              <w:left w:val="nil"/>
              <w:bottom w:val="single" w:sz="4" w:space="0" w:color="auto"/>
              <w:right w:val="single" w:sz="4" w:space="0" w:color="auto"/>
            </w:tcBorders>
            <w:shd w:val="clear" w:color="000000" w:fill="D9D9D9"/>
            <w:noWrap/>
            <w:vAlign w:val="bottom"/>
            <w:hideMark/>
          </w:tcPr>
          <w:p w14:paraId="0365422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-106,599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A6AB4D"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-9.2%</w:t>
            </w:r>
          </w:p>
        </w:tc>
        <w:tc>
          <w:tcPr>
            <w:tcW w:w="288" w:type="pct"/>
            <w:tcBorders>
              <w:top w:val="nil"/>
              <w:left w:val="nil"/>
              <w:bottom w:val="single" w:sz="4" w:space="0" w:color="auto"/>
              <w:right w:val="single" w:sz="4" w:space="0" w:color="auto"/>
            </w:tcBorders>
            <w:shd w:val="clear" w:color="auto" w:fill="auto"/>
            <w:noWrap/>
            <w:vAlign w:val="bottom"/>
            <w:hideMark/>
          </w:tcPr>
          <w:p w14:paraId="3B06957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19,190 </w:t>
            </w:r>
          </w:p>
        </w:tc>
        <w:tc>
          <w:tcPr>
            <w:tcW w:w="352" w:type="pct"/>
            <w:tcBorders>
              <w:top w:val="nil"/>
              <w:left w:val="nil"/>
              <w:bottom w:val="single" w:sz="4" w:space="0" w:color="auto"/>
              <w:right w:val="single" w:sz="4" w:space="0" w:color="auto"/>
            </w:tcBorders>
            <w:shd w:val="clear" w:color="auto" w:fill="auto"/>
            <w:noWrap/>
            <w:vAlign w:val="bottom"/>
            <w:hideMark/>
          </w:tcPr>
          <w:p w14:paraId="06A0F70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98,626 </w:t>
            </w:r>
          </w:p>
        </w:tc>
        <w:tc>
          <w:tcPr>
            <w:tcW w:w="320" w:type="pct"/>
            <w:tcBorders>
              <w:top w:val="nil"/>
              <w:left w:val="nil"/>
              <w:bottom w:val="single" w:sz="4" w:space="0" w:color="auto"/>
              <w:right w:val="single" w:sz="4" w:space="0" w:color="auto"/>
            </w:tcBorders>
            <w:shd w:val="clear" w:color="000000" w:fill="D9D9D9"/>
            <w:noWrap/>
            <w:vAlign w:val="bottom"/>
            <w:hideMark/>
          </w:tcPr>
          <w:p w14:paraId="6831D0F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-79,436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A2A4C26"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-80.5%</w:t>
            </w:r>
          </w:p>
        </w:tc>
        <w:tc>
          <w:tcPr>
            <w:tcW w:w="275" w:type="pct"/>
            <w:tcBorders>
              <w:top w:val="nil"/>
              <w:left w:val="nil"/>
              <w:bottom w:val="single" w:sz="4" w:space="0" w:color="auto"/>
              <w:right w:val="single" w:sz="4" w:space="0" w:color="auto"/>
            </w:tcBorders>
            <w:shd w:val="clear" w:color="auto" w:fill="auto"/>
            <w:noWrap/>
            <w:vAlign w:val="bottom"/>
            <w:hideMark/>
          </w:tcPr>
          <w:p w14:paraId="23B8456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221,204 </w:t>
            </w:r>
          </w:p>
        </w:tc>
        <w:tc>
          <w:tcPr>
            <w:tcW w:w="275" w:type="pct"/>
            <w:tcBorders>
              <w:top w:val="nil"/>
              <w:left w:val="nil"/>
              <w:bottom w:val="single" w:sz="4" w:space="0" w:color="auto"/>
              <w:right w:val="single" w:sz="4" w:space="0" w:color="auto"/>
            </w:tcBorders>
            <w:shd w:val="clear" w:color="auto" w:fill="auto"/>
            <w:noWrap/>
            <w:vAlign w:val="bottom"/>
            <w:hideMark/>
          </w:tcPr>
          <w:p w14:paraId="6F4AE34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245,423 </w:t>
            </w:r>
          </w:p>
        </w:tc>
        <w:tc>
          <w:tcPr>
            <w:tcW w:w="275" w:type="pct"/>
            <w:tcBorders>
              <w:top w:val="nil"/>
              <w:left w:val="nil"/>
              <w:bottom w:val="single" w:sz="4" w:space="0" w:color="auto"/>
              <w:right w:val="single" w:sz="4" w:space="0" w:color="auto"/>
            </w:tcBorders>
            <w:shd w:val="clear" w:color="000000" w:fill="D9D9D9"/>
            <w:noWrap/>
            <w:vAlign w:val="bottom"/>
            <w:hideMark/>
          </w:tcPr>
          <w:p w14:paraId="26FDB50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-24,219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164A78"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-9.9%</w:t>
            </w:r>
          </w:p>
        </w:tc>
      </w:tr>
      <w:tr w:rsidR="00304440" w:rsidRPr="00B23317" w14:paraId="2432519D"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63E6A8C"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University of Adelaide</w:t>
            </w:r>
          </w:p>
        </w:tc>
        <w:tc>
          <w:tcPr>
            <w:tcW w:w="338" w:type="pct"/>
            <w:tcBorders>
              <w:top w:val="nil"/>
              <w:left w:val="nil"/>
              <w:bottom w:val="single" w:sz="4" w:space="0" w:color="auto"/>
              <w:right w:val="single" w:sz="4" w:space="0" w:color="auto"/>
            </w:tcBorders>
            <w:shd w:val="clear" w:color="auto" w:fill="auto"/>
            <w:noWrap/>
            <w:vAlign w:val="bottom"/>
            <w:hideMark/>
          </w:tcPr>
          <w:p w14:paraId="438A54D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976,906 </w:t>
            </w:r>
          </w:p>
        </w:tc>
        <w:tc>
          <w:tcPr>
            <w:tcW w:w="338" w:type="pct"/>
            <w:tcBorders>
              <w:top w:val="nil"/>
              <w:left w:val="nil"/>
              <w:bottom w:val="single" w:sz="4" w:space="0" w:color="auto"/>
              <w:right w:val="single" w:sz="4" w:space="0" w:color="auto"/>
            </w:tcBorders>
            <w:shd w:val="clear" w:color="auto" w:fill="auto"/>
            <w:noWrap/>
            <w:vAlign w:val="bottom"/>
            <w:hideMark/>
          </w:tcPr>
          <w:p w14:paraId="2CE505E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971,780 </w:t>
            </w:r>
          </w:p>
        </w:tc>
        <w:tc>
          <w:tcPr>
            <w:tcW w:w="338" w:type="pct"/>
            <w:tcBorders>
              <w:top w:val="nil"/>
              <w:left w:val="nil"/>
              <w:bottom w:val="single" w:sz="4" w:space="0" w:color="auto"/>
              <w:right w:val="single" w:sz="4" w:space="0" w:color="auto"/>
            </w:tcBorders>
            <w:shd w:val="clear" w:color="000000" w:fill="D9D9D9"/>
            <w:noWrap/>
            <w:vAlign w:val="bottom"/>
            <w:hideMark/>
          </w:tcPr>
          <w:p w14:paraId="69216F2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5,126 </w:t>
            </w:r>
          </w:p>
        </w:tc>
        <w:tc>
          <w:tcPr>
            <w:tcW w:w="338" w:type="pct"/>
            <w:tcBorders>
              <w:top w:val="nil"/>
              <w:left w:val="nil"/>
              <w:bottom w:val="single" w:sz="4" w:space="0" w:color="auto"/>
              <w:right w:val="single" w:sz="4" w:space="0" w:color="auto"/>
            </w:tcBorders>
            <w:shd w:val="clear" w:color="000000" w:fill="D9D9D9"/>
            <w:noWrap/>
            <w:vAlign w:val="bottom"/>
            <w:hideMark/>
          </w:tcPr>
          <w:p w14:paraId="42B1F007"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0.5%</w:t>
            </w:r>
          </w:p>
        </w:tc>
        <w:tc>
          <w:tcPr>
            <w:tcW w:w="288" w:type="pct"/>
            <w:tcBorders>
              <w:top w:val="nil"/>
              <w:left w:val="nil"/>
              <w:bottom w:val="single" w:sz="4" w:space="0" w:color="auto"/>
              <w:right w:val="single" w:sz="4" w:space="0" w:color="auto"/>
            </w:tcBorders>
            <w:shd w:val="clear" w:color="auto" w:fill="auto"/>
            <w:noWrap/>
            <w:vAlign w:val="bottom"/>
            <w:hideMark/>
          </w:tcPr>
          <w:p w14:paraId="3F52139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21,433 </w:t>
            </w:r>
          </w:p>
        </w:tc>
        <w:tc>
          <w:tcPr>
            <w:tcW w:w="352" w:type="pct"/>
            <w:tcBorders>
              <w:top w:val="nil"/>
              <w:left w:val="nil"/>
              <w:bottom w:val="single" w:sz="4" w:space="0" w:color="auto"/>
              <w:right w:val="single" w:sz="4" w:space="0" w:color="auto"/>
            </w:tcBorders>
            <w:shd w:val="clear" w:color="auto" w:fill="auto"/>
            <w:noWrap/>
            <w:vAlign w:val="bottom"/>
            <w:hideMark/>
          </w:tcPr>
          <w:p w14:paraId="4AC7240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47,871 </w:t>
            </w:r>
          </w:p>
        </w:tc>
        <w:tc>
          <w:tcPr>
            <w:tcW w:w="320" w:type="pct"/>
            <w:tcBorders>
              <w:top w:val="nil"/>
              <w:left w:val="nil"/>
              <w:bottom w:val="single" w:sz="4" w:space="0" w:color="auto"/>
              <w:right w:val="single" w:sz="4" w:space="0" w:color="auto"/>
            </w:tcBorders>
            <w:shd w:val="clear" w:color="000000" w:fill="D9D9D9"/>
            <w:noWrap/>
            <w:vAlign w:val="bottom"/>
            <w:hideMark/>
          </w:tcPr>
          <w:p w14:paraId="54BF2BD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-26,438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502A403"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-55.2%</w:t>
            </w:r>
          </w:p>
        </w:tc>
        <w:tc>
          <w:tcPr>
            <w:tcW w:w="275" w:type="pct"/>
            <w:tcBorders>
              <w:top w:val="nil"/>
              <w:left w:val="nil"/>
              <w:bottom w:val="single" w:sz="4" w:space="0" w:color="auto"/>
              <w:right w:val="single" w:sz="4" w:space="0" w:color="auto"/>
            </w:tcBorders>
            <w:shd w:val="clear" w:color="auto" w:fill="auto"/>
            <w:noWrap/>
            <w:vAlign w:val="bottom"/>
            <w:hideMark/>
          </w:tcPr>
          <w:p w14:paraId="115AE20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254,148 </w:t>
            </w:r>
          </w:p>
        </w:tc>
        <w:tc>
          <w:tcPr>
            <w:tcW w:w="275" w:type="pct"/>
            <w:tcBorders>
              <w:top w:val="nil"/>
              <w:left w:val="nil"/>
              <w:bottom w:val="single" w:sz="4" w:space="0" w:color="auto"/>
              <w:right w:val="single" w:sz="4" w:space="0" w:color="auto"/>
            </w:tcBorders>
            <w:shd w:val="clear" w:color="auto" w:fill="auto"/>
            <w:noWrap/>
            <w:vAlign w:val="bottom"/>
            <w:hideMark/>
          </w:tcPr>
          <w:p w14:paraId="669EFA3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254,730 </w:t>
            </w:r>
          </w:p>
        </w:tc>
        <w:tc>
          <w:tcPr>
            <w:tcW w:w="275" w:type="pct"/>
            <w:tcBorders>
              <w:top w:val="nil"/>
              <w:left w:val="nil"/>
              <w:bottom w:val="single" w:sz="4" w:space="0" w:color="auto"/>
              <w:right w:val="single" w:sz="4" w:space="0" w:color="auto"/>
            </w:tcBorders>
            <w:shd w:val="clear" w:color="000000" w:fill="D9D9D9"/>
            <w:noWrap/>
            <w:vAlign w:val="bottom"/>
            <w:hideMark/>
          </w:tcPr>
          <w:p w14:paraId="7BF1121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-582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50434A"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-0.2%</w:t>
            </w:r>
          </w:p>
        </w:tc>
      </w:tr>
      <w:tr w:rsidR="00304440" w:rsidRPr="00B23317" w14:paraId="01347460"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971C4CF"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Macquarie University</w:t>
            </w:r>
          </w:p>
        </w:tc>
        <w:tc>
          <w:tcPr>
            <w:tcW w:w="338" w:type="pct"/>
            <w:tcBorders>
              <w:top w:val="nil"/>
              <w:left w:val="nil"/>
              <w:bottom w:val="single" w:sz="4" w:space="0" w:color="auto"/>
              <w:right w:val="single" w:sz="4" w:space="0" w:color="auto"/>
            </w:tcBorders>
            <w:shd w:val="clear" w:color="auto" w:fill="auto"/>
            <w:noWrap/>
            <w:vAlign w:val="bottom"/>
            <w:hideMark/>
          </w:tcPr>
          <w:p w14:paraId="5C980BB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974,088 </w:t>
            </w:r>
          </w:p>
        </w:tc>
        <w:tc>
          <w:tcPr>
            <w:tcW w:w="338" w:type="pct"/>
            <w:tcBorders>
              <w:top w:val="nil"/>
              <w:left w:val="nil"/>
              <w:bottom w:val="single" w:sz="4" w:space="0" w:color="auto"/>
              <w:right w:val="single" w:sz="4" w:space="0" w:color="auto"/>
            </w:tcBorders>
            <w:shd w:val="clear" w:color="auto" w:fill="auto"/>
            <w:noWrap/>
            <w:vAlign w:val="bottom"/>
            <w:hideMark/>
          </w:tcPr>
          <w:p w14:paraId="500584F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1,024,889 </w:t>
            </w:r>
          </w:p>
        </w:tc>
        <w:tc>
          <w:tcPr>
            <w:tcW w:w="338" w:type="pct"/>
            <w:tcBorders>
              <w:top w:val="nil"/>
              <w:left w:val="nil"/>
              <w:bottom w:val="single" w:sz="4" w:space="0" w:color="auto"/>
              <w:right w:val="single" w:sz="4" w:space="0" w:color="auto"/>
            </w:tcBorders>
            <w:shd w:val="clear" w:color="000000" w:fill="D9D9D9"/>
            <w:noWrap/>
            <w:vAlign w:val="bottom"/>
            <w:hideMark/>
          </w:tcPr>
          <w:p w14:paraId="7ECB587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-50,801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A0CB6EC"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-5.0%</w:t>
            </w:r>
          </w:p>
        </w:tc>
        <w:tc>
          <w:tcPr>
            <w:tcW w:w="288" w:type="pct"/>
            <w:tcBorders>
              <w:top w:val="nil"/>
              <w:left w:val="nil"/>
              <w:bottom w:val="single" w:sz="4" w:space="0" w:color="auto"/>
              <w:right w:val="single" w:sz="4" w:space="0" w:color="auto"/>
            </w:tcBorders>
            <w:shd w:val="clear" w:color="auto" w:fill="auto"/>
            <w:noWrap/>
            <w:vAlign w:val="bottom"/>
            <w:hideMark/>
          </w:tcPr>
          <w:p w14:paraId="34D26DD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16,049 </w:t>
            </w:r>
          </w:p>
        </w:tc>
        <w:tc>
          <w:tcPr>
            <w:tcW w:w="352" w:type="pct"/>
            <w:tcBorders>
              <w:top w:val="nil"/>
              <w:left w:val="nil"/>
              <w:bottom w:val="single" w:sz="4" w:space="0" w:color="auto"/>
              <w:right w:val="single" w:sz="4" w:space="0" w:color="auto"/>
            </w:tcBorders>
            <w:shd w:val="clear" w:color="auto" w:fill="auto"/>
            <w:noWrap/>
            <w:vAlign w:val="bottom"/>
            <w:hideMark/>
          </w:tcPr>
          <w:p w14:paraId="07CD102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28,911 </w:t>
            </w:r>
          </w:p>
        </w:tc>
        <w:tc>
          <w:tcPr>
            <w:tcW w:w="320" w:type="pct"/>
            <w:tcBorders>
              <w:top w:val="nil"/>
              <w:left w:val="nil"/>
              <w:bottom w:val="single" w:sz="4" w:space="0" w:color="auto"/>
              <w:right w:val="single" w:sz="4" w:space="0" w:color="auto"/>
            </w:tcBorders>
            <w:shd w:val="clear" w:color="000000" w:fill="D9D9D9"/>
            <w:noWrap/>
            <w:vAlign w:val="bottom"/>
            <w:hideMark/>
          </w:tcPr>
          <w:p w14:paraId="60F248D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-12,862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E2412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-44.5%</w:t>
            </w:r>
          </w:p>
        </w:tc>
        <w:tc>
          <w:tcPr>
            <w:tcW w:w="275" w:type="pct"/>
            <w:tcBorders>
              <w:top w:val="nil"/>
              <w:left w:val="nil"/>
              <w:bottom w:val="single" w:sz="4" w:space="0" w:color="auto"/>
              <w:right w:val="single" w:sz="4" w:space="0" w:color="auto"/>
            </w:tcBorders>
            <w:shd w:val="clear" w:color="auto" w:fill="auto"/>
            <w:noWrap/>
            <w:vAlign w:val="bottom"/>
            <w:hideMark/>
          </w:tcPr>
          <w:p w14:paraId="07EAE44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301,880 </w:t>
            </w:r>
          </w:p>
        </w:tc>
        <w:tc>
          <w:tcPr>
            <w:tcW w:w="275" w:type="pct"/>
            <w:tcBorders>
              <w:top w:val="nil"/>
              <w:left w:val="nil"/>
              <w:bottom w:val="single" w:sz="4" w:space="0" w:color="auto"/>
              <w:right w:val="single" w:sz="4" w:space="0" w:color="auto"/>
            </w:tcBorders>
            <w:shd w:val="clear" w:color="auto" w:fill="auto"/>
            <w:noWrap/>
            <w:vAlign w:val="bottom"/>
            <w:hideMark/>
          </w:tcPr>
          <w:p w14:paraId="5943CFC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323,688 </w:t>
            </w:r>
          </w:p>
        </w:tc>
        <w:tc>
          <w:tcPr>
            <w:tcW w:w="275" w:type="pct"/>
            <w:tcBorders>
              <w:top w:val="nil"/>
              <w:left w:val="nil"/>
              <w:bottom w:val="single" w:sz="4" w:space="0" w:color="auto"/>
              <w:right w:val="single" w:sz="4" w:space="0" w:color="auto"/>
            </w:tcBorders>
            <w:shd w:val="clear" w:color="000000" w:fill="D9D9D9"/>
            <w:noWrap/>
            <w:vAlign w:val="bottom"/>
            <w:hideMark/>
          </w:tcPr>
          <w:p w14:paraId="198705A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-21,808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BF06A8C"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-6.7%</w:t>
            </w:r>
          </w:p>
        </w:tc>
      </w:tr>
      <w:tr w:rsidR="00304440" w:rsidRPr="00B23317" w14:paraId="72AF5DE1"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4612F8F"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The University of Western Australia</w:t>
            </w:r>
          </w:p>
        </w:tc>
        <w:tc>
          <w:tcPr>
            <w:tcW w:w="338" w:type="pct"/>
            <w:tcBorders>
              <w:top w:val="nil"/>
              <w:left w:val="nil"/>
              <w:bottom w:val="single" w:sz="4" w:space="0" w:color="auto"/>
              <w:right w:val="single" w:sz="4" w:space="0" w:color="auto"/>
            </w:tcBorders>
            <w:shd w:val="clear" w:color="auto" w:fill="auto"/>
            <w:noWrap/>
            <w:vAlign w:val="bottom"/>
            <w:hideMark/>
          </w:tcPr>
          <w:p w14:paraId="2F6A72F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968,870 </w:t>
            </w:r>
          </w:p>
        </w:tc>
        <w:tc>
          <w:tcPr>
            <w:tcW w:w="338" w:type="pct"/>
            <w:tcBorders>
              <w:top w:val="nil"/>
              <w:left w:val="nil"/>
              <w:bottom w:val="single" w:sz="4" w:space="0" w:color="auto"/>
              <w:right w:val="single" w:sz="4" w:space="0" w:color="auto"/>
            </w:tcBorders>
            <w:shd w:val="clear" w:color="auto" w:fill="auto"/>
            <w:noWrap/>
            <w:vAlign w:val="bottom"/>
            <w:hideMark/>
          </w:tcPr>
          <w:p w14:paraId="21CA4AC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1,057,625 </w:t>
            </w:r>
          </w:p>
        </w:tc>
        <w:tc>
          <w:tcPr>
            <w:tcW w:w="338" w:type="pct"/>
            <w:tcBorders>
              <w:top w:val="nil"/>
              <w:left w:val="nil"/>
              <w:bottom w:val="single" w:sz="4" w:space="0" w:color="auto"/>
              <w:right w:val="single" w:sz="4" w:space="0" w:color="auto"/>
            </w:tcBorders>
            <w:shd w:val="clear" w:color="000000" w:fill="D9D9D9"/>
            <w:noWrap/>
            <w:vAlign w:val="bottom"/>
            <w:hideMark/>
          </w:tcPr>
          <w:p w14:paraId="68A25E5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-88,755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80B4C50"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-8.4%</w:t>
            </w:r>
          </w:p>
        </w:tc>
        <w:tc>
          <w:tcPr>
            <w:tcW w:w="288" w:type="pct"/>
            <w:tcBorders>
              <w:top w:val="nil"/>
              <w:left w:val="nil"/>
              <w:bottom w:val="single" w:sz="4" w:space="0" w:color="auto"/>
              <w:right w:val="single" w:sz="4" w:space="0" w:color="auto"/>
            </w:tcBorders>
            <w:shd w:val="clear" w:color="auto" w:fill="auto"/>
            <w:noWrap/>
            <w:vAlign w:val="bottom"/>
            <w:hideMark/>
          </w:tcPr>
          <w:p w14:paraId="247B5ED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58,556 </w:t>
            </w:r>
          </w:p>
        </w:tc>
        <w:tc>
          <w:tcPr>
            <w:tcW w:w="352" w:type="pct"/>
            <w:tcBorders>
              <w:top w:val="nil"/>
              <w:left w:val="nil"/>
              <w:bottom w:val="single" w:sz="4" w:space="0" w:color="auto"/>
              <w:right w:val="single" w:sz="4" w:space="0" w:color="auto"/>
            </w:tcBorders>
            <w:shd w:val="clear" w:color="auto" w:fill="auto"/>
            <w:noWrap/>
            <w:vAlign w:val="bottom"/>
            <w:hideMark/>
          </w:tcPr>
          <w:p w14:paraId="2BF17C4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128,428 </w:t>
            </w:r>
          </w:p>
        </w:tc>
        <w:tc>
          <w:tcPr>
            <w:tcW w:w="320" w:type="pct"/>
            <w:tcBorders>
              <w:top w:val="nil"/>
              <w:left w:val="nil"/>
              <w:bottom w:val="single" w:sz="4" w:space="0" w:color="auto"/>
              <w:right w:val="single" w:sz="4" w:space="0" w:color="auto"/>
            </w:tcBorders>
            <w:shd w:val="clear" w:color="000000" w:fill="D9D9D9"/>
            <w:noWrap/>
            <w:vAlign w:val="bottom"/>
            <w:hideMark/>
          </w:tcPr>
          <w:p w14:paraId="6A38748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-69,872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DBFBC6"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-54.4%</w:t>
            </w:r>
          </w:p>
        </w:tc>
        <w:tc>
          <w:tcPr>
            <w:tcW w:w="275" w:type="pct"/>
            <w:tcBorders>
              <w:top w:val="nil"/>
              <w:left w:val="nil"/>
              <w:bottom w:val="single" w:sz="4" w:space="0" w:color="auto"/>
              <w:right w:val="single" w:sz="4" w:space="0" w:color="auto"/>
            </w:tcBorders>
            <w:shd w:val="clear" w:color="auto" w:fill="auto"/>
            <w:noWrap/>
            <w:vAlign w:val="bottom"/>
            <w:hideMark/>
          </w:tcPr>
          <w:p w14:paraId="1C56976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139,737 </w:t>
            </w:r>
          </w:p>
        </w:tc>
        <w:tc>
          <w:tcPr>
            <w:tcW w:w="275" w:type="pct"/>
            <w:tcBorders>
              <w:top w:val="nil"/>
              <w:left w:val="nil"/>
              <w:bottom w:val="single" w:sz="4" w:space="0" w:color="auto"/>
              <w:right w:val="single" w:sz="4" w:space="0" w:color="auto"/>
            </w:tcBorders>
            <w:shd w:val="clear" w:color="auto" w:fill="auto"/>
            <w:noWrap/>
            <w:vAlign w:val="bottom"/>
            <w:hideMark/>
          </w:tcPr>
          <w:p w14:paraId="40FAEDE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151,018 </w:t>
            </w:r>
          </w:p>
        </w:tc>
        <w:tc>
          <w:tcPr>
            <w:tcW w:w="275" w:type="pct"/>
            <w:tcBorders>
              <w:top w:val="nil"/>
              <w:left w:val="nil"/>
              <w:bottom w:val="single" w:sz="4" w:space="0" w:color="auto"/>
              <w:right w:val="single" w:sz="4" w:space="0" w:color="auto"/>
            </w:tcBorders>
            <w:shd w:val="clear" w:color="000000" w:fill="D9D9D9"/>
            <w:noWrap/>
            <w:vAlign w:val="bottom"/>
            <w:hideMark/>
          </w:tcPr>
          <w:p w14:paraId="7586C76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-11,281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9CDBF6"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-7.5%</w:t>
            </w:r>
          </w:p>
        </w:tc>
      </w:tr>
      <w:tr w:rsidR="00304440" w:rsidRPr="00B23317" w14:paraId="00C59C83"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CB1880F"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Griffith University</w:t>
            </w:r>
          </w:p>
        </w:tc>
        <w:tc>
          <w:tcPr>
            <w:tcW w:w="338" w:type="pct"/>
            <w:tcBorders>
              <w:top w:val="nil"/>
              <w:left w:val="nil"/>
              <w:bottom w:val="single" w:sz="4" w:space="0" w:color="auto"/>
              <w:right w:val="single" w:sz="4" w:space="0" w:color="auto"/>
            </w:tcBorders>
            <w:shd w:val="clear" w:color="auto" w:fill="auto"/>
            <w:noWrap/>
            <w:vAlign w:val="bottom"/>
            <w:hideMark/>
          </w:tcPr>
          <w:p w14:paraId="51BD831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967,585 </w:t>
            </w:r>
          </w:p>
        </w:tc>
        <w:tc>
          <w:tcPr>
            <w:tcW w:w="338" w:type="pct"/>
            <w:tcBorders>
              <w:top w:val="nil"/>
              <w:left w:val="nil"/>
              <w:bottom w:val="single" w:sz="4" w:space="0" w:color="auto"/>
              <w:right w:val="single" w:sz="4" w:space="0" w:color="auto"/>
            </w:tcBorders>
            <w:shd w:val="clear" w:color="auto" w:fill="auto"/>
            <w:noWrap/>
            <w:vAlign w:val="bottom"/>
            <w:hideMark/>
          </w:tcPr>
          <w:p w14:paraId="6E5AC27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1,030,599 </w:t>
            </w:r>
          </w:p>
        </w:tc>
        <w:tc>
          <w:tcPr>
            <w:tcW w:w="338" w:type="pct"/>
            <w:tcBorders>
              <w:top w:val="nil"/>
              <w:left w:val="nil"/>
              <w:bottom w:val="single" w:sz="4" w:space="0" w:color="auto"/>
              <w:right w:val="single" w:sz="4" w:space="0" w:color="auto"/>
            </w:tcBorders>
            <w:shd w:val="clear" w:color="000000" w:fill="D9D9D9"/>
            <w:noWrap/>
            <w:vAlign w:val="bottom"/>
            <w:hideMark/>
          </w:tcPr>
          <w:p w14:paraId="2AE29F5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-63,014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0816FC"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-6.1%</w:t>
            </w:r>
          </w:p>
        </w:tc>
        <w:tc>
          <w:tcPr>
            <w:tcW w:w="288" w:type="pct"/>
            <w:tcBorders>
              <w:top w:val="nil"/>
              <w:left w:val="nil"/>
              <w:bottom w:val="single" w:sz="4" w:space="0" w:color="auto"/>
              <w:right w:val="single" w:sz="4" w:space="0" w:color="auto"/>
            </w:tcBorders>
            <w:shd w:val="clear" w:color="auto" w:fill="auto"/>
            <w:noWrap/>
            <w:vAlign w:val="bottom"/>
            <w:hideMark/>
          </w:tcPr>
          <w:p w14:paraId="7866B2D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16,291 </w:t>
            </w:r>
          </w:p>
        </w:tc>
        <w:tc>
          <w:tcPr>
            <w:tcW w:w="352" w:type="pct"/>
            <w:tcBorders>
              <w:top w:val="nil"/>
              <w:left w:val="nil"/>
              <w:bottom w:val="single" w:sz="4" w:space="0" w:color="auto"/>
              <w:right w:val="single" w:sz="4" w:space="0" w:color="auto"/>
            </w:tcBorders>
            <w:shd w:val="clear" w:color="auto" w:fill="auto"/>
            <w:noWrap/>
            <w:vAlign w:val="bottom"/>
            <w:hideMark/>
          </w:tcPr>
          <w:p w14:paraId="16E7AE2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45,396 </w:t>
            </w:r>
          </w:p>
        </w:tc>
        <w:tc>
          <w:tcPr>
            <w:tcW w:w="320" w:type="pct"/>
            <w:tcBorders>
              <w:top w:val="nil"/>
              <w:left w:val="nil"/>
              <w:bottom w:val="single" w:sz="4" w:space="0" w:color="auto"/>
              <w:right w:val="single" w:sz="4" w:space="0" w:color="auto"/>
            </w:tcBorders>
            <w:shd w:val="clear" w:color="000000" w:fill="D9D9D9"/>
            <w:noWrap/>
            <w:vAlign w:val="bottom"/>
            <w:hideMark/>
          </w:tcPr>
          <w:p w14:paraId="51111C7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-29,105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87D8BDF"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-64.1%</w:t>
            </w:r>
          </w:p>
        </w:tc>
        <w:tc>
          <w:tcPr>
            <w:tcW w:w="275" w:type="pct"/>
            <w:tcBorders>
              <w:top w:val="nil"/>
              <w:left w:val="nil"/>
              <w:bottom w:val="single" w:sz="4" w:space="0" w:color="auto"/>
              <w:right w:val="single" w:sz="4" w:space="0" w:color="auto"/>
            </w:tcBorders>
            <w:shd w:val="clear" w:color="auto" w:fill="auto"/>
            <w:noWrap/>
            <w:vAlign w:val="bottom"/>
            <w:hideMark/>
          </w:tcPr>
          <w:p w14:paraId="236BBBE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189,571 </w:t>
            </w:r>
          </w:p>
        </w:tc>
        <w:tc>
          <w:tcPr>
            <w:tcW w:w="275" w:type="pct"/>
            <w:tcBorders>
              <w:top w:val="nil"/>
              <w:left w:val="nil"/>
              <w:bottom w:val="single" w:sz="4" w:space="0" w:color="auto"/>
              <w:right w:val="single" w:sz="4" w:space="0" w:color="auto"/>
            </w:tcBorders>
            <w:shd w:val="clear" w:color="auto" w:fill="auto"/>
            <w:noWrap/>
            <w:vAlign w:val="bottom"/>
            <w:hideMark/>
          </w:tcPr>
          <w:p w14:paraId="7714A19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193,891 </w:t>
            </w:r>
          </w:p>
        </w:tc>
        <w:tc>
          <w:tcPr>
            <w:tcW w:w="275" w:type="pct"/>
            <w:tcBorders>
              <w:top w:val="nil"/>
              <w:left w:val="nil"/>
              <w:bottom w:val="single" w:sz="4" w:space="0" w:color="auto"/>
              <w:right w:val="single" w:sz="4" w:space="0" w:color="auto"/>
            </w:tcBorders>
            <w:shd w:val="clear" w:color="000000" w:fill="D9D9D9"/>
            <w:noWrap/>
            <w:vAlign w:val="bottom"/>
            <w:hideMark/>
          </w:tcPr>
          <w:p w14:paraId="6D876CA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-4,320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F5F2970"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-2.2%</w:t>
            </w:r>
          </w:p>
        </w:tc>
      </w:tr>
      <w:tr w:rsidR="00304440" w:rsidRPr="00B23317" w14:paraId="5DF068C2"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811F394"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Curtin University of Technology</w:t>
            </w:r>
          </w:p>
        </w:tc>
        <w:tc>
          <w:tcPr>
            <w:tcW w:w="338" w:type="pct"/>
            <w:tcBorders>
              <w:top w:val="nil"/>
              <w:left w:val="nil"/>
              <w:bottom w:val="single" w:sz="4" w:space="0" w:color="auto"/>
              <w:right w:val="single" w:sz="4" w:space="0" w:color="auto"/>
            </w:tcBorders>
            <w:shd w:val="clear" w:color="auto" w:fill="auto"/>
            <w:noWrap/>
            <w:vAlign w:val="bottom"/>
            <w:hideMark/>
          </w:tcPr>
          <w:p w14:paraId="23BA522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902,715 </w:t>
            </w:r>
          </w:p>
        </w:tc>
        <w:tc>
          <w:tcPr>
            <w:tcW w:w="338" w:type="pct"/>
            <w:tcBorders>
              <w:top w:val="nil"/>
              <w:left w:val="nil"/>
              <w:bottom w:val="single" w:sz="4" w:space="0" w:color="auto"/>
              <w:right w:val="single" w:sz="4" w:space="0" w:color="auto"/>
            </w:tcBorders>
            <w:shd w:val="clear" w:color="auto" w:fill="auto"/>
            <w:noWrap/>
            <w:vAlign w:val="bottom"/>
            <w:hideMark/>
          </w:tcPr>
          <w:p w14:paraId="3DED875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969,944 </w:t>
            </w:r>
          </w:p>
        </w:tc>
        <w:tc>
          <w:tcPr>
            <w:tcW w:w="338" w:type="pct"/>
            <w:tcBorders>
              <w:top w:val="nil"/>
              <w:left w:val="nil"/>
              <w:bottom w:val="single" w:sz="4" w:space="0" w:color="auto"/>
              <w:right w:val="single" w:sz="4" w:space="0" w:color="auto"/>
            </w:tcBorders>
            <w:shd w:val="clear" w:color="000000" w:fill="D9D9D9"/>
            <w:noWrap/>
            <w:vAlign w:val="bottom"/>
            <w:hideMark/>
          </w:tcPr>
          <w:p w14:paraId="5C6EF0A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-67,229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12DF6E"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-6.9%</w:t>
            </w:r>
          </w:p>
        </w:tc>
        <w:tc>
          <w:tcPr>
            <w:tcW w:w="288" w:type="pct"/>
            <w:tcBorders>
              <w:top w:val="nil"/>
              <w:left w:val="nil"/>
              <w:bottom w:val="single" w:sz="4" w:space="0" w:color="auto"/>
              <w:right w:val="single" w:sz="4" w:space="0" w:color="auto"/>
            </w:tcBorders>
            <w:shd w:val="clear" w:color="auto" w:fill="auto"/>
            <w:noWrap/>
            <w:vAlign w:val="bottom"/>
            <w:hideMark/>
          </w:tcPr>
          <w:p w14:paraId="1A12519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11,086 </w:t>
            </w:r>
          </w:p>
        </w:tc>
        <w:tc>
          <w:tcPr>
            <w:tcW w:w="352" w:type="pct"/>
            <w:tcBorders>
              <w:top w:val="nil"/>
              <w:left w:val="nil"/>
              <w:bottom w:val="single" w:sz="4" w:space="0" w:color="auto"/>
              <w:right w:val="single" w:sz="4" w:space="0" w:color="auto"/>
            </w:tcBorders>
            <w:shd w:val="clear" w:color="auto" w:fill="auto"/>
            <w:noWrap/>
            <w:vAlign w:val="bottom"/>
            <w:hideMark/>
          </w:tcPr>
          <w:p w14:paraId="4BD18E8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78,788 </w:t>
            </w:r>
          </w:p>
        </w:tc>
        <w:tc>
          <w:tcPr>
            <w:tcW w:w="320" w:type="pct"/>
            <w:tcBorders>
              <w:top w:val="nil"/>
              <w:left w:val="nil"/>
              <w:bottom w:val="single" w:sz="4" w:space="0" w:color="auto"/>
              <w:right w:val="single" w:sz="4" w:space="0" w:color="auto"/>
            </w:tcBorders>
            <w:shd w:val="clear" w:color="000000" w:fill="D9D9D9"/>
            <w:noWrap/>
            <w:vAlign w:val="bottom"/>
            <w:hideMark/>
          </w:tcPr>
          <w:p w14:paraId="4156E95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-67,702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420C24"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-85.9%</w:t>
            </w:r>
          </w:p>
        </w:tc>
        <w:tc>
          <w:tcPr>
            <w:tcW w:w="275" w:type="pct"/>
            <w:tcBorders>
              <w:top w:val="nil"/>
              <w:left w:val="nil"/>
              <w:bottom w:val="single" w:sz="4" w:space="0" w:color="auto"/>
              <w:right w:val="single" w:sz="4" w:space="0" w:color="auto"/>
            </w:tcBorders>
            <w:shd w:val="clear" w:color="auto" w:fill="auto"/>
            <w:noWrap/>
            <w:vAlign w:val="bottom"/>
            <w:hideMark/>
          </w:tcPr>
          <w:p w14:paraId="06D885A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160,909 </w:t>
            </w:r>
          </w:p>
        </w:tc>
        <w:tc>
          <w:tcPr>
            <w:tcW w:w="275" w:type="pct"/>
            <w:tcBorders>
              <w:top w:val="nil"/>
              <w:left w:val="nil"/>
              <w:bottom w:val="single" w:sz="4" w:space="0" w:color="auto"/>
              <w:right w:val="single" w:sz="4" w:space="0" w:color="auto"/>
            </w:tcBorders>
            <w:shd w:val="clear" w:color="auto" w:fill="auto"/>
            <w:noWrap/>
            <w:vAlign w:val="bottom"/>
            <w:hideMark/>
          </w:tcPr>
          <w:p w14:paraId="3B8B9FC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166,046 </w:t>
            </w:r>
          </w:p>
        </w:tc>
        <w:tc>
          <w:tcPr>
            <w:tcW w:w="275" w:type="pct"/>
            <w:tcBorders>
              <w:top w:val="nil"/>
              <w:left w:val="nil"/>
              <w:bottom w:val="single" w:sz="4" w:space="0" w:color="auto"/>
              <w:right w:val="single" w:sz="4" w:space="0" w:color="auto"/>
            </w:tcBorders>
            <w:shd w:val="clear" w:color="000000" w:fill="D9D9D9"/>
            <w:noWrap/>
            <w:vAlign w:val="bottom"/>
            <w:hideMark/>
          </w:tcPr>
          <w:p w14:paraId="767D356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-5,137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77E09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-3.1%</w:t>
            </w:r>
          </w:p>
        </w:tc>
      </w:tr>
      <w:tr w:rsidR="00304440" w:rsidRPr="00B23317" w14:paraId="19BF8940"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6AEFBB22" w14:textId="6D5DADD2"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Western Sydney</w:t>
            </w:r>
            <w:r w:rsidR="00046A7A" w:rsidRPr="00B23317">
              <w:rPr>
                <w:rFonts w:eastAsia="Times New Roman" w:cstheme="minorHAnsi"/>
                <w:color w:val="000000"/>
                <w:sz w:val="16"/>
                <w:szCs w:val="16"/>
                <w:lang w:eastAsia="en-AU"/>
              </w:rPr>
              <w:t xml:space="preserve"> University</w:t>
            </w:r>
          </w:p>
        </w:tc>
        <w:tc>
          <w:tcPr>
            <w:tcW w:w="338" w:type="pct"/>
            <w:tcBorders>
              <w:top w:val="nil"/>
              <w:left w:val="nil"/>
              <w:bottom w:val="single" w:sz="4" w:space="0" w:color="auto"/>
              <w:right w:val="single" w:sz="4" w:space="0" w:color="auto"/>
            </w:tcBorders>
            <w:shd w:val="clear" w:color="auto" w:fill="auto"/>
            <w:noWrap/>
            <w:vAlign w:val="bottom"/>
            <w:hideMark/>
          </w:tcPr>
          <w:p w14:paraId="09EAED5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887,897 </w:t>
            </w:r>
          </w:p>
        </w:tc>
        <w:tc>
          <w:tcPr>
            <w:tcW w:w="338" w:type="pct"/>
            <w:tcBorders>
              <w:top w:val="nil"/>
              <w:left w:val="nil"/>
              <w:bottom w:val="single" w:sz="4" w:space="0" w:color="auto"/>
              <w:right w:val="single" w:sz="4" w:space="0" w:color="auto"/>
            </w:tcBorders>
            <w:shd w:val="clear" w:color="auto" w:fill="auto"/>
            <w:noWrap/>
            <w:vAlign w:val="bottom"/>
            <w:hideMark/>
          </w:tcPr>
          <w:p w14:paraId="149F919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909,235 </w:t>
            </w:r>
          </w:p>
        </w:tc>
        <w:tc>
          <w:tcPr>
            <w:tcW w:w="338" w:type="pct"/>
            <w:tcBorders>
              <w:top w:val="nil"/>
              <w:left w:val="nil"/>
              <w:bottom w:val="single" w:sz="4" w:space="0" w:color="auto"/>
              <w:right w:val="single" w:sz="4" w:space="0" w:color="auto"/>
            </w:tcBorders>
            <w:shd w:val="clear" w:color="000000" w:fill="D9D9D9"/>
            <w:noWrap/>
            <w:vAlign w:val="bottom"/>
            <w:hideMark/>
          </w:tcPr>
          <w:p w14:paraId="48A16B8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-21,338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3A6144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-2.3%</w:t>
            </w:r>
          </w:p>
        </w:tc>
        <w:tc>
          <w:tcPr>
            <w:tcW w:w="288" w:type="pct"/>
            <w:tcBorders>
              <w:top w:val="nil"/>
              <w:left w:val="nil"/>
              <w:bottom w:val="single" w:sz="4" w:space="0" w:color="auto"/>
              <w:right w:val="single" w:sz="4" w:space="0" w:color="auto"/>
            </w:tcBorders>
            <w:shd w:val="clear" w:color="auto" w:fill="auto"/>
            <w:noWrap/>
            <w:vAlign w:val="bottom"/>
            <w:hideMark/>
          </w:tcPr>
          <w:p w14:paraId="456578A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16,430 </w:t>
            </w:r>
          </w:p>
        </w:tc>
        <w:tc>
          <w:tcPr>
            <w:tcW w:w="352" w:type="pct"/>
            <w:tcBorders>
              <w:top w:val="nil"/>
              <w:left w:val="nil"/>
              <w:bottom w:val="single" w:sz="4" w:space="0" w:color="auto"/>
              <w:right w:val="single" w:sz="4" w:space="0" w:color="auto"/>
            </w:tcBorders>
            <w:shd w:val="clear" w:color="auto" w:fill="auto"/>
            <w:noWrap/>
            <w:vAlign w:val="bottom"/>
            <w:hideMark/>
          </w:tcPr>
          <w:p w14:paraId="60D399B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46,414 </w:t>
            </w:r>
          </w:p>
        </w:tc>
        <w:tc>
          <w:tcPr>
            <w:tcW w:w="320" w:type="pct"/>
            <w:tcBorders>
              <w:top w:val="nil"/>
              <w:left w:val="nil"/>
              <w:bottom w:val="single" w:sz="4" w:space="0" w:color="auto"/>
              <w:right w:val="single" w:sz="4" w:space="0" w:color="auto"/>
            </w:tcBorders>
            <w:shd w:val="clear" w:color="000000" w:fill="D9D9D9"/>
            <w:noWrap/>
            <w:vAlign w:val="bottom"/>
            <w:hideMark/>
          </w:tcPr>
          <w:p w14:paraId="30BD71B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-29,984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BFC6E7"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-64.6%</w:t>
            </w:r>
          </w:p>
        </w:tc>
        <w:tc>
          <w:tcPr>
            <w:tcW w:w="275" w:type="pct"/>
            <w:tcBorders>
              <w:top w:val="nil"/>
              <w:left w:val="nil"/>
              <w:bottom w:val="single" w:sz="4" w:space="0" w:color="auto"/>
              <w:right w:val="single" w:sz="4" w:space="0" w:color="auto"/>
            </w:tcBorders>
            <w:shd w:val="clear" w:color="auto" w:fill="auto"/>
            <w:noWrap/>
            <w:vAlign w:val="bottom"/>
            <w:hideMark/>
          </w:tcPr>
          <w:p w14:paraId="4E3E74D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148,785 </w:t>
            </w:r>
          </w:p>
        </w:tc>
        <w:tc>
          <w:tcPr>
            <w:tcW w:w="275" w:type="pct"/>
            <w:tcBorders>
              <w:top w:val="nil"/>
              <w:left w:val="nil"/>
              <w:bottom w:val="single" w:sz="4" w:space="0" w:color="auto"/>
              <w:right w:val="single" w:sz="4" w:space="0" w:color="auto"/>
            </w:tcBorders>
            <w:shd w:val="clear" w:color="auto" w:fill="auto"/>
            <w:noWrap/>
            <w:vAlign w:val="bottom"/>
            <w:hideMark/>
          </w:tcPr>
          <w:p w14:paraId="4D145B2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163,456 </w:t>
            </w:r>
          </w:p>
        </w:tc>
        <w:tc>
          <w:tcPr>
            <w:tcW w:w="275" w:type="pct"/>
            <w:tcBorders>
              <w:top w:val="nil"/>
              <w:left w:val="nil"/>
              <w:bottom w:val="single" w:sz="4" w:space="0" w:color="auto"/>
              <w:right w:val="single" w:sz="4" w:space="0" w:color="auto"/>
            </w:tcBorders>
            <w:shd w:val="clear" w:color="000000" w:fill="D9D9D9"/>
            <w:noWrap/>
            <w:vAlign w:val="bottom"/>
            <w:hideMark/>
          </w:tcPr>
          <w:p w14:paraId="20F9D03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-14,671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B5C126"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-9.0%</w:t>
            </w:r>
          </w:p>
        </w:tc>
      </w:tr>
      <w:tr w:rsidR="00304440" w:rsidRPr="00B23317" w14:paraId="12611846"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640129CD"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The University of Newcastle</w:t>
            </w:r>
          </w:p>
        </w:tc>
        <w:tc>
          <w:tcPr>
            <w:tcW w:w="338" w:type="pct"/>
            <w:tcBorders>
              <w:top w:val="nil"/>
              <w:left w:val="nil"/>
              <w:bottom w:val="single" w:sz="4" w:space="0" w:color="auto"/>
              <w:right w:val="single" w:sz="4" w:space="0" w:color="auto"/>
            </w:tcBorders>
            <w:shd w:val="clear" w:color="auto" w:fill="auto"/>
            <w:noWrap/>
            <w:vAlign w:val="bottom"/>
            <w:hideMark/>
          </w:tcPr>
          <w:p w14:paraId="1BAD773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794,924 </w:t>
            </w:r>
          </w:p>
        </w:tc>
        <w:tc>
          <w:tcPr>
            <w:tcW w:w="338" w:type="pct"/>
            <w:tcBorders>
              <w:top w:val="nil"/>
              <w:left w:val="nil"/>
              <w:bottom w:val="single" w:sz="4" w:space="0" w:color="auto"/>
              <w:right w:val="single" w:sz="4" w:space="0" w:color="auto"/>
            </w:tcBorders>
            <w:shd w:val="clear" w:color="auto" w:fill="auto"/>
            <w:noWrap/>
            <w:vAlign w:val="bottom"/>
            <w:hideMark/>
          </w:tcPr>
          <w:p w14:paraId="68C429D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833,942 </w:t>
            </w:r>
          </w:p>
        </w:tc>
        <w:tc>
          <w:tcPr>
            <w:tcW w:w="338" w:type="pct"/>
            <w:tcBorders>
              <w:top w:val="nil"/>
              <w:left w:val="nil"/>
              <w:bottom w:val="single" w:sz="4" w:space="0" w:color="auto"/>
              <w:right w:val="single" w:sz="4" w:space="0" w:color="auto"/>
            </w:tcBorders>
            <w:shd w:val="clear" w:color="000000" w:fill="D9D9D9"/>
            <w:noWrap/>
            <w:vAlign w:val="bottom"/>
            <w:hideMark/>
          </w:tcPr>
          <w:p w14:paraId="4886E0C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-39,018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96ABFF5"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-4.7%</w:t>
            </w:r>
          </w:p>
        </w:tc>
        <w:tc>
          <w:tcPr>
            <w:tcW w:w="288" w:type="pct"/>
            <w:tcBorders>
              <w:top w:val="nil"/>
              <w:left w:val="nil"/>
              <w:bottom w:val="single" w:sz="4" w:space="0" w:color="auto"/>
              <w:right w:val="single" w:sz="4" w:space="0" w:color="auto"/>
            </w:tcBorders>
            <w:shd w:val="clear" w:color="auto" w:fill="auto"/>
            <w:noWrap/>
            <w:vAlign w:val="bottom"/>
            <w:hideMark/>
          </w:tcPr>
          <w:p w14:paraId="0F530FA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31,711 </w:t>
            </w:r>
          </w:p>
        </w:tc>
        <w:tc>
          <w:tcPr>
            <w:tcW w:w="352" w:type="pct"/>
            <w:tcBorders>
              <w:top w:val="nil"/>
              <w:left w:val="nil"/>
              <w:bottom w:val="single" w:sz="4" w:space="0" w:color="auto"/>
              <w:right w:val="single" w:sz="4" w:space="0" w:color="auto"/>
            </w:tcBorders>
            <w:shd w:val="clear" w:color="auto" w:fill="auto"/>
            <w:noWrap/>
            <w:vAlign w:val="bottom"/>
            <w:hideMark/>
          </w:tcPr>
          <w:p w14:paraId="008BE75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65,690 </w:t>
            </w:r>
          </w:p>
        </w:tc>
        <w:tc>
          <w:tcPr>
            <w:tcW w:w="320" w:type="pct"/>
            <w:tcBorders>
              <w:top w:val="nil"/>
              <w:left w:val="nil"/>
              <w:bottom w:val="single" w:sz="4" w:space="0" w:color="auto"/>
              <w:right w:val="single" w:sz="4" w:space="0" w:color="auto"/>
            </w:tcBorders>
            <w:shd w:val="clear" w:color="000000" w:fill="D9D9D9"/>
            <w:noWrap/>
            <w:vAlign w:val="bottom"/>
            <w:hideMark/>
          </w:tcPr>
          <w:p w14:paraId="1235AEA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-33,979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079CDD4"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-51.7%</w:t>
            </w:r>
          </w:p>
        </w:tc>
        <w:tc>
          <w:tcPr>
            <w:tcW w:w="275" w:type="pct"/>
            <w:tcBorders>
              <w:top w:val="nil"/>
              <w:left w:val="nil"/>
              <w:bottom w:val="single" w:sz="4" w:space="0" w:color="auto"/>
              <w:right w:val="single" w:sz="4" w:space="0" w:color="auto"/>
            </w:tcBorders>
            <w:shd w:val="clear" w:color="auto" w:fill="auto"/>
            <w:noWrap/>
            <w:vAlign w:val="bottom"/>
            <w:hideMark/>
          </w:tcPr>
          <w:p w14:paraId="4BDA13D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113,709 </w:t>
            </w:r>
          </w:p>
        </w:tc>
        <w:tc>
          <w:tcPr>
            <w:tcW w:w="275" w:type="pct"/>
            <w:tcBorders>
              <w:top w:val="nil"/>
              <w:left w:val="nil"/>
              <w:bottom w:val="single" w:sz="4" w:space="0" w:color="auto"/>
              <w:right w:val="single" w:sz="4" w:space="0" w:color="auto"/>
            </w:tcBorders>
            <w:shd w:val="clear" w:color="auto" w:fill="auto"/>
            <w:noWrap/>
            <w:vAlign w:val="bottom"/>
            <w:hideMark/>
          </w:tcPr>
          <w:p w14:paraId="0838352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121,921 </w:t>
            </w:r>
          </w:p>
        </w:tc>
        <w:tc>
          <w:tcPr>
            <w:tcW w:w="275" w:type="pct"/>
            <w:tcBorders>
              <w:top w:val="nil"/>
              <w:left w:val="nil"/>
              <w:bottom w:val="single" w:sz="4" w:space="0" w:color="auto"/>
              <w:right w:val="single" w:sz="4" w:space="0" w:color="auto"/>
            </w:tcBorders>
            <w:shd w:val="clear" w:color="000000" w:fill="D9D9D9"/>
            <w:noWrap/>
            <w:vAlign w:val="bottom"/>
            <w:hideMark/>
          </w:tcPr>
          <w:p w14:paraId="6F5BD5B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-8,212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2277F7"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-6.7%</w:t>
            </w:r>
          </w:p>
        </w:tc>
      </w:tr>
      <w:tr w:rsidR="00304440" w:rsidRPr="00B23317" w14:paraId="3830F5B9"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1ECEB3B"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La Trobe University</w:t>
            </w:r>
          </w:p>
        </w:tc>
        <w:tc>
          <w:tcPr>
            <w:tcW w:w="338" w:type="pct"/>
            <w:tcBorders>
              <w:top w:val="nil"/>
              <w:left w:val="nil"/>
              <w:bottom w:val="single" w:sz="4" w:space="0" w:color="auto"/>
              <w:right w:val="single" w:sz="4" w:space="0" w:color="auto"/>
            </w:tcBorders>
            <w:shd w:val="clear" w:color="auto" w:fill="auto"/>
            <w:noWrap/>
            <w:vAlign w:val="bottom"/>
            <w:hideMark/>
          </w:tcPr>
          <w:p w14:paraId="6908F9F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782,487 </w:t>
            </w:r>
          </w:p>
        </w:tc>
        <w:tc>
          <w:tcPr>
            <w:tcW w:w="338" w:type="pct"/>
            <w:tcBorders>
              <w:top w:val="nil"/>
              <w:left w:val="nil"/>
              <w:bottom w:val="single" w:sz="4" w:space="0" w:color="auto"/>
              <w:right w:val="single" w:sz="4" w:space="0" w:color="auto"/>
            </w:tcBorders>
            <w:shd w:val="clear" w:color="auto" w:fill="auto"/>
            <w:noWrap/>
            <w:vAlign w:val="bottom"/>
            <w:hideMark/>
          </w:tcPr>
          <w:p w14:paraId="186985A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863,295 </w:t>
            </w:r>
          </w:p>
        </w:tc>
        <w:tc>
          <w:tcPr>
            <w:tcW w:w="338" w:type="pct"/>
            <w:tcBorders>
              <w:top w:val="nil"/>
              <w:left w:val="nil"/>
              <w:bottom w:val="single" w:sz="4" w:space="0" w:color="auto"/>
              <w:right w:val="single" w:sz="4" w:space="0" w:color="auto"/>
            </w:tcBorders>
            <w:shd w:val="clear" w:color="000000" w:fill="D9D9D9"/>
            <w:noWrap/>
            <w:vAlign w:val="bottom"/>
            <w:hideMark/>
          </w:tcPr>
          <w:p w14:paraId="2338BE6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-80,808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EDE08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-9.4%</w:t>
            </w:r>
          </w:p>
        </w:tc>
        <w:tc>
          <w:tcPr>
            <w:tcW w:w="288" w:type="pct"/>
            <w:tcBorders>
              <w:top w:val="nil"/>
              <w:left w:val="nil"/>
              <w:bottom w:val="single" w:sz="4" w:space="0" w:color="auto"/>
              <w:right w:val="single" w:sz="4" w:space="0" w:color="auto"/>
            </w:tcBorders>
            <w:shd w:val="clear" w:color="auto" w:fill="auto"/>
            <w:noWrap/>
            <w:vAlign w:val="bottom"/>
            <w:hideMark/>
          </w:tcPr>
          <w:p w14:paraId="0ACC0DE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8,807 </w:t>
            </w:r>
          </w:p>
        </w:tc>
        <w:tc>
          <w:tcPr>
            <w:tcW w:w="352" w:type="pct"/>
            <w:tcBorders>
              <w:top w:val="nil"/>
              <w:left w:val="nil"/>
              <w:bottom w:val="single" w:sz="4" w:space="0" w:color="auto"/>
              <w:right w:val="single" w:sz="4" w:space="0" w:color="auto"/>
            </w:tcBorders>
            <w:shd w:val="clear" w:color="auto" w:fill="auto"/>
            <w:noWrap/>
            <w:vAlign w:val="bottom"/>
            <w:hideMark/>
          </w:tcPr>
          <w:p w14:paraId="513D8BB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3,348 </w:t>
            </w:r>
          </w:p>
        </w:tc>
        <w:tc>
          <w:tcPr>
            <w:tcW w:w="320" w:type="pct"/>
            <w:tcBorders>
              <w:top w:val="nil"/>
              <w:left w:val="nil"/>
              <w:bottom w:val="single" w:sz="4" w:space="0" w:color="auto"/>
              <w:right w:val="single" w:sz="4" w:space="0" w:color="auto"/>
            </w:tcBorders>
            <w:shd w:val="clear" w:color="000000" w:fill="D9D9D9"/>
            <w:noWrap/>
            <w:vAlign w:val="bottom"/>
            <w:hideMark/>
          </w:tcPr>
          <w:p w14:paraId="4124D10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5,459 </w:t>
            </w:r>
          </w:p>
        </w:tc>
        <w:tc>
          <w:tcPr>
            <w:tcW w:w="320" w:type="pct"/>
            <w:tcBorders>
              <w:top w:val="nil"/>
              <w:left w:val="nil"/>
              <w:bottom w:val="single" w:sz="4" w:space="0" w:color="auto"/>
              <w:right w:val="single" w:sz="4" w:space="0" w:color="auto"/>
            </w:tcBorders>
            <w:shd w:val="clear" w:color="000000" w:fill="D9D9D9"/>
            <w:noWrap/>
            <w:vAlign w:val="bottom"/>
            <w:hideMark/>
          </w:tcPr>
          <w:p w14:paraId="3C74D210"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163.1%</w:t>
            </w:r>
          </w:p>
        </w:tc>
        <w:tc>
          <w:tcPr>
            <w:tcW w:w="275" w:type="pct"/>
            <w:tcBorders>
              <w:top w:val="nil"/>
              <w:left w:val="nil"/>
              <w:bottom w:val="single" w:sz="4" w:space="0" w:color="auto"/>
              <w:right w:val="single" w:sz="4" w:space="0" w:color="auto"/>
            </w:tcBorders>
            <w:shd w:val="clear" w:color="auto" w:fill="auto"/>
            <w:noWrap/>
            <w:vAlign w:val="bottom"/>
            <w:hideMark/>
          </w:tcPr>
          <w:p w14:paraId="68AB90B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159,238 </w:t>
            </w:r>
          </w:p>
        </w:tc>
        <w:tc>
          <w:tcPr>
            <w:tcW w:w="275" w:type="pct"/>
            <w:tcBorders>
              <w:top w:val="nil"/>
              <w:left w:val="nil"/>
              <w:bottom w:val="single" w:sz="4" w:space="0" w:color="auto"/>
              <w:right w:val="single" w:sz="4" w:space="0" w:color="auto"/>
            </w:tcBorders>
            <w:shd w:val="clear" w:color="auto" w:fill="auto"/>
            <w:noWrap/>
            <w:vAlign w:val="bottom"/>
            <w:hideMark/>
          </w:tcPr>
          <w:p w14:paraId="18DAD13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200,927 </w:t>
            </w:r>
          </w:p>
        </w:tc>
        <w:tc>
          <w:tcPr>
            <w:tcW w:w="275" w:type="pct"/>
            <w:tcBorders>
              <w:top w:val="nil"/>
              <w:left w:val="nil"/>
              <w:bottom w:val="single" w:sz="4" w:space="0" w:color="auto"/>
              <w:right w:val="single" w:sz="4" w:space="0" w:color="auto"/>
            </w:tcBorders>
            <w:shd w:val="clear" w:color="000000" w:fill="D9D9D9"/>
            <w:noWrap/>
            <w:vAlign w:val="bottom"/>
            <w:hideMark/>
          </w:tcPr>
          <w:p w14:paraId="1D97CDB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-41,689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3BBD6EC"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-20.7%</w:t>
            </w:r>
          </w:p>
        </w:tc>
      </w:tr>
      <w:tr w:rsidR="00304440" w:rsidRPr="00B23317" w14:paraId="76E266C0"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94F99D1"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Swinburne University of Technology</w:t>
            </w:r>
          </w:p>
        </w:tc>
        <w:tc>
          <w:tcPr>
            <w:tcW w:w="338" w:type="pct"/>
            <w:tcBorders>
              <w:top w:val="nil"/>
              <w:left w:val="nil"/>
              <w:bottom w:val="single" w:sz="4" w:space="0" w:color="auto"/>
              <w:right w:val="single" w:sz="4" w:space="0" w:color="auto"/>
            </w:tcBorders>
            <w:shd w:val="clear" w:color="auto" w:fill="auto"/>
            <w:noWrap/>
            <w:vAlign w:val="bottom"/>
            <w:hideMark/>
          </w:tcPr>
          <w:p w14:paraId="0DCCB814" w14:textId="2BB99ED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745,15</w:t>
            </w:r>
            <w:r w:rsidR="00046A7A">
              <w:rPr>
                <w:rFonts w:eastAsia="Times New Roman" w:cstheme="minorHAnsi"/>
                <w:color w:val="000000"/>
                <w:sz w:val="16"/>
                <w:szCs w:val="16"/>
                <w:lang w:eastAsia="en-AU"/>
              </w:rPr>
              <w:t>4</w:t>
            </w:r>
            <w:r w:rsidRPr="00B23317">
              <w:rPr>
                <w:rFonts w:eastAsia="Times New Roman" w:cstheme="minorHAnsi"/>
                <w:color w:val="000000"/>
                <w:sz w:val="16"/>
                <w:szCs w:val="16"/>
                <w:lang w:eastAsia="en-AU"/>
              </w:rPr>
              <w:t xml:space="preserve"> </w:t>
            </w:r>
          </w:p>
        </w:tc>
        <w:tc>
          <w:tcPr>
            <w:tcW w:w="338" w:type="pct"/>
            <w:tcBorders>
              <w:top w:val="nil"/>
              <w:left w:val="nil"/>
              <w:bottom w:val="single" w:sz="4" w:space="0" w:color="auto"/>
              <w:right w:val="single" w:sz="4" w:space="0" w:color="auto"/>
            </w:tcBorders>
            <w:shd w:val="clear" w:color="auto" w:fill="auto"/>
            <w:noWrap/>
            <w:vAlign w:val="bottom"/>
            <w:hideMark/>
          </w:tcPr>
          <w:p w14:paraId="01BE7FE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772,654 </w:t>
            </w:r>
          </w:p>
        </w:tc>
        <w:tc>
          <w:tcPr>
            <w:tcW w:w="338" w:type="pct"/>
            <w:tcBorders>
              <w:top w:val="nil"/>
              <w:left w:val="nil"/>
              <w:bottom w:val="single" w:sz="4" w:space="0" w:color="auto"/>
              <w:right w:val="single" w:sz="4" w:space="0" w:color="auto"/>
            </w:tcBorders>
            <w:shd w:val="clear" w:color="000000" w:fill="D9D9D9"/>
            <w:noWrap/>
            <w:vAlign w:val="bottom"/>
            <w:hideMark/>
          </w:tcPr>
          <w:p w14:paraId="043C9F74" w14:textId="670FA369"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-27,50</w:t>
            </w:r>
            <w:r w:rsidR="00046A7A">
              <w:rPr>
                <w:rFonts w:eastAsia="Times New Roman" w:cstheme="minorHAnsi"/>
                <w:color w:val="FF0000"/>
                <w:sz w:val="16"/>
                <w:szCs w:val="16"/>
                <w:lang w:eastAsia="en-AU"/>
              </w:rPr>
              <w:t>0</w:t>
            </w:r>
            <w:r w:rsidRPr="00B23317">
              <w:rPr>
                <w:rFonts w:eastAsia="Times New Roman" w:cstheme="minorHAnsi"/>
                <w:color w:val="FF0000"/>
                <w:sz w:val="16"/>
                <w:szCs w:val="16"/>
                <w:lang w:eastAsia="en-AU"/>
              </w:rPr>
              <w:t xml:space="preserve">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4BDC7E9"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-3.6%</w:t>
            </w:r>
          </w:p>
        </w:tc>
        <w:tc>
          <w:tcPr>
            <w:tcW w:w="288" w:type="pct"/>
            <w:tcBorders>
              <w:top w:val="nil"/>
              <w:left w:val="nil"/>
              <w:bottom w:val="single" w:sz="4" w:space="0" w:color="auto"/>
              <w:right w:val="single" w:sz="4" w:space="0" w:color="auto"/>
            </w:tcBorders>
            <w:shd w:val="clear" w:color="auto" w:fill="auto"/>
            <w:noWrap/>
            <w:vAlign w:val="bottom"/>
            <w:hideMark/>
          </w:tcPr>
          <w:p w14:paraId="1FAB0AE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29,857 </w:t>
            </w:r>
          </w:p>
        </w:tc>
        <w:tc>
          <w:tcPr>
            <w:tcW w:w="352" w:type="pct"/>
            <w:tcBorders>
              <w:top w:val="nil"/>
              <w:left w:val="nil"/>
              <w:bottom w:val="single" w:sz="4" w:space="0" w:color="auto"/>
              <w:right w:val="single" w:sz="4" w:space="0" w:color="auto"/>
            </w:tcBorders>
            <w:shd w:val="clear" w:color="auto" w:fill="auto"/>
            <w:noWrap/>
            <w:vAlign w:val="bottom"/>
            <w:hideMark/>
          </w:tcPr>
          <w:p w14:paraId="7FCE25A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41,722 </w:t>
            </w:r>
          </w:p>
        </w:tc>
        <w:tc>
          <w:tcPr>
            <w:tcW w:w="320" w:type="pct"/>
            <w:tcBorders>
              <w:top w:val="nil"/>
              <w:left w:val="nil"/>
              <w:bottom w:val="single" w:sz="4" w:space="0" w:color="auto"/>
              <w:right w:val="single" w:sz="4" w:space="0" w:color="auto"/>
            </w:tcBorders>
            <w:shd w:val="clear" w:color="000000" w:fill="D9D9D9"/>
            <w:noWrap/>
            <w:vAlign w:val="bottom"/>
            <w:hideMark/>
          </w:tcPr>
          <w:p w14:paraId="228694A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-11,865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0018FF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-28.4%</w:t>
            </w:r>
          </w:p>
        </w:tc>
        <w:tc>
          <w:tcPr>
            <w:tcW w:w="275" w:type="pct"/>
            <w:tcBorders>
              <w:top w:val="nil"/>
              <w:left w:val="nil"/>
              <w:bottom w:val="single" w:sz="4" w:space="0" w:color="auto"/>
              <w:right w:val="single" w:sz="4" w:space="0" w:color="auto"/>
            </w:tcBorders>
            <w:shd w:val="clear" w:color="auto" w:fill="auto"/>
            <w:noWrap/>
            <w:vAlign w:val="bottom"/>
            <w:hideMark/>
          </w:tcPr>
          <w:p w14:paraId="76FD445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150,054 </w:t>
            </w:r>
          </w:p>
        </w:tc>
        <w:tc>
          <w:tcPr>
            <w:tcW w:w="275" w:type="pct"/>
            <w:tcBorders>
              <w:top w:val="nil"/>
              <w:left w:val="nil"/>
              <w:bottom w:val="single" w:sz="4" w:space="0" w:color="auto"/>
              <w:right w:val="single" w:sz="4" w:space="0" w:color="auto"/>
            </w:tcBorders>
            <w:shd w:val="clear" w:color="auto" w:fill="auto"/>
            <w:noWrap/>
            <w:vAlign w:val="bottom"/>
            <w:hideMark/>
          </w:tcPr>
          <w:p w14:paraId="6D335AE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180,009 </w:t>
            </w:r>
          </w:p>
        </w:tc>
        <w:tc>
          <w:tcPr>
            <w:tcW w:w="275" w:type="pct"/>
            <w:tcBorders>
              <w:top w:val="nil"/>
              <w:left w:val="nil"/>
              <w:bottom w:val="single" w:sz="4" w:space="0" w:color="auto"/>
              <w:right w:val="single" w:sz="4" w:space="0" w:color="auto"/>
            </w:tcBorders>
            <w:shd w:val="clear" w:color="000000" w:fill="D9D9D9"/>
            <w:noWrap/>
            <w:vAlign w:val="bottom"/>
            <w:hideMark/>
          </w:tcPr>
          <w:p w14:paraId="66332AA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-29,955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F847AC"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-16.6%</w:t>
            </w:r>
          </w:p>
        </w:tc>
      </w:tr>
      <w:tr w:rsidR="00304440" w:rsidRPr="00B23317" w14:paraId="7DF7AC8F"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668CC8B6"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University of Tasmania</w:t>
            </w:r>
          </w:p>
        </w:tc>
        <w:tc>
          <w:tcPr>
            <w:tcW w:w="338" w:type="pct"/>
            <w:tcBorders>
              <w:top w:val="nil"/>
              <w:left w:val="nil"/>
              <w:bottom w:val="single" w:sz="4" w:space="0" w:color="auto"/>
              <w:right w:val="single" w:sz="4" w:space="0" w:color="auto"/>
            </w:tcBorders>
            <w:shd w:val="clear" w:color="auto" w:fill="auto"/>
            <w:noWrap/>
            <w:vAlign w:val="bottom"/>
            <w:hideMark/>
          </w:tcPr>
          <w:p w14:paraId="41FCDCC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713,244 </w:t>
            </w:r>
          </w:p>
        </w:tc>
        <w:tc>
          <w:tcPr>
            <w:tcW w:w="338" w:type="pct"/>
            <w:tcBorders>
              <w:top w:val="nil"/>
              <w:left w:val="nil"/>
              <w:bottom w:val="single" w:sz="4" w:space="0" w:color="auto"/>
              <w:right w:val="single" w:sz="4" w:space="0" w:color="auto"/>
            </w:tcBorders>
            <w:shd w:val="clear" w:color="auto" w:fill="auto"/>
            <w:noWrap/>
            <w:vAlign w:val="bottom"/>
            <w:hideMark/>
          </w:tcPr>
          <w:p w14:paraId="1CAEEFB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769,330 </w:t>
            </w:r>
          </w:p>
        </w:tc>
        <w:tc>
          <w:tcPr>
            <w:tcW w:w="338" w:type="pct"/>
            <w:tcBorders>
              <w:top w:val="nil"/>
              <w:left w:val="nil"/>
              <w:bottom w:val="single" w:sz="4" w:space="0" w:color="auto"/>
              <w:right w:val="single" w:sz="4" w:space="0" w:color="auto"/>
            </w:tcBorders>
            <w:shd w:val="clear" w:color="000000" w:fill="D9D9D9"/>
            <w:noWrap/>
            <w:vAlign w:val="bottom"/>
            <w:hideMark/>
          </w:tcPr>
          <w:p w14:paraId="7E2F6AD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-56,086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C22A3C0"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-7.3%</w:t>
            </w:r>
          </w:p>
        </w:tc>
        <w:tc>
          <w:tcPr>
            <w:tcW w:w="288" w:type="pct"/>
            <w:tcBorders>
              <w:top w:val="nil"/>
              <w:left w:val="nil"/>
              <w:bottom w:val="single" w:sz="4" w:space="0" w:color="auto"/>
              <w:right w:val="single" w:sz="4" w:space="0" w:color="auto"/>
            </w:tcBorders>
            <w:shd w:val="clear" w:color="auto" w:fill="auto"/>
            <w:noWrap/>
            <w:vAlign w:val="bottom"/>
            <w:hideMark/>
          </w:tcPr>
          <w:p w14:paraId="57F1017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5,371 </w:t>
            </w:r>
          </w:p>
        </w:tc>
        <w:tc>
          <w:tcPr>
            <w:tcW w:w="352" w:type="pct"/>
            <w:tcBorders>
              <w:top w:val="nil"/>
              <w:left w:val="nil"/>
              <w:bottom w:val="single" w:sz="4" w:space="0" w:color="auto"/>
              <w:right w:val="single" w:sz="4" w:space="0" w:color="auto"/>
            </w:tcBorders>
            <w:shd w:val="clear" w:color="auto" w:fill="auto"/>
            <w:noWrap/>
            <w:vAlign w:val="bottom"/>
            <w:hideMark/>
          </w:tcPr>
          <w:p w14:paraId="53D166A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76,436 </w:t>
            </w:r>
          </w:p>
        </w:tc>
        <w:tc>
          <w:tcPr>
            <w:tcW w:w="320" w:type="pct"/>
            <w:tcBorders>
              <w:top w:val="nil"/>
              <w:left w:val="nil"/>
              <w:bottom w:val="single" w:sz="4" w:space="0" w:color="auto"/>
              <w:right w:val="single" w:sz="4" w:space="0" w:color="auto"/>
            </w:tcBorders>
            <w:shd w:val="clear" w:color="000000" w:fill="D9D9D9"/>
            <w:noWrap/>
            <w:vAlign w:val="bottom"/>
            <w:hideMark/>
          </w:tcPr>
          <w:p w14:paraId="235AFDC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-71,065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4C6026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-93.0%</w:t>
            </w:r>
          </w:p>
        </w:tc>
        <w:tc>
          <w:tcPr>
            <w:tcW w:w="275" w:type="pct"/>
            <w:tcBorders>
              <w:top w:val="nil"/>
              <w:left w:val="nil"/>
              <w:bottom w:val="single" w:sz="4" w:space="0" w:color="auto"/>
              <w:right w:val="single" w:sz="4" w:space="0" w:color="auto"/>
            </w:tcBorders>
            <w:shd w:val="clear" w:color="auto" w:fill="auto"/>
            <w:noWrap/>
            <w:vAlign w:val="bottom"/>
            <w:hideMark/>
          </w:tcPr>
          <w:p w14:paraId="6B57C83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130,101 </w:t>
            </w:r>
          </w:p>
        </w:tc>
        <w:tc>
          <w:tcPr>
            <w:tcW w:w="275" w:type="pct"/>
            <w:tcBorders>
              <w:top w:val="nil"/>
              <w:left w:val="nil"/>
              <w:bottom w:val="single" w:sz="4" w:space="0" w:color="auto"/>
              <w:right w:val="single" w:sz="4" w:space="0" w:color="auto"/>
            </w:tcBorders>
            <w:shd w:val="clear" w:color="auto" w:fill="auto"/>
            <w:noWrap/>
            <w:vAlign w:val="bottom"/>
            <w:hideMark/>
          </w:tcPr>
          <w:p w14:paraId="21A9D8A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139,636 </w:t>
            </w:r>
          </w:p>
        </w:tc>
        <w:tc>
          <w:tcPr>
            <w:tcW w:w="275" w:type="pct"/>
            <w:tcBorders>
              <w:top w:val="nil"/>
              <w:left w:val="nil"/>
              <w:bottom w:val="single" w:sz="4" w:space="0" w:color="auto"/>
              <w:right w:val="single" w:sz="4" w:space="0" w:color="auto"/>
            </w:tcBorders>
            <w:shd w:val="clear" w:color="000000" w:fill="D9D9D9"/>
            <w:noWrap/>
            <w:vAlign w:val="bottom"/>
            <w:hideMark/>
          </w:tcPr>
          <w:p w14:paraId="0BE9485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-9,535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8860D6"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-6.8%</w:t>
            </w:r>
          </w:p>
        </w:tc>
      </w:tr>
      <w:tr w:rsidR="00304440" w:rsidRPr="00B23317" w14:paraId="6608C5BD"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1A3DA58"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University of South Australia</w:t>
            </w:r>
          </w:p>
        </w:tc>
        <w:tc>
          <w:tcPr>
            <w:tcW w:w="338" w:type="pct"/>
            <w:tcBorders>
              <w:top w:val="nil"/>
              <w:left w:val="nil"/>
              <w:bottom w:val="single" w:sz="4" w:space="0" w:color="auto"/>
              <w:right w:val="single" w:sz="4" w:space="0" w:color="auto"/>
            </w:tcBorders>
            <w:shd w:val="clear" w:color="auto" w:fill="auto"/>
            <w:noWrap/>
            <w:vAlign w:val="bottom"/>
            <w:hideMark/>
          </w:tcPr>
          <w:p w14:paraId="25FC272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696,051 </w:t>
            </w:r>
          </w:p>
        </w:tc>
        <w:tc>
          <w:tcPr>
            <w:tcW w:w="338" w:type="pct"/>
            <w:tcBorders>
              <w:top w:val="nil"/>
              <w:left w:val="nil"/>
              <w:bottom w:val="single" w:sz="4" w:space="0" w:color="auto"/>
              <w:right w:val="single" w:sz="4" w:space="0" w:color="auto"/>
            </w:tcBorders>
            <w:shd w:val="clear" w:color="auto" w:fill="auto"/>
            <w:noWrap/>
            <w:vAlign w:val="bottom"/>
            <w:hideMark/>
          </w:tcPr>
          <w:p w14:paraId="5575E99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684,676 </w:t>
            </w:r>
          </w:p>
        </w:tc>
        <w:tc>
          <w:tcPr>
            <w:tcW w:w="338" w:type="pct"/>
            <w:tcBorders>
              <w:top w:val="nil"/>
              <w:left w:val="nil"/>
              <w:bottom w:val="single" w:sz="4" w:space="0" w:color="auto"/>
              <w:right w:val="single" w:sz="4" w:space="0" w:color="auto"/>
            </w:tcBorders>
            <w:shd w:val="clear" w:color="000000" w:fill="D9D9D9"/>
            <w:noWrap/>
            <w:vAlign w:val="bottom"/>
            <w:hideMark/>
          </w:tcPr>
          <w:p w14:paraId="278E2B9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11,375 </w:t>
            </w:r>
          </w:p>
        </w:tc>
        <w:tc>
          <w:tcPr>
            <w:tcW w:w="338" w:type="pct"/>
            <w:tcBorders>
              <w:top w:val="nil"/>
              <w:left w:val="nil"/>
              <w:bottom w:val="single" w:sz="4" w:space="0" w:color="auto"/>
              <w:right w:val="single" w:sz="4" w:space="0" w:color="auto"/>
            </w:tcBorders>
            <w:shd w:val="clear" w:color="000000" w:fill="D9D9D9"/>
            <w:noWrap/>
            <w:vAlign w:val="bottom"/>
            <w:hideMark/>
          </w:tcPr>
          <w:p w14:paraId="142AA6AF"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1.7%</w:t>
            </w:r>
          </w:p>
        </w:tc>
        <w:tc>
          <w:tcPr>
            <w:tcW w:w="288" w:type="pct"/>
            <w:tcBorders>
              <w:top w:val="nil"/>
              <w:left w:val="nil"/>
              <w:bottom w:val="single" w:sz="4" w:space="0" w:color="auto"/>
              <w:right w:val="single" w:sz="4" w:space="0" w:color="auto"/>
            </w:tcBorders>
            <w:shd w:val="clear" w:color="auto" w:fill="auto"/>
            <w:noWrap/>
            <w:vAlign w:val="bottom"/>
            <w:hideMark/>
          </w:tcPr>
          <w:p w14:paraId="434939D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9,331 </w:t>
            </w:r>
          </w:p>
        </w:tc>
        <w:tc>
          <w:tcPr>
            <w:tcW w:w="352" w:type="pct"/>
            <w:tcBorders>
              <w:top w:val="nil"/>
              <w:left w:val="nil"/>
              <w:bottom w:val="single" w:sz="4" w:space="0" w:color="auto"/>
              <w:right w:val="single" w:sz="4" w:space="0" w:color="auto"/>
            </w:tcBorders>
            <w:shd w:val="clear" w:color="auto" w:fill="auto"/>
            <w:noWrap/>
            <w:vAlign w:val="bottom"/>
            <w:hideMark/>
          </w:tcPr>
          <w:p w14:paraId="6B3D357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6,563 </w:t>
            </w:r>
          </w:p>
        </w:tc>
        <w:tc>
          <w:tcPr>
            <w:tcW w:w="320" w:type="pct"/>
            <w:tcBorders>
              <w:top w:val="nil"/>
              <w:left w:val="nil"/>
              <w:bottom w:val="single" w:sz="4" w:space="0" w:color="auto"/>
              <w:right w:val="single" w:sz="4" w:space="0" w:color="auto"/>
            </w:tcBorders>
            <w:shd w:val="clear" w:color="000000" w:fill="D9D9D9"/>
            <w:noWrap/>
            <w:vAlign w:val="bottom"/>
            <w:hideMark/>
          </w:tcPr>
          <w:p w14:paraId="2638E4D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2,768 </w:t>
            </w:r>
          </w:p>
        </w:tc>
        <w:tc>
          <w:tcPr>
            <w:tcW w:w="320" w:type="pct"/>
            <w:tcBorders>
              <w:top w:val="nil"/>
              <w:left w:val="nil"/>
              <w:bottom w:val="single" w:sz="4" w:space="0" w:color="auto"/>
              <w:right w:val="single" w:sz="4" w:space="0" w:color="auto"/>
            </w:tcBorders>
            <w:shd w:val="clear" w:color="000000" w:fill="D9D9D9"/>
            <w:noWrap/>
            <w:vAlign w:val="bottom"/>
            <w:hideMark/>
          </w:tcPr>
          <w:p w14:paraId="6FAF87AF"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42.2%</w:t>
            </w:r>
          </w:p>
        </w:tc>
        <w:tc>
          <w:tcPr>
            <w:tcW w:w="275" w:type="pct"/>
            <w:tcBorders>
              <w:top w:val="nil"/>
              <w:left w:val="nil"/>
              <w:bottom w:val="single" w:sz="4" w:space="0" w:color="auto"/>
              <w:right w:val="single" w:sz="4" w:space="0" w:color="auto"/>
            </w:tcBorders>
            <w:shd w:val="clear" w:color="auto" w:fill="auto"/>
            <w:noWrap/>
            <w:vAlign w:val="bottom"/>
            <w:hideMark/>
          </w:tcPr>
          <w:p w14:paraId="3BF5294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150,019 </w:t>
            </w:r>
          </w:p>
        </w:tc>
        <w:tc>
          <w:tcPr>
            <w:tcW w:w="275" w:type="pct"/>
            <w:tcBorders>
              <w:top w:val="nil"/>
              <w:left w:val="nil"/>
              <w:bottom w:val="single" w:sz="4" w:space="0" w:color="auto"/>
              <w:right w:val="single" w:sz="4" w:space="0" w:color="auto"/>
            </w:tcBorders>
            <w:shd w:val="clear" w:color="auto" w:fill="auto"/>
            <w:noWrap/>
            <w:vAlign w:val="bottom"/>
            <w:hideMark/>
          </w:tcPr>
          <w:p w14:paraId="473D676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147,047 </w:t>
            </w:r>
          </w:p>
        </w:tc>
        <w:tc>
          <w:tcPr>
            <w:tcW w:w="275" w:type="pct"/>
            <w:tcBorders>
              <w:top w:val="nil"/>
              <w:left w:val="nil"/>
              <w:bottom w:val="single" w:sz="4" w:space="0" w:color="auto"/>
              <w:right w:val="single" w:sz="4" w:space="0" w:color="auto"/>
            </w:tcBorders>
            <w:shd w:val="clear" w:color="000000" w:fill="D9D9D9"/>
            <w:noWrap/>
            <w:vAlign w:val="bottom"/>
            <w:hideMark/>
          </w:tcPr>
          <w:p w14:paraId="19B5AA4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2,972 </w:t>
            </w:r>
          </w:p>
        </w:tc>
        <w:tc>
          <w:tcPr>
            <w:tcW w:w="275" w:type="pct"/>
            <w:tcBorders>
              <w:top w:val="nil"/>
              <w:left w:val="nil"/>
              <w:bottom w:val="single" w:sz="4" w:space="0" w:color="auto"/>
              <w:right w:val="single" w:sz="4" w:space="0" w:color="auto"/>
            </w:tcBorders>
            <w:shd w:val="clear" w:color="000000" w:fill="D9D9D9"/>
            <w:noWrap/>
            <w:vAlign w:val="bottom"/>
            <w:hideMark/>
          </w:tcPr>
          <w:p w14:paraId="69511112"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2.0%</w:t>
            </w:r>
          </w:p>
        </w:tc>
      </w:tr>
      <w:tr w:rsidR="00304440" w:rsidRPr="00B23317" w14:paraId="4811208B"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996DA91"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University of Wollongong</w:t>
            </w:r>
          </w:p>
        </w:tc>
        <w:tc>
          <w:tcPr>
            <w:tcW w:w="338" w:type="pct"/>
            <w:tcBorders>
              <w:top w:val="nil"/>
              <w:left w:val="nil"/>
              <w:bottom w:val="single" w:sz="4" w:space="0" w:color="auto"/>
              <w:right w:val="single" w:sz="4" w:space="0" w:color="auto"/>
            </w:tcBorders>
            <w:shd w:val="clear" w:color="auto" w:fill="auto"/>
            <w:noWrap/>
            <w:vAlign w:val="bottom"/>
            <w:hideMark/>
          </w:tcPr>
          <w:p w14:paraId="2B4BF6F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620,343 </w:t>
            </w:r>
          </w:p>
        </w:tc>
        <w:tc>
          <w:tcPr>
            <w:tcW w:w="338" w:type="pct"/>
            <w:tcBorders>
              <w:top w:val="nil"/>
              <w:left w:val="nil"/>
              <w:bottom w:val="single" w:sz="4" w:space="0" w:color="auto"/>
              <w:right w:val="single" w:sz="4" w:space="0" w:color="auto"/>
            </w:tcBorders>
            <w:shd w:val="clear" w:color="auto" w:fill="auto"/>
            <w:noWrap/>
            <w:vAlign w:val="bottom"/>
            <w:hideMark/>
          </w:tcPr>
          <w:p w14:paraId="1C4F541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690,882 </w:t>
            </w:r>
          </w:p>
        </w:tc>
        <w:tc>
          <w:tcPr>
            <w:tcW w:w="338" w:type="pct"/>
            <w:tcBorders>
              <w:top w:val="nil"/>
              <w:left w:val="nil"/>
              <w:bottom w:val="single" w:sz="4" w:space="0" w:color="auto"/>
              <w:right w:val="single" w:sz="4" w:space="0" w:color="auto"/>
            </w:tcBorders>
            <w:shd w:val="clear" w:color="000000" w:fill="D9D9D9"/>
            <w:noWrap/>
            <w:vAlign w:val="bottom"/>
            <w:hideMark/>
          </w:tcPr>
          <w:p w14:paraId="2A5A3D8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-70,539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2F6C326"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-10.2%</w:t>
            </w:r>
          </w:p>
        </w:tc>
        <w:tc>
          <w:tcPr>
            <w:tcW w:w="288" w:type="pct"/>
            <w:tcBorders>
              <w:top w:val="nil"/>
              <w:left w:val="nil"/>
              <w:bottom w:val="single" w:sz="4" w:space="0" w:color="auto"/>
              <w:right w:val="single" w:sz="4" w:space="0" w:color="auto"/>
            </w:tcBorders>
            <w:shd w:val="clear" w:color="auto" w:fill="auto"/>
            <w:noWrap/>
            <w:vAlign w:val="bottom"/>
            <w:hideMark/>
          </w:tcPr>
          <w:p w14:paraId="2FA96C9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3,906 </w:t>
            </w:r>
          </w:p>
        </w:tc>
        <w:tc>
          <w:tcPr>
            <w:tcW w:w="352" w:type="pct"/>
            <w:tcBorders>
              <w:top w:val="nil"/>
              <w:left w:val="nil"/>
              <w:bottom w:val="single" w:sz="4" w:space="0" w:color="auto"/>
              <w:right w:val="single" w:sz="4" w:space="0" w:color="auto"/>
            </w:tcBorders>
            <w:shd w:val="clear" w:color="auto" w:fill="auto"/>
            <w:noWrap/>
            <w:vAlign w:val="bottom"/>
            <w:hideMark/>
          </w:tcPr>
          <w:p w14:paraId="11B8746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50,364 </w:t>
            </w:r>
          </w:p>
        </w:tc>
        <w:tc>
          <w:tcPr>
            <w:tcW w:w="320" w:type="pct"/>
            <w:tcBorders>
              <w:top w:val="nil"/>
              <w:left w:val="nil"/>
              <w:bottom w:val="single" w:sz="4" w:space="0" w:color="auto"/>
              <w:right w:val="single" w:sz="4" w:space="0" w:color="auto"/>
            </w:tcBorders>
            <w:shd w:val="clear" w:color="000000" w:fill="D9D9D9"/>
            <w:noWrap/>
            <w:vAlign w:val="bottom"/>
            <w:hideMark/>
          </w:tcPr>
          <w:p w14:paraId="6C56D4E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-46,458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A31BBCA"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-92.2%</w:t>
            </w:r>
          </w:p>
        </w:tc>
        <w:tc>
          <w:tcPr>
            <w:tcW w:w="275" w:type="pct"/>
            <w:tcBorders>
              <w:top w:val="nil"/>
              <w:left w:val="nil"/>
              <w:bottom w:val="single" w:sz="4" w:space="0" w:color="auto"/>
              <w:right w:val="single" w:sz="4" w:space="0" w:color="auto"/>
            </w:tcBorders>
            <w:shd w:val="clear" w:color="auto" w:fill="auto"/>
            <w:noWrap/>
            <w:vAlign w:val="bottom"/>
            <w:hideMark/>
          </w:tcPr>
          <w:p w14:paraId="40FE1E8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144,558 </w:t>
            </w:r>
          </w:p>
        </w:tc>
        <w:tc>
          <w:tcPr>
            <w:tcW w:w="275" w:type="pct"/>
            <w:tcBorders>
              <w:top w:val="nil"/>
              <w:left w:val="nil"/>
              <w:bottom w:val="single" w:sz="4" w:space="0" w:color="auto"/>
              <w:right w:val="single" w:sz="4" w:space="0" w:color="auto"/>
            </w:tcBorders>
            <w:shd w:val="clear" w:color="auto" w:fill="auto"/>
            <w:noWrap/>
            <w:vAlign w:val="bottom"/>
            <w:hideMark/>
          </w:tcPr>
          <w:p w14:paraId="6FE7162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179,971 </w:t>
            </w:r>
          </w:p>
        </w:tc>
        <w:tc>
          <w:tcPr>
            <w:tcW w:w="275" w:type="pct"/>
            <w:tcBorders>
              <w:top w:val="nil"/>
              <w:left w:val="nil"/>
              <w:bottom w:val="single" w:sz="4" w:space="0" w:color="auto"/>
              <w:right w:val="single" w:sz="4" w:space="0" w:color="auto"/>
            </w:tcBorders>
            <w:shd w:val="clear" w:color="000000" w:fill="D9D9D9"/>
            <w:noWrap/>
            <w:vAlign w:val="bottom"/>
            <w:hideMark/>
          </w:tcPr>
          <w:p w14:paraId="0F4AF8C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-35,413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3756FE"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-19.7%</w:t>
            </w:r>
          </w:p>
        </w:tc>
      </w:tr>
      <w:tr w:rsidR="00304440" w:rsidRPr="00B23317" w14:paraId="02DA9BE7"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41A5F45"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Charles Sturt University</w:t>
            </w:r>
          </w:p>
        </w:tc>
        <w:tc>
          <w:tcPr>
            <w:tcW w:w="338" w:type="pct"/>
            <w:tcBorders>
              <w:top w:val="nil"/>
              <w:left w:val="nil"/>
              <w:bottom w:val="single" w:sz="4" w:space="0" w:color="auto"/>
              <w:right w:val="single" w:sz="4" w:space="0" w:color="auto"/>
            </w:tcBorders>
            <w:shd w:val="clear" w:color="auto" w:fill="auto"/>
            <w:noWrap/>
            <w:vAlign w:val="bottom"/>
            <w:hideMark/>
          </w:tcPr>
          <w:p w14:paraId="12C5ADB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569,210 </w:t>
            </w:r>
          </w:p>
        </w:tc>
        <w:tc>
          <w:tcPr>
            <w:tcW w:w="338" w:type="pct"/>
            <w:tcBorders>
              <w:top w:val="nil"/>
              <w:left w:val="nil"/>
              <w:bottom w:val="single" w:sz="4" w:space="0" w:color="auto"/>
              <w:right w:val="single" w:sz="4" w:space="0" w:color="auto"/>
            </w:tcBorders>
            <w:shd w:val="clear" w:color="auto" w:fill="auto"/>
            <w:noWrap/>
            <w:vAlign w:val="bottom"/>
            <w:hideMark/>
          </w:tcPr>
          <w:p w14:paraId="44A507B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616,811 </w:t>
            </w:r>
          </w:p>
        </w:tc>
        <w:tc>
          <w:tcPr>
            <w:tcW w:w="338" w:type="pct"/>
            <w:tcBorders>
              <w:top w:val="nil"/>
              <w:left w:val="nil"/>
              <w:bottom w:val="single" w:sz="4" w:space="0" w:color="auto"/>
              <w:right w:val="single" w:sz="4" w:space="0" w:color="auto"/>
            </w:tcBorders>
            <w:shd w:val="clear" w:color="000000" w:fill="D9D9D9"/>
            <w:noWrap/>
            <w:vAlign w:val="bottom"/>
            <w:hideMark/>
          </w:tcPr>
          <w:p w14:paraId="0A24C11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-47,601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F10FE4D"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-7.7%</w:t>
            </w:r>
          </w:p>
        </w:tc>
        <w:tc>
          <w:tcPr>
            <w:tcW w:w="288" w:type="pct"/>
            <w:tcBorders>
              <w:top w:val="nil"/>
              <w:left w:val="nil"/>
              <w:bottom w:val="single" w:sz="4" w:space="0" w:color="auto"/>
              <w:right w:val="single" w:sz="4" w:space="0" w:color="auto"/>
            </w:tcBorders>
            <w:shd w:val="clear" w:color="auto" w:fill="auto"/>
            <w:noWrap/>
            <w:vAlign w:val="bottom"/>
            <w:hideMark/>
          </w:tcPr>
          <w:p w14:paraId="09F8B37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19,455 </w:t>
            </w:r>
          </w:p>
        </w:tc>
        <w:tc>
          <w:tcPr>
            <w:tcW w:w="352" w:type="pct"/>
            <w:tcBorders>
              <w:top w:val="nil"/>
              <w:left w:val="nil"/>
              <w:bottom w:val="single" w:sz="4" w:space="0" w:color="auto"/>
              <w:right w:val="single" w:sz="4" w:space="0" w:color="auto"/>
            </w:tcBorders>
            <w:shd w:val="clear" w:color="auto" w:fill="auto"/>
            <w:noWrap/>
            <w:vAlign w:val="bottom"/>
            <w:hideMark/>
          </w:tcPr>
          <w:p w14:paraId="250A318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32,736 </w:t>
            </w:r>
          </w:p>
        </w:tc>
        <w:tc>
          <w:tcPr>
            <w:tcW w:w="320" w:type="pct"/>
            <w:tcBorders>
              <w:top w:val="nil"/>
              <w:left w:val="nil"/>
              <w:bottom w:val="single" w:sz="4" w:space="0" w:color="auto"/>
              <w:right w:val="single" w:sz="4" w:space="0" w:color="auto"/>
            </w:tcBorders>
            <w:shd w:val="clear" w:color="000000" w:fill="D9D9D9"/>
            <w:noWrap/>
            <w:vAlign w:val="bottom"/>
            <w:hideMark/>
          </w:tcPr>
          <w:p w14:paraId="131BCD1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-13,281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C9776D2"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-40.6%</w:t>
            </w:r>
          </w:p>
        </w:tc>
        <w:tc>
          <w:tcPr>
            <w:tcW w:w="275" w:type="pct"/>
            <w:tcBorders>
              <w:top w:val="nil"/>
              <w:left w:val="nil"/>
              <w:bottom w:val="single" w:sz="4" w:space="0" w:color="auto"/>
              <w:right w:val="single" w:sz="4" w:space="0" w:color="auto"/>
            </w:tcBorders>
            <w:shd w:val="clear" w:color="auto" w:fill="auto"/>
            <w:noWrap/>
            <w:vAlign w:val="bottom"/>
            <w:hideMark/>
          </w:tcPr>
          <w:p w14:paraId="49B6281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113,503 </w:t>
            </w:r>
          </w:p>
        </w:tc>
        <w:tc>
          <w:tcPr>
            <w:tcW w:w="275" w:type="pct"/>
            <w:tcBorders>
              <w:top w:val="nil"/>
              <w:left w:val="nil"/>
              <w:bottom w:val="single" w:sz="4" w:space="0" w:color="auto"/>
              <w:right w:val="single" w:sz="4" w:space="0" w:color="auto"/>
            </w:tcBorders>
            <w:shd w:val="clear" w:color="auto" w:fill="auto"/>
            <w:noWrap/>
            <w:vAlign w:val="bottom"/>
            <w:hideMark/>
          </w:tcPr>
          <w:p w14:paraId="6C2DA17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154,394 </w:t>
            </w:r>
          </w:p>
        </w:tc>
        <w:tc>
          <w:tcPr>
            <w:tcW w:w="275" w:type="pct"/>
            <w:tcBorders>
              <w:top w:val="nil"/>
              <w:left w:val="nil"/>
              <w:bottom w:val="single" w:sz="4" w:space="0" w:color="auto"/>
              <w:right w:val="single" w:sz="4" w:space="0" w:color="auto"/>
            </w:tcBorders>
            <w:shd w:val="clear" w:color="000000" w:fill="D9D9D9"/>
            <w:noWrap/>
            <w:vAlign w:val="bottom"/>
            <w:hideMark/>
          </w:tcPr>
          <w:p w14:paraId="2D99717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-40,891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2A36EB2"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-26.5%</w:t>
            </w:r>
          </w:p>
        </w:tc>
      </w:tr>
      <w:tr w:rsidR="00304440" w:rsidRPr="00B23317" w14:paraId="27DA9315"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179B9C80"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Australian Catholic University</w:t>
            </w:r>
          </w:p>
        </w:tc>
        <w:tc>
          <w:tcPr>
            <w:tcW w:w="338" w:type="pct"/>
            <w:tcBorders>
              <w:top w:val="nil"/>
              <w:left w:val="nil"/>
              <w:bottom w:val="single" w:sz="4" w:space="0" w:color="auto"/>
              <w:right w:val="single" w:sz="4" w:space="0" w:color="auto"/>
            </w:tcBorders>
            <w:shd w:val="clear" w:color="auto" w:fill="auto"/>
            <w:noWrap/>
            <w:vAlign w:val="bottom"/>
            <w:hideMark/>
          </w:tcPr>
          <w:p w14:paraId="47CF9B1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555,205 </w:t>
            </w:r>
          </w:p>
        </w:tc>
        <w:tc>
          <w:tcPr>
            <w:tcW w:w="338" w:type="pct"/>
            <w:tcBorders>
              <w:top w:val="nil"/>
              <w:left w:val="nil"/>
              <w:bottom w:val="single" w:sz="4" w:space="0" w:color="auto"/>
              <w:right w:val="single" w:sz="4" w:space="0" w:color="auto"/>
            </w:tcBorders>
            <w:shd w:val="clear" w:color="auto" w:fill="auto"/>
            <w:noWrap/>
            <w:vAlign w:val="bottom"/>
            <w:hideMark/>
          </w:tcPr>
          <w:p w14:paraId="027DA1D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556,094 </w:t>
            </w:r>
          </w:p>
        </w:tc>
        <w:tc>
          <w:tcPr>
            <w:tcW w:w="338" w:type="pct"/>
            <w:tcBorders>
              <w:top w:val="nil"/>
              <w:left w:val="nil"/>
              <w:bottom w:val="single" w:sz="4" w:space="0" w:color="auto"/>
              <w:right w:val="single" w:sz="4" w:space="0" w:color="auto"/>
            </w:tcBorders>
            <w:shd w:val="clear" w:color="000000" w:fill="D9D9D9"/>
            <w:noWrap/>
            <w:vAlign w:val="bottom"/>
            <w:hideMark/>
          </w:tcPr>
          <w:p w14:paraId="28B7735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-889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0D02168"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-0.2%</w:t>
            </w:r>
          </w:p>
        </w:tc>
        <w:tc>
          <w:tcPr>
            <w:tcW w:w="288" w:type="pct"/>
            <w:tcBorders>
              <w:top w:val="nil"/>
              <w:left w:val="nil"/>
              <w:bottom w:val="single" w:sz="4" w:space="0" w:color="auto"/>
              <w:right w:val="single" w:sz="4" w:space="0" w:color="auto"/>
            </w:tcBorders>
            <w:shd w:val="clear" w:color="auto" w:fill="auto"/>
            <w:noWrap/>
            <w:vAlign w:val="bottom"/>
            <w:hideMark/>
          </w:tcPr>
          <w:p w14:paraId="6B9E4CA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7,066 </w:t>
            </w:r>
          </w:p>
        </w:tc>
        <w:tc>
          <w:tcPr>
            <w:tcW w:w="352" w:type="pct"/>
            <w:tcBorders>
              <w:top w:val="nil"/>
              <w:left w:val="nil"/>
              <w:bottom w:val="single" w:sz="4" w:space="0" w:color="auto"/>
              <w:right w:val="single" w:sz="4" w:space="0" w:color="auto"/>
            </w:tcBorders>
            <w:shd w:val="clear" w:color="auto" w:fill="auto"/>
            <w:noWrap/>
            <w:vAlign w:val="bottom"/>
            <w:hideMark/>
          </w:tcPr>
          <w:p w14:paraId="32EE78A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6,391 </w:t>
            </w:r>
          </w:p>
        </w:tc>
        <w:tc>
          <w:tcPr>
            <w:tcW w:w="320" w:type="pct"/>
            <w:tcBorders>
              <w:top w:val="nil"/>
              <w:left w:val="nil"/>
              <w:bottom w:val="single" w:sz="4" w:space="0" w:color="auto"/>
              <w:right w:val="single" w:sz="4" w:space="0" w:color="auto"/>
            </w:tcBorders>
            <w:shd w:val="clear" w:color="000000" w:fill="D9D9D9"/>
            <w:noWrap/>
            <w:vAlign w:val="bottom"/>
            <w:hideMark/>
          </w:tcPr>
          <w:p w14:paraId="0197997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675 </w:t>
            </w:r>
          </w:p>
        </w:tc>
        <w:tc>
          <w:tcPr>
            <w:tcW w:w="320" w:type="pct"/>
            <w:tcBorders>
              <w:top w:val="nil"/>
              <w:left w:val="nil"/>
              <w:bottom w:val="single" w:sz="4" w:space="0" w:color="auto"/>
              <w:right w:val="single" w:sz="4" w:space="0" w:color="auto"/>
            </w:tcBorders>
            <w:shd w:val="clear" w:color="000000" w:fill="D9D9D9"/>
            <w:noWrap/>
            <w:vAlign w:val="bottom"/>
            <w:hideMark/>
          </w:tcPr>
          <w:p w14:paraId="2FE7ABFF"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10.6%</w:t>
            </w:r>
          </w:p>
        </w:tc>
        <w:tc>
          <w:tcPr>
            <w:tcW w:w="275" w:type="pct"/>
            <w:tcBorders>
              <w:top w:val="nil"/>
              <w:left w:val="nil"/>
              <w:bottom w:val="single" w:sz="4" w:space="0" w:color="auto"/>
              <w:right w:val="single" w:sz="4" w:space="0" w:color="auto"/>
            </w:tcBorders>
            <w:shd w:val="clear" w:color="auto" w:fill="auto"/>
            <w:noWrap/>
            <w:vAlign w:val="bottom"/>
            <w:hideMark/>
          </w:tcPr>
          <w:p w14:paraId="65BE24D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79,098 </w:t>
            </w:r>
          </w:p>
        </w:tc>
        <w:tc>
          <w:tcPr>
            <w:tcW w:w="275" w:type="pct"/>
            <w:tcBorders>
              <w:top w:val="nil"/>
              <w:left w:val="nil"/>
              <w:bottom w:val="single" w:sz="4" w:space="0" w:color="auto"/>
              <w:right w:val="single" w:sz="4" w:space="0" w:color="auto"/>
            </w:tcBorders>
            <w:shd w:val="clear" w:color="auto" w:fill="auto"/>
            <w:noWrap/>
            <w:vAlign w:val="bottom"/>
            <w:hideMark/>
          </w:tcPr>
          <w:p w14:paraId="4A980AD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75,505 </w:t>
            </w:r>
          </w:p>
        </w:tc>
        <w:tc>
          <w:tcPr>
            <w:tcW w:w="275" w:type="pct"/>
            <w:tcBorders>
              <w:top w:val="nil"/>
              <w:left w:val="nil"/>
              <w:bottom w:val="single" w:sz="4" w:space="0" w:color="auto"/>
              <w:right w:val="single" w:sz="4" w:space="0" w:color="auto"/>
            </w:tcBorders>
            <w:shd w:val="clear" w:color="000000" w:fill="D9D9D9"/>
            <w:noWrap/>
            <w:vAlign w:val="bottom"/>
            <w:hideMark/>
          </w:tcPr>
          <w:p w14:paraId="45E5654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3,593 </w:t>
            </w:r>
          </w:p>
        </w:tc>
        <w:tc>
          <w:tcPr>
            <w:tcW w:w="275" w:type="pct"/>
            <w:tcBorders>
              <w:top w:val="nil"/>
              <w:left w:val="nil"/>
              <w:bottom w:val="single" w:sz="4" w:space="0" w:color="auto"/>
              <w:right w:val="single" w:sz="4" w:space="0" w:color="auto"/>
            </w:tcBorders>
            <w:shd w:val="clear" w:color="000000" w:fill="D9D9D9"/>
            <w:noWrap/>
            <w:vAlign w:val="bottom"/>
            <w:hideMark/>
          </w:tcPr>
          <w:p w14:paraId="0C6C0A7A"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4.8%</w:t>
            </w:r>
          </w:p>
        </w:tc>
      </w:tr>
      <w:tr w:rsidR="00304440" w:rsidRPr="00B23317" w14:paraId="71886F2F"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07495F47"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Flinders University</w:t>
            </w:r>
          </w:p>
        </w:tc>
        <w:tc>
          <w:tcPr>
            <w:tcW w:w="338" w:type="pct"/>
            <w:tcBorders>
              <w:top w:val="nil"/>
              <w:left w:val="nil"/>
              <w:bottom w:val="single" w:sz="4" w:space="0" w:color="auto"/>
              <w:right w:val="single" w:sz="4" w:space="0" w:color="auto"/>
            </w:tcBorders>
            <w:shd w:val="clear" w:color="auto" w:fill="auto"/>
            <w:noWrap/>
            <w:vAlign w:val="bottom"/>
            <w:hideMark/>
          </w:tcPr>
          <w:p w14:paraId="24D8E7A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532,198 </w:t>
            </w:r>
          </w:p>
        </w:tc>
        <w:tc>
          <w:tcPr>
            <w:tcW w:w="338" w:type="pct"/>
            <w:tcBorders>
              <w:top w:val="nil"/>
              <w:left w:val="nil"/>
              <w:bottom w:val="single" w:sz="4" w:space="0" w:color="auto"/>
              <w:right w:val="single" w:sz="4" w:space="0" w:color="auto"/>
            </w:tcBorders>
            <w:shd w:val="clear" w:color="auto" w:fill="auto"/>
            <w:noWrap/>
            <w:vAlign w:val="bottom"/>
            <w:hideMark/>
          </w:tcPr>
          <w:p w14:paraId="303CE39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527,561 </w:t>
            </w:r>
          </w:p>
        </w:tc>
        <w:tc>
          <w:tcPr>
            <w:tcW w:w="338" w:type="pct"/>
            <w:tcBorders>
              <w:top w:val="nil"/>
              <w:left w:val="nil"/>
              <w:bottom w:val="single" w:sz="4" w:space="0" w:color="auto"/>
              <w:right w:val="single" w:sz="4" w:space="0" w:color="auto"/>
            </w:tcBorders>
            <w:shd w:val="clear" w:color="000000" w:fill="D9D9D9"/>
            <w:noWrap/>
            <w:vAlign w:val="bottom"/>
            <w:hideMark/>
          </w:tcPr>
          <w:p w14:paraId="2AF3E87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4,637 </w:t>
            </w:r>
          </w:p>
        </w:tc>
        <w:tc>
          <w:tcPr>
            <w:tcW w:w="338" w:type="pct"/>
            <w:tcBorders>
              <w:top w:val="nil"/>
              <w:left w:val="nil"/>
              <w:bottom w:val="single" w:sz="4" w:space="0" w:color="auto"/>
              <w:right w:val="single" w:sz="4" w:space="0" w:color="auto"/>
            </w:tcBorders>
            <w:shd w:val="clear" w:color="000000" w:fill="D9D9D9"/>
            <w:noWrap/>
            <w:vAlign w:val="bottom"/>
            <w:hideMark/>
          </w:tcPr>
          <w:p w14:paraId="6A2A7B3E"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0.9%</w:t>
            </w:r>
          </w:p>
        </w:tc>
        <w:tc>
          <w:tcPr>
            <w:tcW w:w="288" w:type="pct"/>
            <w:tcBorders>
              <w:top w:val="nil"/>
              <w:left w:val="nil"/>
              <w:bottom w:val="single" w:sz="4" w:space="0" w:color="auto"/>
              <w:right w:val="single" w:sz="4" w:space="0" w:color="auto"/>
            </w:tcBorders>
            <w:shd w:val="clear" w:color="auto" w:fill="auto"/>
            <w:noWrap/>
            <w:vAlign w:val="bottom"/>
            <w:hideMark/>
          </w:tcPr>
          <w:p w14:paraId="7AC6DB1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13,128 </w:t>
            </w:r>
          </w:p>
        </w:tc>
        <w:tc>
          <w:tcPr>
            <w:tcW w:w="352" w:type="pct"/>
            <w:tcBorders>
              <w:top w:val="nil"/>
              <w:left w:val="nil"/>
              <w:bottom w:val="single" w:sz="4" w:space="0" w:color="auto"/>
              <w:right w:val="single" w:sz="4" w:space="0" w:color="auto"/>
            </w:tcBorders>
            <w:shd w:val="clear" w:color="auto" w:fill="auto"/>
            <w:noWrap/>
            <w:vAlign w:val="bottom"/>
            <w:hideMark/>
          </w:tcPr>
          <w:p w14:paraId="39CF7B2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18,979 </w:t>
            </w:r>
          </w:p>
        </w:tc>
        <w:tc>
          <w:tcPr>
            <w:tcW w:w="320" w:type="pct"/>
            <w:tcBorders>
              <w:top w:val="nil"/>
              <w:left w:val="nil"/>
              <w:bottom w:val="single" w:sz="4" w:space="0" w:color="auto"/>
              <w:right w:val="single" w:sz="4" w:space="0" w:color="auto"/>
            </w:tcBorders>
            <w:shd w:val="clear" w:color="000000" w:fill="D9D9D9"/>
            <w:noWrap/>
            <w:vAlign w:val="bottom"/>
            <w:hideMark/>
          </w:tcPr>
          <w:p w14:paraId="67B3C4B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-5,851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68E292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-30.8%</w:t>
            </w:r>
          </w:p>
        </w:tc>
        <w:tc>
          <w:tcPr>
            <w:tcW w:w="275" w:type="pct"/>
            <w:tcBorders>
              <w:top w:val="nil"/>
              <w:left w:val="nil"/>
              <w:bottom w:val="single" w:sz="4" w:space="0" w:color="auto"/>
              <w:right w:val="single" w:sz="4" w:space="0" w:color="auto"/>
            </w:tcBorders>
            <w:shd w:val="clear" w:color="auto" w:fill="auto"/>
            <w:noWrap/>
            <w:vAlign w:val="bottom"/>
            <w:hideMark/>
          </w:tcPr>
          <w:p w14:paraId="46CE598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102,395 </w:t>
            </w:r>
          </w:p>
        </w:tc>
        <w:tc>
          <w:tcPr>
            <w:tcW w:w="275" w:type="pct"/>
            <w:tcBorders>
              <w:top w:val="nil"/>
              <w:left w:val="nil"/>
              <w:bottom w:val="single" w:sz="4" w:space="0" w:color="auto"/>
              <w:right w:val="single" w:sz="4" w:space="0" w:color="auto"/>
            </w:tcBorders>
            <w:shd w:val="clear" w:color="auto" w:fill="auto"/>
            <w:noWrap/>
            <w:vAlign w:val="bottom"/>
            <w:hideMark/>
          </w:tcPr>
          <w:p w14:paraId="754D29B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98,577 </w:t>
            </w:r>
          </w:p>
        </w:tc>
        <w:tc>
          <w:tcPr>
            <w:tcW w:w="275" w:type="pct"/>
            <w:tcBorders>
              <w:top w:val="nil"/>
              <w:left w:val="nil"/>
              <w:bottom w:val="single" w:sz="4" w:space="0" w:color="auto"/>
              <w:right w:val="single" w:sz="4" w:space="0" w:color="auto"/>
            </w:tcBorders>
            <w:shd w:val="clear" w:color="000000" w:fill="D9D9D9"/>
            <w:noWrap/>
            <w:vAlign w:val="bottom"/>
            <w:hideMark/>
          </w:tcPr>
          <w:p w14:paraId="2C47437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3,818 </w:t>
            </w:r>
          </w:p>
        </w:tc>
        <w:tc>
          <w:tcPr>
            <w:tcW w:w="275" w:type="pct"/>
            <w:tcBorders>
              <w:top w:val="nil"/>
              <w:left w:val="nil"/>
              <w:bottom w:val="single" w:sz="4" w:space="0" w:color="auto"/>
              <w:right w:val="single" w:sz="4" w:space="0" w:color="auto"/>
            </w:tcBorders>
            <w:shd w:val="clear" w:color="000000" w:fill="D9D9D9"/>
            <w:noWrap/>
            <w:vAlign w:val="bottom"/>
            <w:hideMark/>
          </w:tcPr>
          <w:p w14:paraId="44F47710"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3.9%</w:t>
            </w:r>
          </w:p>
        </w:tc>
      </w:tr>
      <w:tr w:rsidR="00304440" w:rsidRPr="00B23317" w14:paraId="24FC245E"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1A1E5E21"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Edith Cowan University</w:t>
            </w:r>
          </w:p>
        </w:tc>
        <w:tc>
          <w:tcPr>
            <w:tcW w:w="338" w:type="pct"/>
            <w:tcBorders>
              <w:top w:val="nil"/>
              <w:left w:val="nil"/>
              <w:bottom w:val="single" w:sz="4" w:space="0" w:color="auto"/>
              <w:right w:val="single" w:sz="4" w:space="0" w:color="auto"/>
            </w:tcBorders>
            <w:shd w:val="clear" w:color="auto" w:fill="auto"/>
            <w:noWrap/>
            <w:vAlign w:val="bottom"/>
            <w:hideMark/>
          </w:tcPr>
          <w:p w14:paraId="1A0DDBC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477,218 </w:t>
            </w:r>
          </w:p>
        </w:tc>
        <w:tc>
          <w:tcPr>
            <w:tcW w:w="338" w:type="pct"/>
            <w:tcBorders>
              <w:top w:val="nil"/>
              <w:left w:val="nil"/>
              <w:bottom w:val="single" w:sz="4" w:space="0" w:color="auto"/>
              <w:right w:val="single" w:sz="4" w:space="0" w:color="auto"/>
            </w:tcBorders>
            <w:shd w:val="clear" w:color="auto" w:fill="auto"/>
            <w:noWrap/>
            <w:vAlign w:val="bottom"/>
            <w:hideMark/>
          </w:tcPr>
          <w:p w14:paraId="20B609B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481,528 </w:t>
            </w:r>
          </w:p>
        </w:tc>
        <w:tc>
          <w:tcPr>
            <w:tcW w:w="338" w:type="pct"/>
            <w:tcBorders>
              <w:top w:val="nil"/>
              <w:left w:val="nil"/>
              <w:bottom w:val="single" w:sz="4" w:space="0" w:color="auto"/>
              <w:right w:val="single" w:sz="4" w:space="0" w:color="auto"/>
            </w:tcBorders>
            <w:shd w:val="clear" w:color="000000" w:fill="D9D9D9"/>
            <w:noWrap/>
            <w:vAlign w:val="bottom"/>
            <w:hideMark/>
          </w:tcPr>
          <w:p w14:paraId="029F547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-4,310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5787921"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-0.9%</w:t>
            </w:r>
          </w:p>
        </w:tc>
        <w:tc>
          <w:tcPr>
            <w:tcW w:w="288" w:type="pct"/>
            <w:tcBorders>
              <w:top w:val="nil"/>
              <w:left w:val="nil"/>
              <w:bottom w:val="single" w:sz="4" w:space="0" w:color="auto"/>
              <w:right w:val="single" w:sz="4" w:space="0" w:color="auto"/>
            </w:tcBorders>
            <w:shd w:val="clear" w:color="auto" w:fill="auto"/>
            <w:noWrap/>
            <w:vAlign w:val="bottom"/>
            <w:hideMark/>
          </w:tcPr>
          <w:p w14:paraId="69CBB24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19,900 </w:t>
            </w:r>
          </w:p>
        </w:tc>
        <w:tc>
          <w:tcPr>
            <w:tcW w:w="352" w:type="pct"/>
            <w:tcBorders>
              <w:top w:val="nil"/>
              <w:left w:val="nil"/>
              <w:bottom w:val="single" w:sz="4" w:space="0" w:color="auto"/>
              <w:right w:val="single" w:sz="4" w:space="0" w:color="auto"/>
            </w:tcBorders>
            <w:shd w:val="clear" w:color="auto" w:fill="auto"/>
            <w:noWrap/>
            <w:vAlign w:val="bottom"/>
            <w:hideMark/>
          </w:tcPr>
          <w:p w14:paraId="4683C6C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30,598 </w:t>
            </w:r>
          </w:p>
        </w:tc>
        <w:tc>
          <w:tcPr>
            <w:tcW w:w="320" w:type="pct"/>
            <w:tcBorders>
              <w:top w:val="nil"/>
              <w:left w:val="nil"/>
              <w:bottom w:val="single" w:sz="4" w:space="0" w:color="auto"/>
              <w:right w:val="single" w:sz="4" w:space="0" w:color="auto"/>
            </w:tcBorders>
            <w:shd w:val="clear" w:color="000000" w:fill="D9D9D9"/>
            <w:noWrap/>
            <w:vAlign w:val="bottom"/>
            <w:hideMark/>
          </w:tcPr>
          <w:p w14:paraId="486DB0D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-10,698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25D4D7"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-35.0%</w:t>
            </w:r>
          </w:p>
        </w:tc>
        <w:tc>
          <w:tcPr>
            <w:tcW w:w="275" w:type="pct"/>
            <w:tcBorders>
              <w:top w:val="nil"/>
              <w:left w:val="nil"/>
              <w:bottom w:val="single" w:sz="4" w:space="0" w:color="auto"/>
              <w:right w:val="single" w:sz="4" w:space="0" w:color="auto"/>
            </w:tcBorders>
            <w:shd w:val="clear" w:color="auto" w:fill="auto"/>
            <w:noWrap/>
            <w:vAlign w:val="bottom"/>
            <w:hideMark/>
          </w:tcPr>
          <w:p w14:paraId="4D63007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119,767 </w:t>
            </w:r>
          </w:p>
        </w:tc>
        <w:tc>
          <w:tcPr>
            <w:tcW w:w="275" w:type="pct"/>
            <w:tcBorders>
              <w:top w:val="nil"/>
              <w:left w:val="nil"/>
              <w:bottom w:val="single" w:sz="4" w:space="0" w:color="auto"/>
              <w:right w:val="single" w:sz="4" w:space="0" w:color="auto"/>
            </w:tcBorders>
            <w:shd w:val="clear" w:color="auto" w:fill="auto"/>
            <w:noWrap/>
            <w:vAlign w:val="bottom"/>
            <w:hideMark/>
          </w:tcPr>
          <w:p w14:paraId="6A14BBB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116,744 </w:t>
            </w:r>
          </w:p>
        </w:tc>
        <w:tc>
          <w:tcPr>
            <w:tcW w:w="275" w:type="pct"/>
            <w:tcBorders>
              <w:top w:val="nil"/>
              <w:left w:val="nil"/>
              <w:bottom w:val="single" w:sz="4" w:space="0" w:color="auto"/>
              <w:right w:val="single" w:sz="4" w:space="0" w:color="auto"/>
            </w:tcBorders>
            <w:shd w:val="clear" w:color="000000" w:fill="D9D9D9"/>
            <w:noWrap/>
            <w:vAlign w:val="bottom"/>
            <w:hideMark/>
          </w:tcPr>
          <w:p w14:paraId="3871BB4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3,023 </w:t>
            </w:r>
          </w:p>
        </w:tc>
        <w:tc>
          <w:tcPr>
            <w:tcW w:w="275" w:type="pct"/>
            <w:tcBorders>
              <w:top w:val="nil"/>
              <w:left w:val="nil"/>
              <w:bottom w:val="single" w:sz="4" w:space="0" w:color="auto"/>
              <w:right w:val="single" w:sz="4" w:space="0" w:color="auto"/>
            </w:tcBorders>
            <w:shd w:val="clear" w:color="000000" w:fill="D9D9D9"/>
            <w:noWrap/>
            <w:vAlign w:val="bottom"/>
            <w:hideMark/>
          </w:tcPr>
          <w:p w14:paraId="7E29CF21"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2.6%</w:t>
            </w:r>
          </w:p>
        </w:tc>
      </w:tr>
      <w:tr w:rsidR="00304440" w:rsidRPr="00B23317" w14:paraId="288E3696"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80BFBE4"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James Cook University</w:t>
            </w:r>
          </w:p>
        </w:tc>
        <w:tc>
          <w:tcPr>
            <w:tcW w:w="338" w:type="pct"/>
            <w:tcBorders>
              <w:top w:val="nil"/>
              <w:left w:val="nil"/>
              <w:bottom w:val="single" w:sz="4" w:space="0" w:color="auto"/>
              <w:right w:val="single" w:sz="4" w:space="0" w:color="auto"/>
            </w:tcBorders>
            <w:shd w:val="clear" w:color="auto" w:fill="auto"/>
            <w:noWrap/>
            <w:vAlign w:val="bottom"/>
            <w:hideMark/>
          </w:tcPr>
          <w:p w14:paraId="7ECB608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476,465 </w:t>
            </w:r>
          </w:p>
        </w:tc>
        <w:tc>
          <w:tcPr>
            <w:tcW w:w="338" w:type="pct"/>
            <w:tcBorders>
              <w:top w:val="nil"/>
              <w:left w:val="nil"/>
              <w:bottom w:val="single" w:sz="4" w:space="0" w:color="auto"/>
              <w:right w:val="single" w:sz="4" w:space="0" w:color="auto"/>
            </w:tcBorders>
            <w:shd w:val="clear" w:color="auto" w:fill="auto"/>
            <w:noWrap/>
            <w:vAlign w:val="bottom"/>
            <w:hideMark/>
          </w:tcPr>
          <w:p w14:paraId="5B43CB7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504,079 </w:t>
            </w:r>
          </w:p>
        </w:tc>
        <w:tc>
          <w:tcPr>
            <w:tcW w:w="338" w:type="pct"/>
            <w:tcBorders>
              <w:top w:val="nil"/>
              <w:left w:val="nil"/>
              <w:bottom w:val="single" w:sz="4" w:space="0" w:color="auto"/>
              <w:right w:val="single" w:sz="4" w:space="0" w:color="auto"/>
            </w:tcBorders>
            <w:shd w:val="clear" w:color="000000" w:fill="D9D9D9"/>
            <w:noWrap/>
            <w:vAlign w:val="bottom"/>
            <w:hideMark/>
          </w:tcPr>
          <w:p w14:paraId="52E1E17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-27,614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93330D"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-5.5%</w:t>
            </w:r>
          </w:p>
        </w:tc>
        <w:tc>
          <w:tcPr>
            <w:tcW w:w="288" w:type="pct"/>
            <w:tcBorders>
              <w:top w:val="nil"/>
              <w:left w:val="nil"/>
              <w:bottom w:val="single" w:sz="4" w:space="0" w:color="auto"/>
              <w:right w:val="single" w:sz="4" w:space="0" w:color="auto"/>
            </w:tcBorders>
            <w:shd w:val="clear" w:color="auto" w:fill="auto"/>
            <w:noWrap/>
            <w:vAlign w:val="bottom"/>
            <w:hideMark/>
          </w:tcPr>
          <w:p w14:paraId="301A42A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9,352 </w:t>
            </w:r>
          </w:p>
        </w:tc>
        <w:tc>
          <w:tcPr>
            <w:tcW w:w="352" w:type="pct"/>
            <w:tcBorders>
              <w:top w:val="nil"/>
              <w:left w:val="nil"/>
              <w:bottom w:val="single" w:sz="4" w:space="0" w:color="auto"/>
              <w:right w:val="single" w:sz="4" w:space="0" w:color="auto"/>
            </w:tcBorders>
            <w:shd w:val="clear" w:color="auto" w:fill="auto"/>
            <w:noWrap/>
            <w:vAlign w:val="bottom"/>
            <w:hideMark/>
          </w:tcPr>
          <w:p w14:paraId="7A7AEA3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15,606 </w:t>
            </w:r>
          </w:p>
        </w:tc>
        <w:tc>
          <w:tcPr>
            <w:tcW w:w="320" w:type="pct"/>
            <w:tcBorders>
              <w:top w:val="nil"/>
              <w:left w:val="nil"/>
              <w:bottom w:val="single" w:sz="4" w:space="0" w:color="auto"/>
              <w:right w:val="single" w:sz="4" w:space="0" w:color="auto"/>
            </w:tcBorders>
            <w:shd w:val="clear" w:color="000000" w:fill="D9D9D9"/>
            <w:noWrap/>
            <w:vAlign w:val="bottom"/>
            <w:hideMark/>
          </w:tcPr>
          <w:p w14:paraId="5877FDA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-6,254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4A8FAA"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-40.1%</w:t>
            </w:r>
          </w:p>
        </w:tc>
        <w:tc>
          <w:tcPr>
            <w:tcW w:w="275" w:type="pct"/>
            <w:tcBorders>
              <w:top w:val="nil"/>
              <w:left w:val="nil"/>
              <w:bottom w:val="single" w:sz="4" w:space="0" w:color="auto"/>
              <w:right w:val="single" w:sz="4" w:space="0" w:color="auto"/>
            </w:tcBorders>
            <w:shd w:val="clear" w:color="auto" w:fill="auto"/>
            <w:noWrap/>
            <w:vAlign w:val="bottom"/>
            <w:hideMark/>
          </w:tcPr>
          <w:p w14:paraId="5D7635B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73,884 </w:t>
            </w:r>
          </w:p>
        </w:tc>
        <w:tc>
          <w:tcPr>
            <w:tcW w:w="275" w:type="pct"/>
            <w:tcBorders>
              <w:top w:val="nil"/>
              <w:left w:val="nil"/>
              <w:bottom w:val="single" w:sz="4" w:space="0" w:color="auto"/>
              <w:right w:val="single" w:sz="4" w:space="0" w:color="auto"/>
            </w:tcBorders>
            <w:shd w:val="clear" w:color="auto" w:fill="auto"/>
            <w:noWrap/>
            <w:vAlign w:val="bottom"/>
            <w:hideMark/>
          </w:tcPr>
          <w:p w14:paraId="1AF86A5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82,350 </w:t>
            </w:r>
          </w:p>
        </w:tc>
        <w:tc>
          <w:tcPr>
            <w:tcW w:w="275" w:type="pct"/>
            <w:tcBorders>
              <w:top w:val="nil"/>
              <w:left w:val="nil"/>
              <w:bottom w:val="single" w:sz="4" w:space="0" w:color="auto"/>
              <w:right w:val="single" w:sz="4" w:space="0" w:color="auto"/>
            </w:tcBorders>
            <w:shd w:val="clear" w:color="000000" w:fill="D9D9D9"/>
            <w:noWrap/>
            <w:vAlign w:val="bottom"/>
            <w:hideMark/>
          </w:tcPr>
          <w:p w14:paraId="4714DE9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-8,466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6ACA6F8"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-10.3%</w:t>
            </w:r>
          </w:p>
        </w:tc>
      </w:tr>
      <w:tr w:rsidR="00304440" w:rsidRPr="00B23317" w14:paraId="549896FF"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2D0DEB2"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Victoria University</w:t>
            </w:r>
          </w:p>
        </w:tc>
        <w:tc>
          <w:tcPr>
            <w:tcW w:w="338" w:type="pct"/>
            <w:tcBorders>
              <w:top w:val="nil"/>
              <w:left w:val="nil"/>
              <w:bottom w:val="single" w:sz="4" w:space="0" w:color="auto"/>
              <w:right w:val="single" w:sz="4" w:space="0" w:color="auto"/>
            </w:tcBorders>
            <w:shd w:val="clear" w:color="auto" w:fill="auto"/>
            <w:noWrap/>
            <w:vAlign w:val="bottom"/>
            <w:hideMark/>
          </w:tcPr>
          <w:p w14:paraId="51FC5A6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474,294 </w:t>
            </w:r>
          </w:p>
        </w:tc>
        <w:tc>
          <w:tcPr>
            <w:tcW w:w="338" w:type="pct"/>
            <w:tcBorders>
              <w:top w:val="nil"/>
              <w:left w:val="nil"/>
              <w:bottom w:val="single" w:sz="4" w:space="0" w:color="auto"/>
              <w:right w:val="single" w:sz="4" w:space="0" w:color="auto"/>
            </w:tcBorders>
            <w:shd w:val="clear" w:color="auto" w:fill="auto"/>
            <w:noWrap/>
            <w:vAlign w:val="bottom"/>
            <w:hideMark/>
          </w:tcPr>
          <w:p w14:paraId="5926334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484,406 </w:t>
            </w:r>
          </w:p>
        </w:tc>
        <w:tc>
          <w:tcPr>
            <w:tcW w:w="338" w:type="pct"/>
            <w:tcBorders>
              <w:top w:val="nil"/>
              <w:left w:val="nil"/>
              <w:bottom w:val="single" w:sz="4" w:space="0" w:color="auto"/>
              <w:right w:val="single" w:sz="4" w:space="0" w:color="auto"/>
            </w:tcBorders>
            <w:shd w:val="clear" w:color="000000" w:fill="D9D9D9"/>
            <w:noWrap/>
            <w:vAlign w:val="bottom"/>
            <w:hideMark/>
          </w:tcPr>
          <w:p w14:paraId="29894A2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-10,112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EDEE6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-2.1%</w:t>
            </w:r>
          </w:p>
        </w:tc>
        <w:tc>
          <w:tcPr>
            <w:tcW w:w="288" w:type="pct"/>
            <w:tcBorders>
              <w:top w:val="nil"/>
              <w:left w:val="nil"/>
              <w:bottom w:val="single" w:sz="4" w:space="0" w:color="auto"/>
              <w:right w:val="single" w:sz="4" w:space="0" w:color="auto"/>
            </w:tcBorders>
            <w:shd w:val="clear" w:color="auto" w:fill="auto"/>
            <w:noWrap/>
            <w:vAlign w:val="bottom"/>
            <w:hideMark/>
          </w:tcPr>
          <w:p w14:paraId="4CE0403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7,782 </w:t>
            </w:r>
          </w:p>
        </w:tc>
        <w:tc>
          <w:tcPr>
            <w:tcW w:w="352" w:type="pct"/>
            <w:tcBorders>
              <w:top w:val="nil"/>
              <w:left w:val="nil"/>
              <w:bottom w:val="single" w:sz="4" w:space="0" w:color="auto"/>
              <w:right w:val="single" w:sz="4" w:space="0" w:color="auto"/>
            </w:tcBorders>
            <w:shd w:val="clear" w:color="auto" w:fill="auto"/>
            <w:noWrap/>
            <w:vAlign w:val="bottom"/>
            <w:hideMark/>
          </w:tcPr>
          <w:p w14:paraId="520C1A1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15,393 </w:t>
            </w:r>
          </w:p>
        </w:tc>
        <w:tc>
          <w:tcPr>
            <w:tcW w:w="320" w:type="pct"/>
            <w:tcBorders>
              <w:top w:val="nil"/>
              <w:left w:val="nil"/>
              <w:bottom w:val="single" w:sz="4" w:space="0" w:color="auto"/>
              <w:right w:val="single" w:sz="4" w:space="0" w:color="auto"/>
            </w:tcBorders>
            <w:shd w:val="clear" w:color="000000" w:fill="D9D9D9"/>
            <w:noWrap/>
            <w:vAlign w:val="bottom"/>
            <w:hideMark/>
          </w:tcPr>
          <w:p w14:paraId="35514F8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-7,611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B64B4D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-49.4%</w:t>
            </w:r>
          </w:p>
        </w:tc>
        <w:tc>
          <w:tcPr>
            <w:tcW w:w="275" w:type="pct"/>
            <w:tcBorders>
              <w:top w:val="nil"/>
              <w:left w:val="nil"/>
              <w:bottom w:val="single" w:sz="4" w:space="0" w:color="auto"/>
              <w:right w:val="single" w:sz="4" w:space="0" w:color="auto"/>
            </w:tcBorders>
            <w:shd w:val="clear" w:color="auto" w:fill="auto"/>
            <w:noWrap/>
            <w:vAlign w:val="bottom"/>
            <w:hideMark/>
          </w:tcPr>
          <w:p w14:paraId="317ADBA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98,973 </w:t>
            </w:r>
          </w:p>
        </w:tc>
        <w:tc>
          <w:tcPr>
            <w:tcW w:w="275" w:type="pct"/>
            <w:tcBorders>
              <w:top w:val="nil"/>
              <w:left w:val="nil"/>
              <w:bottom w:val="single" w:sz="4" w:space="0" w:color="auto"/>
              <w:right w:val="single" w:sz="4" w:space="0" w:color="auto"/>
            </w:tcBorders>
            <w:shd w:val="clear" w:color="auto" w:fill="auto"/>
            <w:noWrap/>
            <w:vAlign w:val="bottom"/>
            <w:hideMark/>
          </w:tcPr>
          <w:p w14:paraId="5148471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107,865 </w:t>
            </w:r>
          </w:p>
        </w:tc>
        <w:tc>
          <w:tcPr>
            <w:tcW w:w="275" w:type="pct"/>
            <w:tcBorders>
              <w:top w:val="nil"/>
              <w:left w:val="nil"/>
              <w:bottom w:val="single" w:sz="4" w:space="0" w:color="auto"/>
              <w:right w:val="single" w:sz="4" w:space="0" w:color="auto"/>
            </w:tcBorders>
            <w:shd w:val="clear" w:color="000000" w:fill="D9D9D9"/>
            <w:noWrap/>
            <w:vAlign w:val="bottom"/>
            <w:hideMark/>
          </w:tcPr>
          <w:p w14:paraId="5CDC1F8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-8,892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3B1BC7C"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-8.2%</w:t>
            </w:r>
          </w:p>
        </w:tc>
      </w:tr>
      <w:tr w:rsidR="00304440" w:rsidRPr="00B23317" w14:paraId="31B38FBE"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CE58615"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Central Queensland University</w:t>
            </w:r>
          </w:p>
        </w:tc>
        <w:tc>
          <w:tcPr>
            <w:tcW w:w="338" w:type="pct"/>
            <w:tcBorders>
              <w:top w:val="nil"/>
              <w:left w:val="nil"/>
              <w:bottom w:val="single" w:sz="4" w:space="0" w:color="auto"/>
              <w:right w:val="single" w:sz="4" w:space="0" w:color="auto"/>
            </w:tcBorders>
            <w:shd w:val="clear" w:color="auto" w:fill="auto"/>
            <w:noWrap/>
            <w:vAlign w:val="bottom"/>
            <w:hideMark/>
          </w:tcPr>
          <w:p w14:paraId="0C55BE7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449,963 </w:t>
            </w:r>
          </w:p>
        </w:tc>
        <w:tc>
          <w:tcPr>
            <w:tcW w:w="338" w:type="pct"/>
            <w:tcBorders>
              <w:top w:val="nil"/>
              <w:left w:val="nil"/>
              <w:bottom w:val="single" w:sz="4" w:space="0" w:color="auto"/>
              <w:right w:val="single" w:sz="4" w:space="0" w:color="auto"/>
            </w:tcBorders>
            <w:shd w:val="clear" w:color="auto" w:fill="auto"/>
            <w:noWrap/>
            <w:vAlign w:val="bottom"/>
            <w:hideMark/>
          </w:tcPr>
          <w:p w14:paraId="5079290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487,171 </w:t>
            </w:r>
          </w:p>
        </w:tc>
        <w:tc>
          <w:tcPr>
            <w:tcW w:w="338" w:type="pct"/>
            <w:tcBorders>
              <w:top w:val="nil"/>
              <w:left w:val="nil"/>
              <w:bottom w:val="single" w:sz="4" w:space="0" w:color="auto"/>
              <w:right w:val="single" w:sz="4" w:space="0" w:color="auto"/>
            </w:tcBorders>
            <w:shd w:val="clear" w:color="000000" w:fill="D9D9D9"/>
            <w:noWrap/>
            <w:vAlign w:val="bottom"/>
            <w:hideMark/>
          </w:tcPr>
          <w:p w14:paraId="5328FD0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-37,208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67F50C0"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-7.6%</w:t>
            </w:r>
          </w:p>
        </w:tc>
        <w:tc>
          <w:tcPr>
            <w:tcW w:w="288" w:type="pct"/>
            <w:tcBorders>
              <w:top w:val="nil"/>
              <w:left w:val="nil"/>
              <w:bottom w:val="single" w:sz="4" w:space="0" w:color="auto"/>
              <w:right w:val="single" w:sz="4" w:space="0" w:color="auto"/>
            </w:tcBorders>
            <w:shd w:val="clear" w:color="auto" w:fill="auto"/>
            <w:noWrap/>
            <w:vAlign w:val="bottom"/>
            <w:hideMark/>
          </w:tcPr>
          <w:p w14:paraId="3D49CED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7,446 </w:t>
            </w:r>
          </w:p>
        </w:tc>
        <w:tc>
          <w:tcPr>
            <w:tcW w:w="352" w:type="pct"/>
            <w:tcBorders>
              <w:top w:val="nil"/>
              <w:left w:val="nil"/>
              <w:bottom w:val="single" w:sz="4" w:space="0" w:color="auto"/>
              <w:right w:val="single" w:sz="4" w:space="0" w:color="auto"/>
            </w:tcBorders>
            <w:shd w:val="clear" w:color="auto" w:fill="auto"/>
            <w:noWrap/>
            <w:vAlign w:val="bottom"/>
            <w:hideMark/>
          </w:tcPr>
          <w:p w14:paraId="5390AF9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6,550 </w:t>
            </w:r>
          </w:p>
        </w:tc>
        <w:tc>
          <w:tcPr>
            <w:tcW w:w="320" w:type="pct"/>
            <w:tcBorders>
              <w:top w:val="nil"/>
              <w:left w:val="nil"/>
              <w:bottom w:val="single" w:sz="4" w:space="0" w:color="auto"/>
              <w:right w:val="single" w:sz="4" w:space="0" w:color="auto"/>
            </w:tcBorders>
            <w:shd w:val="clear" w:color="000000" w:fill="D9D9D9"/>
            <w:noWrap/>
            <w:vAlign w:val="bottom"/>
            <w:hideMark/>
          </w:tcPr>
          <w:p w14:paraId="70AD61D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896 </w:t>
            </w:r>
          </w:p>
        </w:tc>
        <w:tc>
          <w:tcPr>
            <w:tcW w:w="320" w:type="pct"/>
            <w:tcBorders>
              <w:top w:val="nil"/>
              <w:left w:val="nil"/>
              <w:bottom w:val="single" w:sz="4" w:space="0" w:color="auto"/>
              <w:right w:val="single" w:sz="4" w:space="0" w:color="auto"/>
            </w:tcBorders>
            <w:shd w:val="clear" w:color="000000" w:fill="D9D9D9"/>
            <w:noWrap/>
            <w:vAlign w:val="bottom"/>
            <w:hideMark/>
          </w:tcPr>
          <w:p w14:paraId="468F461A"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13.7%</w:t>
            </w:r>
          </w:p>
        </w:tc>
        <w:tc>
          <w:tcPr>
            <w:tcW w:w="275" w:type="pct"/>
            <w:tcBorders>
              <w:top w:val="nil"/>
              <w:left w:val="nil"/>
              <w:bottom w:val="single" w:sz="4" w:space="0" w:color="auto"/>
              <w:right w:val="single" w:sz="4" w:space="0" w:color="auto"/>
            </w:tcBorders>
            <w:shd w:val="clear" w:color="auto" w:fill="auto"/>
            <w:noWrap/>
            <w:vAlign w:val="bottom"/>
            <w:hideMark/>
          </w:tcPr>
          <w:p w14:paraId="01813AE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122,254 </w:t>
            </w:r>
          </w:p>
        </w:tc>
        <w:tc>
          <w:tcPr>
            <w:tcW w:w="275" w:type="pct"/>
            <w:tcBorders>
              <w:top w:val="nil"/>
              <w:left w:val="nil"/>
              <w:bottom w:val="single" w:sz="4" w:space="0" w:color="auto"/>
              <w:right w:val="single" w:sz="4" w:space="0" w:color="auto"/>
            </w:tcBorders>
            <w:shd w:val="clear" w:color="auto" w:fill="auto"/>
            <w:noWrap/>
            <w:vAlign w:val="bottom"/>
            <w:hideMark/>
          </w:tcPr>
          <w:p w14:paraId="55BE43A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175,961 </w:t>
            </w:r>
          </w:p>
        </w:tc>
        <w:tc>
          <w:tcPr>
            <w:tcW w:w="275" w:type="pct"/>
            <w:tcBorders>
              <w:top w:val="nil"/>
              <w:left w:val="nil"/>
              <w:bottom w:val="single" w:sz="4" w:space="0" w:color="auto"/>
              <w:right w:val="single" w:sz="4" w:space="0" w:color="auto"/>
            </w:tcBorders>
            <w:shd w:val="clear" w:color="000000" w:fill="D9D9D9"/>
            <w:noWrap/>
            <w:vAlign w:val="bottom"/>
            <w:hideMark/>
          </w:tcPr>
          <w:p w14:paraId="7F36484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-53,707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803664"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-30.5%</w:t>
            </w:r>
          </w:p>
        </w:tc>
      </w:tr>
      <w:tr w:rsidR="00304440" w:rsidRPr="00B23317" w14:paraId="422B4D07"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09E37B3"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Murdoch University</w:t>
            </w:r>
          </w:p>
        </w:tc>
        <w:tc>
          <w:tcPr>
            <w:tcW w:w="338" w:type="pct"/>
            <w:tcBorders>
              <w:top w:val="nil"/>
              <w:left w:val="nil"/>
              <w:bottom w:val="single" w:sz="4" w:space="0" w:color="auto"/>
              <w:right w:val="single" w:sz="4" w:space="0" w:color="auto"/>
            </w:tcBorders>
            <w:shd w:val="clear" w:color="auto" w:fill="auto"/>
            <w:noWrap/>
            <w:vAlign w:val="bottom"/>
            <w:hideMark/>
          </w:tcPr>
          <w:p w14:paraId="60CBB96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378,662 </w:t>
            </w:r>
          </w:p>
        </w:tc>
        <w:tc>
          <w:tcPr>
            <w:tcW w:w="338" w:type="pct"/>
            <w:tcBorders>
              <w:top w:val="nil"/>
              <w:left w:val="nil"/>
              <w:bottom w:val="single" w:sz="4" w:space="0" w:color="auto"/>
              <w:right w:val="single" w:sz="4" w:space="0" w:color="auto"/>
            </w:tcBorders>
            <w:shd w:val="clear" w:color="auto" w:fill="auto"/>
            <w:noWrap/>
            <w:vAlign w:val="bottom"/>
            <w:hideMark/>
          </w:tcPr>
          <w:p w14:paraId="0294631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395,025 </w:t>
            </w:r>
          </w:p>
        </w:tc>
        <w:tc>
          <w:tcPr>
            <w:tcW w:w="338" w:type="pct"/>
            <w:tcBorders>
              <w:top w:val="nil"/>
              <w:left w:val="nil"/>
              <w:bottom w:val="single" w:sz="4" w:space="0" w:color="auto"/>
              <w:right w:val="single" w:sz="4" w:space="0" w:color="auto"/>
            </w:tcBorders>
            <w:shd w:val="clear" w:color="000000" w:fill="D9D9D9"/>
            <w:noWrap/>
            <w:vAlign w:val="bottom"/>
            <w:hideMark/>
          </w:tcPr>
          <w:p w14:paraId="11A90A9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-16,363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D084263"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-4.1%</w:t>
            </w:r>
          </w:p>
        </w:tc>
        <w:tc>
          <w:tcPr>
            <w:tcW w:w="288" w:type="pct"/>
            <w:tcBorders>
              <w:top w:val="nil"/>
              <w:left w:val="nil"/>
              <w:bottom w:val="single" w:sz="4" w:space="0" w:color="auto"/>
              <w:right w:val="single" w:sz="4" w:space="0" w:color="auto"/>
            </w:tcBorders>
            <w:shd w:val="clear" w:color="auto" w:fill="auto"/>
            <w:noWrap/>
            <w:vAlign w:val="bottom"/>
            <w:hideMark/>
          </w:tcPr>
          <w:p w14:paraId="60E7A04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622 </w:t>
            </w:r>
          </w:p>
        </w:tc>
        <w:tc>
          <w:tcPr>
            <w:tcW w:w="352" w:type="pct"/>
            <w:tcBorders>
              <w:top w:val="nil"/>
              <w:left w:val="nil"/>
              <w:bottom w:val="single" w:sz="4" w:space="0" w:color="auto"/>
              <w:right w:val="single" w:sz="4" w:space="0" w:color="auto"/>
            </w:tcBorders>
            <w:shd w:val="clear" w:color="auto" w:fill="auto"/>
            <w:noWrap/>
            <w:vAlign w:val="bottom"/>
            <w:hideMark/>
          </w:tcPr>
          <w:p w14:paraId="30FD05E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9,529 </w:t>
            </w:r>
          </w:p>
        </w:tc>
        <w:tc>
          <w:tcPr>
            <w:tcW w:w="320" w:type="pct"/>
            <w:tcBorders>
              <w:top w:val="nil"/>
              <w:left w:val="nil"/>
              <w:bottom w:val="single" w:sz="4" w:space="0" w:color="auto"/>
              <w:right w:val="single" w:sz="4" w:space="0" w:color="auto"/>
            </w:tcBorders>
            <w:shd w:val="clear" w:color="000000" w:fill="D9D9D9"/>
            <w:noWrap/>
            <w:vAlign w:val="bottom"/>
            <w:hideMark/>
          </w:tcPr>
          <w:p w14:paraId="75D96D8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-8,907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4AB2E0"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-93.5%</w:t>
            </w:r>
          </w:p>
        </w:tc>
        <w:tc>
          <w:tcPr>
            <w:tcW w:w="275" w:type="pct"/>
            <w:tcBorders>
              <w:top w:val="nil"/>
              <w:left w:val="nil"/>
              <w:bottom w:val="single" w:sz="4" w:space="0" w:color="auto"/>
              <w:right w:val="single" w:sz="4" w:space="0" w:color="auto"/>
            </w:tcBorders>
            <w:shd w:val="clear" w:color="auto" w:fill="auto"/>
            <w:noWrap/>
            <w:vAlign w:val="bottom"/>
            <w:hideMark/>
          </w:tcPr>
          <w:p w14:paraId="19BCFA1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80,621 </w:t>
            </w:r>
          </w:p>
        </w:tc>
        <w:tc>
          <w:tcPr>
            <w:tcW w:w="275" w:type="pct"/>
            <w:tcBorders>
              <w:top w:val="nil"/>
              <w:left w:val="nil"/>
              <w:bottom w:val="single" w:sz="4" w:space="0" w:color="auto"/>
              <w:right w:val="single" w:sz="4" w:space="0" w:color="auto"/>
            </w:tcBorders>
            <w:shd w:val="clear" w:color="auto" w:fill="auto"/>
            <w:noWrap/>
            <w:vAlign w:val="bottom"/>
            <w:hideMark/>
          </w:tcPr>
          <w:p w14:paraId="01D31F7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84,002 </w:t>
            </w:r>
          </w:p>
        </w:tc>
        <w:tc>
          <w:tcPr>
            <w:tcW w:w="275" w:type="pct"/>
            <w:tcBorders>
              <w:top w:val="nil"/>
              <w:left w:val="nil"/>
              <w:bottom w:val="single" w:sz="4" w:space="0" w:color="auto"/>
              <w:right w:val="single" w:sz="4" w:space="0" w:color="auto"/>
            </w:tcBorders>
            <w:shd w:val="clear" w:color="000000" w:fill="D9D9D9"/>
            <w:noWrap/>
            <w:vAlign w:val="bottom"/>
            <w:hideMark/>
          </w:tcPr>
          <w:p w14:paraId="1B6B13A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-3,381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5DD3446"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-4.0%</w:t>
            </w:r>
          </w:p>
        </w:tc>
      </w:tr>
      <w:tr w:rsidR="00304440" w:rsidRPr="00B23317" w14:paraId="5F6BD0EE"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1236D917"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The University of New England</w:t>
            </w:r>
          </w:p>
        </w:tc>
        <w:tc>
          <w:tcPr>
            <w:tcW w:w="338" w:type="pct"/>
            <w:tcBorders>
              <w:top w:val="nil"/>
              <w:left w:val="nil"/>
              <w:bottom w:val="single" w:sz="4" w:space="0" w:color="auto"/>
              <w:right w:val="single" w:sz="4" w:space="0" w:color="auto"/>
            </w:tcBorders>
            <w:shd w:val="clear" w:color="auto" w:fill="auto"/>
            <w:noWrap/>
            <w:vAlign w:val="bottom"/>
            <w:hideMark/>
          </w:tcPr>
          <w:p w14:paraId="5D330F2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347,924 </w:t>
            </w:r>
          </w:p>
        </w:tc>
        <w:tc>
          <w:tcPr>
            <w:tcW w:w="338" w:type="pct"/>
            <w:tcBorders>
              <w:top w:val="nil"/>
              <w:left w:val="nil"/>
              <w:bottom w:val="single" w:sz="4" w:space="0" w:color="auto"/>
              <w:right w:val="single" w:sz="4" w:space="0" w:color="auto"/>
            </w:tcBorders>
            <w:shd w:val="clear" w:color="auto" w:fill="auto"/>
            <w:noWrap/>
            <w:vAlign w:val="bottom"/>
            <w:hideMark/>
          </w:tcPr>
          <w:p w14:paraId="0AD88C0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341,209 </w:t>
            </w:r>
          </w:p>
        </w:tc>
        <w:tc>
          <w:tcPr>
            <w:tcW w:w="338" w:type="pct"/>
            <w:tcBorders>
              <w:top w:val="nil"/>
              <w:left w:val="nil"/>
              <w:bottom w:val="single" w:sz="4" w:space="0" w:color="auto"/>
              <w:right w:val="single" w:sz="4" w:space="0" w:color="auto"/>
            </w:tcBorders>
            <w:shd w:val="clear" w:color="000000" w:fill="D9D9D9"/>
            <w:noWrap/>
            <w:vAlign w:val="bottom"/>
            <w:hideMark/>
          </w:tcPr>
          <w:p w14:paraId="307FD77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6,715 </w:t>
            </w:r>
          </w:p>
        </w:tc>
        <w:tc>
          <w:tcPr>
            <w:tcW w:w="338" w:type="pct"/>
            <w:tcBorders>
              <w:top w:val="nil"/>
              <w:left w:val="nil"/>
              <w:bottom w:val="single" w:sz="4" w:space="0" w:color="auto"/>
              <w:right w:val="single" w:sz="4" w:space="0" w:color="auto"/>
            </w:tcBorders>
            <w:shd w:val="clear" w:color="000000" w:fill="D9D9D9"/>
            <w:noWrap/>
            <w:vAlign w:val="bottom"/>
            <w:hideMark/>
          </w:tcPr>
          <w:p w14:paraId="337A70B6"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2.0%</w:t>
            </w:r>
          </w:p>
        </w:tc>
        <w:tc>
          <w:tcPr>
            <w:tcW w:w="288" w:type="pct"/>
            <w:tcBorders>
              <w:top w:val="nil"/>
              <w:left w:val="nil"/>
              <w:bottom w:val="single" w:sz="4" w:space="0" w:color="auto"/>
              <w:right w:val="single" w:sz="4" w:space="0" w:color="auto"/>
            </w:tcBorders>
            <w:shd w:val="clear" w:color="auto" w:fill="auto"/>
            <w:noWrap/>
            <w:vAlign w:val="bottom"/>
            <w:hideMark/>
          </w:tcPr>
          <w:p w14:paraId="7B42C69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7,232 </w:t>
            </w:r>
          </w:p>
        </w:tc>
        <w:tc>
          <w:tcPr>
            <w:tcW w:w="352" w:type="pct"/>
            <w:tcBorders>
              <w:top w:val="nil"/>
              <w:left w:val="nil"/>
              <w:bottom w:val="single" w:sz="4" w:space="0" w:color="auto"/>
              <w:right w:val="single" w:sz="4" w:space="0" w:color="auto"/>
            </w:tcBorders>
            <w:shd w:val="clear" w:color="auto" w:fill="auto"/>
            <w:noWrap/>
            <w:vAlign w:val="bottom"/>
            <w:hideMark/>
          </w:tcPr>
          <w:p w14:paraId="4BC96BD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3,672 </w:t>
            </w:r>
          </w:p>
        </w:tc>
        <w:tc>
          <w:tcPr>
            <w:tcW w:w="320" w:type="pct"/>
            <w:tcBorders>
              <w:top w:val="nil"/>
              <w:left w:val="nil"/>
              <w:bottom w:val="single" w:sz="4" w:space="0" w:color="auto"/>
              <w:right w:val="single" w:sz="4" w:space="0" w:color="auto"/>
            </w:tcBorders>
            <w:shd w:val="clear" w:color="000000" w:fill="D9D9D9"/>
            <w:noWrap/>
            <w:vAlign w:val="bottom"/>
            <w:hideMark/>
          </w:tcPr>
          <w:p w14:paraId="093B00F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3,560 </w:t>
            </w:r>
          </w:p>
        </w:tc>
        <w:tc>
          <w:tcPr>
            <w:tcW w:w="320" w:type="pct"/>
            <w:tcBorders>
              <w:top w:val="nil"/>
              <w:left w:val="nil"/>
              <w:bottom w:val="single" w:sz="4" w:space="0" w:color="auto"/>
              <w:right w:val="single" w:sz="4" w:space="0" w:color="auto"/>
            </w:tcBorders>
            <w:shd w:val="clear" w:color="000000" w:fill="D9D9D9"/>
            <w:noWrap/>
            <w:vAlign w:val="bottom"/>
            <w:hideMark/>
          </w:tcPr>
          <w:p w14:paraId="37A169E9"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96.9%</w:t>
            </w:r>
          </w:p>
        </w:tc>
        <w:tc>
          <w:tcPr>
            <w:tcW w:w="275" w:type="pct"/>
            <w:tcBorders>
              <w:top w:val="nil"/>
              <w:left w:val="nil"/>
              <w:bottom w:val="single" w:sz="4" w:space="0" w:color="auto"/>
              <w:right w:val="single" w:sz="4" w:space="0" w:color="auto"/>
            </w:tcBorders>
            <w:shd w:val="clear" w:color="auto" w:fill="auto"/>
            <w:noWrap/>
            <w:vAlign w:val="bottom"/>
            <w:hideMark/>
          </w:tcPr>
          <w:p w14:paraId="4668E97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28,187 </w:t>
            </w:r>
          </w:p>
        </w:tc>
        <w:tc>
          <w:tcPr>
            <w:tcW w:w="275" w:type="pct"/>
            <w:tcBorders>
              <w:top w:val="nil"/>
              <w:left w:val="nil"/>
              <w:bottom w:val="single" w:sz="4" w:space="0" w:color="auto"/>
              <w:right w:val="single" w:sz="4" w:space="0" w:color="auto"/>
            </w:tcBorders>
            <w:shd w:val="clear" w:color="auto" w:fill="auto"/>
            <w:noWrap/>
            <w:vAlign w:val="bottom"/>
            <w:hideMark/>
          </w:tcPr>
          <w:p w14:paraId="41D20BB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27,923 </w:t>
            </w:r>
          </w:p>
        </w:tc>
        <w:tc>
          <w:tcPr>
            <w:tcW w:w="275" w:type="pct"/>
            <w:tcBorders>
              <w:top w:val="nil"/>
              <w:left w:val="nil"/>
              <w:bottom w:val="single" w:sz="4" w:space="0" w:color="auto"/>
              <w:right w:val="single" w:sz="4" w:space="0" w:color="auto"/>
            </w:tcBorders>
            <w:shd w:val="clear" w:color="000000" w:fill="D9D9D9"/>
            <w:noWrap/>
            <w:vAlign w:val="bottom"/>
            <w:hideMark/>
          </w:tcPr>
          <w:p w14:paraId="32186B3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264 </w:t>
            </w:r>
          </w:p>
        </w:tc>
        <w:tc>
          <w:tcPr>
            <w:tcW w:w="275" w:type="pct"/>
            <w:tcBorders>
              <w:top w:val="nil"/>
              <w:left w:val="nil"/>
              <w:bottom w:val="single" w:sz="4" w:space="0" w:color="auto"/>
              <w:right w:val="single" w:sz="4" w:space="0" w:color="auto"/>
            </w:tcBorders>
            <w:shd w:val="clear" w:color="000000" w:fill="D9D9D9"/>
            <w:noWrap/>
            <w:vAlign w:val="bottom"/>
            <w:hideMark/>
          </w:tcPr>
          <w:p w14:paraId="6DD6AB05"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0.9%</w:t>
            </w:r>
          </w:p>
        </w:tc>
      </w:tr>
      <w:tr w:rsidR="00304440" w:rsidRPr="00B23317" w14:paraId="662CA6D9"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63B2CE0"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University of Southern Queensland</w:t>
            </w:r>
          </w:p>
        </w:tc>
        <w:tc>
          <w:tcPr>
            <w:tcW w:w="338" w:type="pct"/>
            <w:tcBorders>
              <w:top w:val="nil"/>
              <w:left w:val="nil"/>
              <w:bottom w:val="single" w:sz="4" w:space="0" w:color="auto"/>
              <w:right w:val="single" w:sz="4" w:space="0" w:color="auto"/>
            </w:tcBorders>
            <w:shd w:val="clear" w:color="auto" w:fill="auto"/>
            <w:noWrap/>
            <w:vAlign w:val="bottom"/>
            <w:hideMark/>
          </w:tcPr>
          <w:p w14:paraId="6735753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344,972 </w:t>
            </w:r>
          </w:p>
        </w:tc>
        <w:tc>
          <w:tcPr>
            <w:tcW w:w="338" w:type="pct"/>
            <w:tcBorders>
              <w:top w:val="nil"/>
              <w:left w:val="nil"/>
              <w:bottom w:val="single" w:sz="4" w:space="0" w:color="auto"/>
              <w:right w:val="single" w:sz="4" w:space="0" w:color="auto"/>
            </w:tcBorders>
            <w:shd w:val="clear" w:color="auto" w:fill="auto"/>
            <w:noWrap/>
            <w:vAlign w:val="bottom"/>
            <w:hideMark/>
          </w:tcPr>
          <w:p w14:paraId="08DF027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327,359 </w:t>
            </w:r>
          </w:p>
        </w:tc>
        <w:tc>
          <w:tcPr>
            <w:tcW w:w="338" w:type="pct"/>
            <w:tcBorders>
              <w:top w:val="nil"/>
              <w:left w:val="nil"/>
              <w:bottom w:val="single" w:sz="4" w:space="0" w:color="auto"/>
              <w:right w:val="single" w:sz="4" w:space="0" w:color="auto"/>
            </w:tcBorders>
            <w:shd w:val="clear" w:color="000000" w:fill="D9D9D9"/>
            <w:noWrap/>
            <w:vAlign w:val="bottom"/>
            <w:hideMark/>
          </w:tcPr>
          <w:p w14:paraId="6E6E8B9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17,613 </w:t>
            </w:r>
          </w:p>
        </w:tc>
        <w:tc>
          <w:tcPr>
            <w:tcW w:w="338" w:type="pct"/>
            <w:tcBorders>
              <w:top w:val="nil"/>
              <w:left w:val="nil"/>
              <w:bottom w:val="single" w:sz="4" w:space="0" w:color="auto"/>
              <w:right w:val="single" w:sz="4" w:space="0" w:color="auto"/>
            </w:tcBorders>
            <w:shd w:val="clear" w:color="000000" w:fill="D9D9D9"/>
            <w:noWrap/>
            <w:vAlign w:val="bottom"/>
            <w:hideMark/>
          </w:tcPr>
          <w:p w14:paraId="21EECD98"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5.4%</w:t>
            </w:r>
          </w:p>
        </w:tc>
        <w:tc>
          <w:tcPr>
            <w:tcW w:w="288" w:type="pct"/>
            <w:tcBorders>
              <w:top w:val="nil"/>
              <w:left w:val="nil"/>
              <w:bottom w:val="single" w:sz="4" w:space="0" w:color="auto"/>
              <w:right w:val="single" w:sz="4" w:space="0" w:color="auto"/>
            </w:tcBorders>
            <w:shd w:val="clear" w:color="auto" w:fill="auto"/>
            <w:noWrap/>
            <w:vAlign w:val="bottom"/>
            <w:hideMark/>
          </w:tcPr>
          <w:p w14:paraId="615205A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6,462 </w:t>
            </w:r>
          </w:p>
        </w:tc>
        <w:tc>
          <w:tcPr>
            <w:tcW w:w="352" w:type="pct"/>
            <w:tcBorders>
              <w:top w:val="nil"/>
              <w:left w:val="nil"/>
              <w:bottom w:val="single" w:sz="4" w:space="0" w:color="auto"/>
              <w:right w:val="single" w:sz="4" w:space="0" w:color="auto"/>
            </w:tcBorders>
            <w:shd w:val="clear" w:color="auto" w:fill="auto"/>
            <w:noWrap/>
            <w:vAlign w:val="bottom"/>
            <w:hideMark/>
          </w:tcPr>
          <w:p w14:paraId="22B0A64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4,892 </w:t>
            </w:r>
          </w:p>
        </w:tc>
        <w:tc>
          <w:tcPr>
            <w:tcW w:w="320" w:type="pct"/>
            <w:tcBorders>
              <w:top w:val="nil"/>
              <w:left w:val="nil"/>
              <w:bottom w:val="single" w:sz="4" w:space="0" w:color="auto"/>
              <w:right w:val="single" w:sz="4" w:space="0" w:color="auto"/>
            </w:tcBorders>
            <w:shd w:val="clear" w:color="000000" w:fill="D9D9D9"/>
            <w:noWrap/>
            <w:vAlign w:val="bottom"/>
            <w:hideMark/>
          </w:tcPr>
          <w:p w14:paraId="6DE8936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1,570 </w:t>
            </w:r>
          </w:p>
        </w:tc>
        <w:tc>
          <w:tcPr>
            <w:tcW w:w="320" w:type="pct"/>
            <w:tcBorders>
              <w:top w:val="nil"/>
              <w:left w:val="nil"/>
              <w:bottom w:val="single" w:sz="4" w:space="0" w:color="auto"/>
              <w:right w:val="single" w:sz="4" w:space="0" w:color="auto"/>
            </w:tcBorders>
            <w:shd w:val="clear" w:color="000000" w:fill="D9D9D9"/>
            <w:noWrap/>
            <w:vAlign w:val="bottom"/>
            <w:hideMark/>
          </w:tcPr>
          <w:p w14:paraId="0E6B3EBE"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32.1%</w:t>
            </w:r>
          </w:p>
        </w:tc>
        <w:tc>
          <w:tcPr>
            <w:tcW w:w="275" w:type="pct"/>
            <w:tcBorders>
              <w:top w:val="nil"/>
              <w:left w:val="nil"/>
              <w:bottom w:val="single" w:sz="4" w:space="0" w:color="auto"/>
              <w:right w:val="single" w:sz="4" w:space="0" w:color="auto"/>
            </w:tcBorders>
            <w:shd w:val="clear" w:color="auto" w:fill="auto"/>
            <w:noWrap/>
            <w:vAlign w:val="bottom"/>
            <w:hideMark/>
          </w:tcPr>
          <w:p w14:paraId="4352C99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48,706 </w:t>
            </w:r>
          </w:p>
        </w:tc>
        <w:tc>
          <w:tcPr>
            <w:tcW w:w="275" w:type="pct"/>
            <w:tcBorders>
              <w:top w:val="nil"/>
              <w:left w:val="nil"/>
              <w:bottom w:val="single" w:sz="4" w:space="0" w:color="auto"/>
              <w:right w:val="single" w:sz="4" w:space="0" w:color="auto"/>
            </w:tcBorders>
            <w:shd w:val="clear" w:color="auto" w:fill="auto"/>
            <w:noWrap/>
            <w:vAlign w:val="bottom"/>
            <w:hideMark/>
          </w:tcPr>
          <w:p w14:paraId="5A0C025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46,724 </w:t>
            </w:r>
          </w:p>
        </w:tc>
        <w:tc>
          <w:tcPr>
            <w:tcW w:w="275" w:type="pct"/>
            <w:tcBorders>
              <w:top w:val="nil"/>
              <w:left w:val="nil"/>
              <w:bottom w:val="single" w:sz="4" w:space="0" w:color="auto"/>
              <w:right w:val="single" w:sz="4" w:space="0" w:color="auto"/>
            </w:tcBorders>
            <w:shd w:val="clear" w:color="000000" w:fill="D9D9D9"/>
            <w:noWrap/>
            <w:vAlign w:val="bottom"/>
            <w:hideMark/>
          </w:tcPr>
          <w:p w14:paraId="19C299B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1,982 </w:t>
            </w:r>
          </w:p>
        </w:tc>
        <w:tc>
          <w:tcPr>
            <w:tcW w:w="275" w:type="pct"/>
            <w:tcBorders>
              <w:top w:val="nil"/>
              <w:left w:val="nil"/>
              <w:bottom w:val="single" w:sz="4" w:space="0" w:color="auto"/>
              <w:right w:val="single" w:sz="4" w:space="0" w:color="auto"/>
            </w:tcBorders>
            <w:shd w:val="clear" w:color="000000" w:fill="D9D9D9"/>
            <w:noWrap/>
            <w:vAlign w:val="bottom"/>
            <w:hideMark/>
          </w:tcPr>
          <w:p w14:paraId="598F368D"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4.2%</w:t>
            </w:r>
          </w:p>
        </w:tc>
      </w:tr>
      <w:tr w:rsidR="00304440" w:rsidRPr="00B23317" w14:paraId="14B6C14C"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A09B4B0" w14:textId="033D4256" w:rsidR="00B23317" w:rsidRPr="00B23317" w:rsidRDefault="00046A7A" w:rsidP="00B23317">
            <w:pPr>
              <w:spacing w:after="0" w:line="240" w:lineRule="auto"/>
              <w:rPr>
                <w:rFonts w:eastAsia="Times New Roman" w:cstheme="minorHAnsi"/>
                <w:color w:val="000000"/>
                <w:sz w:val="16"/>
                <w:szCs w:val="16"/>
                <w:lang w:eastAsia="en-AU"/>
              </w:rPr>
            </w:pPr>
            <w:r w:rsidRPr="00046A7A">
              <w:rPr>
                <w:rFonts w:eastAsia="Times New Roman" w:cstheme="minorHAnsi"/>
                <w:color w:val="000000"/>
                <w:sz w:val="16"/>
                <w:szCs w:val="16"/>
                <w:lang w:eastAsia="en-AU"/>
              </w:rPr>
              <w:t>Federation University Australia</w:t>
            </w:r>
          </w:p>
        </w:tc>
        <w:tc>
          <w:tcPr>
            <w:tcW w:w="338" w:type="pct"/>
            <w:tcBorders>
              <w:top w:val="nil"/>
              <w:left w:val="nil"/>
              <w:bottom w:val="single" w:sz="4" w:space="0" w:color="auto"/>
              <w:right w:val="single" w:sz="4" w:space="0" w:color="auto"/>
            </w:tcBorders>
            <w:shd w:val="clear" w:color="auto" w:fill="auto"/>
            <w:noWrap/>
            <w:vAlign w:val="bottom"/>
            <w:hideMark/>
          </w:tcPr>
          <w:p w14:paraId="4165A65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343,309 </w:t>
            </w:r>
          </w:p>
        </w:tc>
        <w:tc>
          <w:tcPr>
            <w:tcW w:w="338" w:type="pct"/>
            <w:tcBorders>
              <w:top w:val="nil"/>
              <w:left w:val="nil"/>
              <w:bottom w:val="single" w:sz="4" w:space="0" w:color="auto"/>
              <w:right w:val="single" w:sz="4" w:space="0" w:color="auto"/>
            </w:tcBorders>
            <w:shd w:val="clear" w:color="auto" w:fill="auto"/>
            <w:noWrap/>
            <w:vAlign w:val="bottom"/>
            <w:hideMark/>
          </w:tcPr>
          <w:p w14:paraId="73AA5E3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408,228 </w:t>
            </w:r>
          </w:p>
        </w:tc>
        <w:tc>
          <w:tcPr>
            <w:tcW w:w="338" w:type="pct"/>
            <w:tcBorders>
              <w:top w:val="nil"/>
              <w:left w:val="nil"/>
              <w:bottom w:val="single" w:sz="4" w:space="0" w:color="auto"/>
              <w:right w:val="single" w:sz="4" w:space="0" w:color="auto"/>
            </w:tcBorders>
            <w:shd w:val="clear" w:color="000000" w:fill="D9D9D9"/>
            <w:noWrap/>
            <w:vAlign w:val="bottom"/>
            <w:hideMark/>
          </w:tcPr>
          <w:p w14:paraId="69ED80A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-64,919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D7FAD"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-15.9%</w:t>
            </w:r>
          </w:p>
        </w:tc>
        <w:tc>
          <w:tcPr>
            <w:tcW w:w="288" w:type="pct"/>
            <w:tcBorders>
              <w:top w:val="nil"/>
              <w:left w:val="nil"/>
              <w:bottom w:val="single" w:sz="4" w:space="0" w:color="auto"/>
              <w:right w:val="single" w:sz="4" w:space="0" w:color="auto"/>
            </w:tcBorders>
            <w:shd w:val="clear" w:color="auto" w:fill="auto"/>
            <w:noWrap/>
            <w:vAlign w:val="bottom"/>
            <w:hideMark/>
          </w:tcPr>
          <w:p w14:paraId="1EC7F71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21,474 </w:t>
            </w:r>
          </w:p>
        </w:tc>
        <w:tc>
          <w:tcPr>
            <w:tcW w:w="352" w:type="pct"/>
            <w:tcBorders>
              <w:top w:val="nil"/>
              <w:left w:val="nil"/>
              <w:bottom w:val="single" w:sz="4" w:space="0" w:color="auto"/>
              <w:right w:val="single" w:sz="4" w:space="0" w:color="auto"/>
            </w:tcBorders>
            <w:shd w:val="clear" w:color="auto" w:fill="auto"/>
            <w:noWrap/>
            <w:vAlign w:val="bottom"/>
            <w:hideMark/>
          </w:tcPr>
          <w:p w14:paraId="785F5F7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35,397 </w:t>
            </w:r>
          </w:p>
        </w:tc>
        <w:tc>
          <w:tcPr>
            <w:tcW w:w="320" w:type="pct"/>
            <w:tcBorders>
              <w:top w:val="nil"/>
              <w:left w:val="nil"/>
              <w:bottom w:val="single" w:sz="4" w:space="0" w:color="auto"/>
              <w:right w:val="single" w:sz="4" w:space="0" w:color="auto"/>
            </w:tcBorders>
            <w:shd w:val="clear" w:color="000000" w:fill="D9D9D9"/>
            <w:noWrap/>
            <w:vAlign w:val="bottom"/>
            <w:hideMark/>
          </w:tcPr>
          <w:p w14:paraId="7DDE027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-13,923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126055"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-39.3%</w:t>
            </w:r>
          </w:p>
        </w:tc>
        <w:tc>
          <w:tcPr>
            <w:tcW w:w="275" w:type="pct"/>
            <w:tcBorders>
              <w:top w:val="nil"/>
              <w:left w:val="nil"/>
              <w:bottom w:val="single" w:sz="4" w:space="0" w:color="auto"/>
              <w:right w:val="single" w:sz="4" w:space="0" w:color="auto"/>
            </w:tcBorders>
            <w:shd w:val="clear" w:color="auto" w:fill="auto"/>
            <w:noWrap/>
            <w:vAlign w:val="bottom"/>
            <w:hideMark/>
          </w:tcPr>
          <w:p w14:paraId="61067E8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125,225 </w:t>
            </w:r>
          </w:p>
        </w:tc>
        <w:tc>
          <w:tcPr>
            <w:tcW w:w="275" w:type="pct"/>
            <w:tcBorders>
              <w:top w:val="nil"/>
              <w:left w:val="nil"/>
              <w:bottom w:val="single" w:sz="4" w:space="0" w:color="auto"/>
              <w:right w:val="single" w:sz="4" w:space="0" w:color="auto"/>
            </w:tcBorders>
            <w:shd w:val="clear" w:color="auto" w:fill="auto"/>
            <w:noWrap/>
            <w:vAlign w:val="bottom"/>
            <w:hideMark/>
          </w:tcPr>
          <w:p w14:paraId="5130351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183,287 </w:t>
            </w:r>
          </w:p>
        </w:tc>
        <w:tc>
          <w:tcPr>
            <w:tcW w:w="275" w:type="pct"/>
            <w:tcBorders>
              <w:top w:val="nil"/>
              <w:left w:val="nil"/>
              <w:bottom w:val="single" w:sz="4" w:space="0" w:color="auto"/>
              <w:right w:val="single" w:sz="4" w:space="0" w:color="auto"/>
            </w:tcBorders>
            <w:shd w:val="clear" w:color="000000" w:fill="D9D9D9"/>
            <w:noWrap/>
            <w:vAlign w:val="bottom"/>
            <w:hideMark/>
          </w:tcPr>
          <w:p w14:paraId="41709FF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-58,062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8B5E249"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-31.7%</w:t>
            </w:r>
          </w:p>
        </w:tc>
      </w:tr>
      <w:tr w:rsidR="00304440" w:rsidRPr="00B23317" w14:paraId="76A3F789"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2222B9E"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University of the Sunshine Coast</w:t>
            </w:r>
          </w:p>
        </w:tc>
        <w:tc>
          <w:tcPr>
            <w:tcW w:w="338" w:type="pct"/>
            <w:tcBorders>
              <w:top w:val="nil"/>
              <w:left w:val="nil"/>
              <w:bottom w:val="single" w:sz="4" w:space="0" w:color="auto"/>
              <w:right w:val="single" w:sz="4" w:space="0" w:color="auto"/>
            </w:tcBorders>
            <w:shd w:val="clear" w:color="auto" w:fill="auto"/>
            <w:noWrap/>
            <w:vAlign w:val="bottom"/>
            <w:hideMark/>
          </w:tcPr>
          <w:p w14:paraId="33F0304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321,578 </w:t>
            </w:r>
          </w:p>
        </w:tc>
        <w:tc>
          <w:tcPr>
            <w:tcW w:w="338" w:type="pct"/>
            <w:tcBorders>
              <w:top w:val="nil"/>
              <w:left w:val="nil"/>
              <w:bottom w:val="single" w:sz="4" w:space="0" w:color="auto"/>
              <w:right w:val="single" w:sz="4" w:space="0" w:color="auto"/>
            </w:tcBorders>
            <w:shd w:val="clear" w:color="auto" w:fill="auto"/>
            <w:noWrap/>
            <w:vAlign w:val="bottom"/>
            <w:hideMark/>
          </w:tcPr>
          <w:p w14:paraId="2078F28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310,157 </w:t>
            </w:r>
          </w:p>
        </w:tc>
        <w:tc>
          <w:tcPr>
            <w:tcW w:w="338" w:type="pct"/>
            <w:tcBorders>
              <w:top w:val="nil"/>
              <w:left w:val="nil"/>
              <w:bottom w:val="single" w:sz="4" w:space="0" w:color="auto"/>
              <w:right w:val="single" w:sz="4" w:space="0" w:color="auto"/>
            </w:tcBorders>
            <w:shd w:val="clear" w:color="000000" w:fill="D9D9D9"/>
            <w:noWrap/>
            <w:vAlign w:val="bottom"/>
            <w:hideMark/>
          </w:tcPr>
          <w:p w14:paraId="5AFC091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11,421 </w:t>
            </w:r>
          </w:p>
        </w:tc>
        <w:tc>
          <w:tcPr>
            <w:tcW w:w="338" w:type="pct"/>
            <w:tcBorders>
              <w:top w:val="nil"/>
              <w:left w:val="nil"/>
              <w:bottom w:val="single" w:sz="4" w:space="0" w:color="auto"/>
              <w:right w:val="single" w:sz="4" w:space="0" w:color="auto"/>
            </w:tcBorders>
            <w:shd w:val="clear" w:color="000000" w:fill="D9D9D9"/>
            <w:noWrap/>
            <w:vAlign w:val="bottom"/>
            <w:hideMark/>
          </w:tcPr>
          <w:p w14:paraId="11F69DF7"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3.7%</w:t>
            </w:r>
          </w:p>
        </w:tc>
        <w:tc>
          <w:tcPr>
            <w:tcW w:w="288" w:type="pct"/>
            <w:tcBorders>
              <w:top w:val="nil"/>
              <w:left w:val="nil"/>
              <w:bottom w:val="single" w:sz="4" w:space="0" w:color="auto"/>
              <w:right w:val="single" w:sz="4" w:space="0" w:color="auto"/>
            </w:tcBorders>
            <w:shd w:val="clear" w:color="auto" w:fill="auto"/>
            <w:noWrap/>
            <w:vAlign w:val="bottom"/>
            <w:hideMark/>
          </w:tcPr>
          <w:p w14:paraId="3D16CCF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7,086 </w:t>
            </w:r>
          </w:p>
        </w:tc>
        <w:tc>
          <w:tcPr>
            <w:tcW w:w="352" w:type="pct"/>
            <w:tcBorders>
              <w:top w:val="nil"/>
              <w:left w:val="nil"/>
              <w:bottom w:val="single" w:sz="4" w:space="0" w:color="auto"/>
              <w:right w:val="single" w:sz="4" w:space="0" w:color="auto"/>
            </w:tcBorders>
            <w:shd w:val="clear" w:color="auto" w:fill="auto"/>
            <w:noWrap/>
            <w:vAlign w:val="bottom"/>
            <w:hideMark/>
          </w:tcPr>
          <w:p w14:paraId="2EC12CF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3,528 </w:t>
            </w:r>
          </w:p>
        </w:tc>
        <w:tc>
          <w:tcPr>
            <w:tcW w:w="320" w:type="pct"/>
            <w:tcBorders>
              <w:top w:val="nil"/>
              <w:left w:val="nil"/>
              <w:bottom w:val="single" w:sz="4" w:space="0" w:color="auto"/>
              <w:right w:val="single" w:sz="4" w:space="0" w:color="auto"/>
            </w:tcBorders>
            <w:shd w:val="clear" w:color="000000" w:fill="D9D9D9"/>
            <w:noWrap/>
            <w:vAlign w:val="bottom"/>
            <w:hideMark/>
          </w:tcPr>
          <w:p w14:paraId="43E5E8E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3,558 </w:t>
            </w:r>
          </w:p>
        </w:tc>
        <w:tc>
          <w:tcPr>
            <w:tcW w:w="320" w:type="pct"/>
            <w:tcBorders>
              <w:top w:val="nil"/>
              <w:left w:val="nil"/>
              <w:bottom w:val="single" w:sz="4" w:space="0" w:color="auto"/>
              <w:right w:val="single" w:sz="4" w:space="0" w:color="auto"/>
            </w:tcBorders>
            <w:shd w:val="clear" w:color="000000" w:fill="D9D9D9"/>
            <w:noWrap/>
            <w:vAlign w:val="bottom"/>
            <w:hideMark/>
          </w:tcPr>
          <w:p w14:paraId="6624A71B"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100.9%</w:t>
            </w:r>
          </w:p>
        </w:tc>
        <w:tc>
          <w:tcPr>
            <w:tcW w:w="275" w:type="pct"/>
            <w:tcBorders>
              <w:top w:val="nil"/>
              <w:left w:val="nil"/>
              <w:bottom w:val="single" w:sz="4" w:space="0" w:color="auto"/>
              <w:right w:val="single" w:sz="4" w:space="0" w:color="auto"/>
            </w:tcBorders>
            <w:shd w:val="clear" w:color="auto" w:fill="auto"/>
            <w:noWrap/>
            <w:vAlign w:val="bottom"/>
            <w:hideMark/>
          </w:tcPr>
          <w:p w14:paraId="272B91B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46,306 </w:t>
            </w:r>
          </w:p>
        </w:tc>
        <w:tc>
          <w:tcPr>
            <w:tcW w:w="275" w:type="pct"/>
            <w:tcBorders>
              <w:top w:val="nil"/>
              <w:left w:val="nil"/>
              <w:bottom w:val="single" w:sz="4" w:space="0" w:color="auto"/>
              <w:right w:val="single" w:sz="4" w:space="0" w:color="auto"/>
            </w:tcBorders>
            <w:shd w:val="clear" w:color="auto" w:fill="auto"/>
            <w:noWrap/>
            <w:vAlign w:val="bottom"/>
            <w:hideMark/>
          </w:tcPr>
          <w:p w14:paraId="4D81402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63,857 </w:t>
            </w:r>
          </w:p>
        </w:tc>
        <w:tc>
          <w:tcPr>
            <w:tcW w:w="275" w:type="pct"/>
            <w:tcBorders>
              <w:top w:val="nil"/>
              <w:left w:val="nil"/>
              <w:bottom w:val="single" w:sz="4" w:space="0" w:color="auto"/>
              <w:right w:val="single" w:sz="4" w:space="0" w:color="auto"/>
            </w:tcBorders>
            <w:shd w:val="clear" w:color="000000" w:fill="D9D9D9"/>
            <w:noWrap/>
            <w:vAlign w:val="bottom"/>
            <w:hideMark/>
          </w:tcPr>
          <w:p w14:paraId="728777A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-17,551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0721AE"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-27.5%</w:t>
            </w:r>
          </w:p>
        </w:tc>
      </w:tr>
      <w:tr w:rsidR="00304440" w:rsidRPr="00B23317" w14:paraId="49CE8077"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0B5C2F1F"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University of Canberra</w:t>
            </w:r>
          </w:p>
        </w:tc>
        <w:tc>
          <w:tcPr>
            <w:tcW w:w="338" w:type="pct"/>
            <w:tcBorders>
              <w:top w:val="nil"/>
              <w:left w:val="nil"/>
              <w:bottom w:val="single" w:sz="4" w:space="0" w:color="auto"/>
              <w:right w:val="single" w:sz="4" w:space="0" w:color="auto"/>
            </w:tcBorders>
            <w:shd w:val="clear" w:color="auto" w:fill="auto"/>
            <w:noWrap/>
            <w:vAlign w:val="bottom"/>
            <w:hideMark/>
          </w:tcPr>
          <w:p w14:paraId="6A885E8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312,402 </w:t>
            </w:r>
          </w:p>
        </w:tc>
        <w:tc>
          <w:tcPr>
            <w:tcW w:w="338" w:type="pct"/>
            <w:tcBorders>
              <w:top w:val="nil"/>
              <w:left w:val="nil"/>
              <w:bottom w:val="single" w:sz="4" w:space="0" w:color="auto"/>
              <w:right w:val="single" w:sz="4" w:space="0" w:color="auto"/>
            </w:tcBorders>
            <w:shd w:val="clear" w:color="auto" w:fill="auto"/>
            <w:noWrap/>
            <w:vAlign w:val="bottom"/>
            <w:hideMark/>
          </w:tcPr>
          <w:p w14:paraId="0CA01A1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314,235 </w:t>
            </w:r>
          </w:p>
        </w:tc>
        <w:tc>
          <w:tcPr>
            <w:tcW w:w="338" w:type="pct"/>
            <w:tcBorders>
              <w:top w:val="nil"/>
              <w:left w:val="nil"/>
              <w:bottom w:val="single" w:sz="4" w:space="0" w:color="auto"/>
              <w:right w:val="single" w:sz="4" w:space="0" w:color="auto"/>
            </w:tcBorders>
            <w:shd w:val="clear" w:color="000000" w:fill="D9D9D9"/>
            <w:noWrap/>
            <w:vAlign w:val="bottom"/>
            <w:hideMark/>
          </w:tcPr>
          <w:p w14:paraId="7515E08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-1,833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352DA9A"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-0.6%</w:t>
            </w:r>
          </w:p>
        </w:tc>
        <w:tc>
          <w:tcPr>
            <w:tcW w:w="288" w:type="pct"/>
            <w:tcBorders>
              <w:top w:val="nil"/>
              <w:left w:val="nil"/>
              <w:bottom w:val="single" w:sz="4" w:space="0" w:color="auto"/>
              <w:right w:val="single" w:sz="4" w:space="0" w:color="auto"/>
            </w:tcBorders>
            <w:shd w:val="clear" w:color="auto" w:fill="auto"/>
            <w:noWrap/>
            <w:vAlign w:val="bottom"/>
            <w:hideMark/>
          </w:tcPr>
          <w:p w14:paraId="7C993E0D"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5,041 </w:t>
            </w:r>
          </w:p>
        </w:tc>
        <w:tc>
          <w:tcPr>
            <w:tcW w:w="352" w:type="pct"/>
            <w:tcBorders>
              <w:top w:val="nil"/>
              <w:left w:val="nil"/>
              <w:bottom w:val="single" w:sz="4" w:space="0" w:color="auto"/>
              <w:right w:val="single" w:sz="4" w:space="0" w:color="auto"/>
            </w:tcBorders>
            <w:shd w:val="clear" w:color="auto" w:fill="auto"/>
            <w:noWrap/>
            <w:vAlign w:val="bottom"/>
            <w:hideMark/>
          </w:tcPr>
          <w:p w14:paraId="1DEE7F7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2,833 </w:t>
            </w:r>
          </w:p>
        </w:tc>
        <w:tc>
          <w:tcPr>
            <w:tcW w:w="320" w:type="pct"/>
            <w:tcBorders>
              <w:top w:val="nil"/>
              <w:left w:val="nil"/>
              <w:bottom w:val="single" w:sz="4" w:space="0" w:color="auto"/>
              <w:right w:val="single" w:sz="4" w:space="0" w:color="auto"/>
            </w:tcBorders>
            <w:shd w:val="clear" w:color="000000" w:fill="D9D9D9"/>
            <w:noWrap/>
            <w:vAlign w:val="bottom"/>
            <w:hideMark/>
          </w:tcPr>
          <w:p w14:paraId="619C02A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2,208 </w:t>
            </w:r>
          </w:p>
        </w:tc>
        <w:tc>
          <w:tcPr>
            <w:tcW w:w="320" w:type="pct"/>
            <w:tcBorders>
              <w:top w:val="nil"/>
              <w:left w:val="nil"/>
              <w:bottom w:val="single" w:sz="4" w:space="0" w:color="auto"/>
              <w:right w:val="single" w:sz="4" w:space="0" w:color="auto"/>
            </w:tcBorders>
            <w:shd w:val="clear" w:color="000000" w:fill="D9D9D9"/>
            <w:noWrap/>
            <w:vAlign w:val="bottom"/>
            <w:hideMark/>
          </w:tcPr>
          <w:p w14:paraId="391F3430"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77.9%</w:t>
            </w:r>
          </w:p>
        </w:tc>
        <w:tc>
          <w:tcPr>
            <w:tcW w:w="275" w:type="pct"/>
            <w:tcBorders>
              <w:top w:val="nil"/>
              <w:left w:val="nil"/>
              <w:bottom w:val="single" w:sz="4" w:space="0" w:color="auto"/>
              <w:right w:val="single" w:sz="4" w:space="0" w:color="auto"/>
            </w:tcBorders>
            <w:shd w:val="clear" w:color="auto" w:fill="auto"/>
            <w:noWrap/>
            <w:vAlign w:val="bottom"/>
            <w:hideMark/>
          </w:tcPr>
          <w:p w14:paraId="7D21D5A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69,529 </w:t>
            </w:r>
          </w:p>
        </w:tc>
        <w:tc>
          <w:tcPr>
            <w:tcW w:w="275" w:type="pct"/>
            <w:tcBorders>
              <w:top w:val="nil"/>
              <w:left w:val="nil"/>
              <w:bottom w:val="single" w:sz="4" w:space="0" w:color="auto"/>
              <w:right w:val="single" w:sz="4" w:space="0" w:color="auto"/>
            </w:tcBorders>
            <w:shd w:val="clear" w:color="auto" w:fill="auto"/>
            <w:noWrap/>
            <w:vAlign w:val="bottom"/>
            <w:hideMark/>
          </w:tcPr>
          <w:p w14:paraId="160E34B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67,216 </w:t>
            </w:r>
          </w:p>
        </w:tc>
        <w:tc>
          <w:tcPr>
            <w:tcW w:w="275" w:type="pct"/>
            <w:tcBorders>
              <w:top w:val="nil"/>
              <w:left w:val="nil"/>
              <w:bottom w:val="single" w:sz="4" w:space="0" w:color="auto"/>
              <w:right w:val="single" w:sz="4" w:space="0" w:color="auto"/>
            </w:tcBorders>
            <w:shd w:val="clear" w:color="000000" w:fill="D9D9D9"/>
            <w:noWrap/>
            <w:vAlign w:val="bottom"/>
            <w:hideMark/>
          </w:tcPr>
          <w:p w14:paraId="3A08600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2,313 </w:t>
            </w:r>
          </w:p>
        </w:tc>
        <w:tc>
          <w:tcPr>
            <w:tcW w:w="275" w:type="pct"/>
            <w:tcBorders>
              <w:top w:val="nil"/>
              <w:left w:val="nil"/>
              <w:bottom w:val="single" w:sz="4" w:space="0" w:color="auto"/>
              <w:right w:val="single" w:sz="4" w:space="0" w:color="auto"/>
            </w:tcBorders>
            <w:shd w:val="clear" w:color="000000" w:fill="D9D9D9"/>
            <w:noWrap/>
            <w:vAlign w:val="bottom"/>
            <w:hideMark/>
          </w:tcPr>
          <w:p w14:paraId="6E583AA3"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3.4%</w:t>
            </w:r>
          </w:p>
        </w:tc>
      </w:tr>
      <w:tr w:rsidR="00304440" w:rsidRPr="00B23317" w14:paraId="7F7AE2BF"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12233BCF"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Charles Darwin University</w:t>
            </w:r>
          </w:p>
        </w:tc>
        <w:tc>
          <w:tcPr>
            <w:tcW w:w="338" w:type="pct"/>
            <w:tcBorders>
              <w:top w:val="nil"/>
              <w:left w:val="nil"/>
              <w:bottom w:val="single" w:sz="4" w:space="0" w:color="auto"/>
              <w:right w:val="single" w:sz="4" w:space="0" w:color="auto"/>
            </w:tcBorders>
            <w:shd w:val="clear" w:color="auto" w:fill="auto"/>
            <w:noWrap/>
            <w:vAlign w:val="bottom"/>
            <w:hideMark/>
          </w:tcPr>
          <w:p w14:paraId="6CBA413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308,305 </w:t>
            </w:r>
          </w:p>
        </w:tc>
        <w:tc>
          <w:tcPr>
            <w:tcW w:w="338" w:type="pct"/>
            <w:tcBorders>
              <w:top w:val="nil"/>
              <w:left w:val="nil"/>
              <w:bottom w:val="single" w:sz="4" w:space="0" w:color="auto"/>
              <w:right w:val="single" w:sz="4" w:space="0" w:color="auto"/>
            </w:tcBorders>
            <w:shd w:val="clear" w:color="auto" w:fill="auto"/>
            <w:noWrap/>
            <w:vAlign w:val="bottom"/>
            <w:hideMark/>
          </w:tcPr>
          <w:p w14:paraId="40651D6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270,849 </w:t>
            </w:r>
          </w:p>
        </w:tc>
        <w:tc>
          <w:tcPr>
            <w:tcW w:w="338" w:type="pct"/>
            <w:tcBorders>
              <w:top w:val="nil"/>
              <w:left w:val="nil"/>
              <w:bottom w:val="single" w:sz="4" w:space="0" w:color="auto"/>
              <w:right w:val="single" w:sz="4" w:space="0" w:color="auto"/>
            </w:tcBorders>
            <w:shd w:val="clear" w:color="000000" w:fill="D9D9D9"/>
            <w:noWrap/>
            <w:vAlign w:val="bottom"/>
            <w:hideMark/>
          </w:tcPr>
          <w:p w14:paraId="0226798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37,456 </w:t>
            </w:r>
          </w:p>
        </w:tc>
        <w:tc>
          <w:tcPr>
            <w:tcW w:w="338" w:type="pct"/>
            <w:tcBorders>
              <w:top w:val="nil"/>
              <w:left w:val="nil"/>
              <w:bottom w:val="single" w:sz="4" w:space="0" w:color="auto"/>
              <w:right w:val="single" w:sz="4" w:space="0" w:color="auto"/>
            </w:tcBorders>
            <w:shd w:val="clear" w:color="000000" w:fill="D9D9D9"/>
            <w:noWrap/>
            <w:vAlign w:val="bottom"/>
            <w:hideMark/>
          </w:tcPr>
          <w:p w14:paraId="190FDEFF"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13.8%</w:t>
            </w:r>
          </w:p>
        </w:tc>
        <w:tc>
          <w:tcPr>
            <w:tcW w:w="288" w:type="pct"/>
            <w:tcBorders>
              <w:top w:val="nil"/>
              <w:left w:val="nil"/>
              <w:bottom w:val="single" w:sz="4" w:space="0" w:color="auto"/>
              <w:right w:val="single" w:sz="4" w:space="0" w:color="auto"/>
            </w:tcBorders>
            <w:shd w:val="clear" w:color="auto" w:fill="auto"/>
            <w:noWrap/>
            <w:vAlign w:val="bottom"/>
            <w:hideMark/>
          </w:tcPr>
          <w:p w14:paraId="10EA98A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4,475 </w:t>
            </w:r>
          </w:p>
        </w:tc>
        <w:tc>
          <w:tcPr>
            <w:tcW w:w="352" w:type="pct"/>
            <w:tcBorders>
              <w:top w:val="nil"/>
              <w:left w:val="nil"/>
              <w:bottom w:val="single" w:sz="4" w:space="0" w:color="auto"/>
              <w:right w:val="single" w:sz="4" w:space="0" w:color="auto"/>
            </w:tcBorders>
            <w:shd w:val="clear" w:color="auto" w:fill="auto"/>
            <w:noWrap/>
            <w:vAlign w:val="bottom"/>
            <w:hideMark/>
          </w:tcPr>
          <w:p w14:paraId="12EF427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2,377 </w:t>
            </w:r>
          </w:p>
        </w:tc>
        <w:tc>
          <w:tcPr>
            <w:tcW w:w="320" w:type="pct"/>
            <w:tcBorders>
              <w:top w:val="nil"/>
              <w:left w:val="nil"/>
              <w:bottom w:val="single" w:sz="4" w:space="0" w:color="auto"/>
              <w:right w:val="single" w:sz="4" w:space="0" w:color="auto"/>
            </w:tcBorders>
            <w:shd w:val="clear" w:color="000000" w:fill="D9D9D9"/>
            <w:noWrap/>
            <w:vAlign w:val="bottom"/>
            <w:hideMark/>
          </w:tcPr>
          <w:p w14:paraId="7FD5BC79"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2,098 </w:t>
            </w:r>
          </w:p>
        </w:tc>
        <w:tc>
          <w:tcPr>
            <w:tcW w:w="320" w:type="pct"/>
            <w:tcBorders>
              <w:top w:val="nil"/>
              <w:left w:val="nil"/>
              <w:bottom w:val="single" w:sz="4" w:space="0" w:color="auto"/>
              <w:right w:val="single" w:sz="4" w:space="0" w:color="auto"/>
            </w:tcBorders>
            <w:shd w:val="clear" w:color="000000" w:fill="D9D9D9"/>
            <w:noWrap/>
            <w:vAlign w:val="bottom"/>
            <w:hideMark/>
          </w:tcPr>
          <w:p w14:paraId="45AC67B7"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88.3%</w:t>
            </w:r>
          </w:p>
        </w:tc>
        <w:tc>
          <w:tcPr>
            <w:tcW w:w="275" w:type="pct"/>
            <w:tcBorders>
              <w:top w:val="nil"/>
              <w:left w:val="nil"/>
              <w:bottom w:val="single" w:sz="4" w:space="0" w:color="auto"/>
              <w:right w:val="single" w:sz="4" w:space="0" w:color="auto"/>
            </w:tcBorders>
            <w:shd w:val="clear" w:color="auto" w:fill="auto"/>
            <w:noWrap/>
            <w:vAlign w:val="bottom"/>
            <w:hideMark/>
          </w:tcPr>
          <w:p w14:paraId="0213B7C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50,619 </w:t>
            </w:r>
          </w:p>
        </w:tc>
        <w:tc>
          <w:tcPr>
            <w:tcW w:w="275" w:type="pct"/>
            <w:tcBorders>
              <w:top w:val="nil"/>
              <w:left w:val="nil"/>
              <w:bottom w:val="single" w:sz="4" w:space="0" w:color="auto"/>
              <w:right w:val="single" w:sz="4" w:space="0" w:color="auto"/>
            </w:tcBorders>
            <w:shd w:val="clear" w:color="auto" w:fill="auto"/>
            <w:noWrap/>
            <w:vAlign w:val="bottom"/>
            <w:hideMark/>
          </w:tcPr>
          <w:p w14:paraId="497D9D5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37,896 </w:t>
            </w:r>
          </w:p>
        </w:tc>
        <w:tc>
          <w:tcPr>
            <w:tcW w:w="275" w:type="pct"/>
            <w:tcBorders>
              <w:top w:val="nil"/>
              <w:left w:val="nil"/>
              <w:bottom w:val="single" w:sz="4" w:space="0" w:color="auto"/>
              <w:right w:val="single" w:sz="4" w:space="0" w:color="auto"/>
            </w:tcBorders>
            <w:shd w:val="clear" w:color="000000" w:fill="D9D9D9"/>
            <w:noWrap/>
            <w:vAlign w:val="bottom"/>
            <w:hideMark/>
          </w:tcPr>
          <w:p w14:paraId="7309E2D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12,723 </w:t>
            </w:r>
          </w:p>
        </w:tc>
        <w:tc>
          <w:tcPr>
            <w:tcW w:w="275" w:type="pct"/>
            <w:tcBorders>
              <w:top w:val="nil"/>
              <w:left w:val="nil"/>
              <w:bottom w:val="single" w:sz="4" w:space="0" w:color="auto"/>
              <w:right w:val="single" w:sz="4" w:space="0" w:color="auto"/>
            </w:tcBorders>
            <w:shd w:val="clear" w:color="000000" w:fill="D9D9D9"/>
            <w:noWrap/>
            <w:vAlign w:val="bottom"/>
            <w:hideMark/>
          </w:tcPr>
          <w:p w14:paraId="5D50CAA4"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33.6%</w:t>
            </w:r>
          </w:p>
        </w:tc>
      </w:tr>
      <w:tr w:rsidR="00304440" w:rsidRPr="00B23317" w14:paraId="25CD5B51"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859AC2E"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Southern Cross University</w:t>
            </w:r>
          </w:p>
        </w:tc>
        <w:tc>
          <w:tcPr>
            <w:tcW w:w="338" w:type="pct"/>
            <w:tcBorders>
              <w:top w:val="nil"/>
              <w:left w:val="nil"/>
              <w:bottom w:val="single" w:sz="4" w:space="0" w:color="auto"/>
              <w:right w:val="single" w:sz="4" w:space="0" w:color="auto"/>
            </w:tcBorders>
            <w:shd w:val="clear" w:color="auto" w:fill="auto"/>
            <w:noWrap/>
            <w:vAlign w:val="bottom"/>
            <w:hideMark/>
          </w:tcPr>
          <w:p w14:paraId="132F1EA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291,286 </w:t>
            </w:r>
          </w:p>
        </w:tc>
        <w:tc>
          <w:tcPr>
            <w:tcW w:w="338" w:type="pct"/>
            <w:tcBorders>
              <w:top w:val="nil"/>
              <w:left w:val="nil"/>
              <w:bottom w:val="single" w:sz="4" w:space="0" w:color="auto"/>
              <w:right w:val="single" w:sz="4" w:space="0" w:color="auto"/>
            </w:tcBorders>
            <w:shd w:val="clear" w:color="auto" w:fill="auto"/>
            <w:noWrap/>
            <w:vAlign w:val="bottom"/>
            <w:hideMark/>
          </w:tcPr>
          <w:p w14:paraId="11B8B50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314,245 </w:t>
            </w:r>
          </w:p>
        </w:tc>
        <w:tc>
          <w:tcPr>
            <w:tcW w:w="338" w:type="pct"/>
            <w:tcBorders>
              <w:top w:val="nil"/>
              <w:left w:val="nil"/>
              <w:bottom w:val="single" w:sz="4" w:space="0" w:color="auto"/>
              <w:right w:val="single" w:sz="4" w:space="0" w:color="auto"/>
            </w:tcBorders>
            <w:shd w:val="clear" w:color="000000" w:fill="D9D9D9"/>
            <w:noWrap/>
            <w:vAlign w:val="bottom"/>
            <w:hideMark/>
          </w:tcPr>
          <w:p w14:paraId="7604BF40"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-22,959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29FCED"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-7.3%</w:t>
            </w:r>
          </w:p>
        </w:tc>
        <w:tc>
          <w:tcPr>
            <w:tcW w:w="288" w:type="pct"/>
            <w:tcBorders>
              <w:top w:val="nil"/>
              <w:left w:val="nil"/>
              <w:bottom w:val="single" w:sz="4" w:space="0" w:color="auto"/>
              <w:right w:val="single" w:sz="4" w:space="0" w:color="auto"/>
            </w:tcBorders>
            <w:shd w:val="clear" w:color="auto" w:fill="auto"/>
            <w:noWrap/>
            <w:vAlign w:val="bottom"/>
            <w:hideMark/>
          </w:tcPr>
          <w:p w14:paraId="78D8E18B"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4,203 </w:t>
            </w:r>
          </w:p>
        </w:tc>
        <w:tc>
          <w:tcPr>
            <w:tcW w:w="352" w:type="pct"/>
            <w:tcBorders>
              <w:top w:val="nil"/>
              <w:left w:val="nil"/>
              <w:bottom w:val="single" w:sz="4" w:space="0" w:color="auto"/>
              <w:right w:val="single" w:sz="4" w:space="0" w:color="auto"/>
            </w:tcBorders>
            <w:shd w:val="clear" w:color="auto" w:fill="auto"/>
            <w:noWrap/>
            <w:vAlign w:val="bottom"/>
            <w:hideMark/>
          </w:tcPr>
          <w:p w14:paraId="33517C58"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1,393 </w:t>
            </w:r>
          </w:p>
        </w:tc>
        <w:tc>
          <w:tcPr>
            <w:tcW w:w="320" w:type="pct"/>
            <w:tcBorders>
              <w:top w:val="nil"/>
              <w:left w:val="nil"/>
              <w:bottom w:val="single" w:sz="4" w:space="0" w:color="auto"/>
              <w:right w:val="single" w:sz="4" w:space="0" w:color="auto"/>
            </w:tcBorders>
            <w:shd w:val="clear" w:color="000000" w:fill="D9D9D9"/>
            <w:noWrap/>
            <w:vAlign w:val="bottom"/>
            <w:hideMark/>
          </w:tcPr>
          <w:p w14:paraId="581C16B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2,810 </w:t>
            </w:r>
          </w:p>
        </w:tc>
        <w:tc>
          <w:tcPr>
            <w:tcW w:w="320" w:type="pct"/>
            <w:tcBorders>
              <w:top w:val="nil"/>
              <w:left w:val="nil"/>
              <w:bottom w:val="single" w:sz="4" w:space="0" w:color="auto"/>
              <w:right w:val="single" w:sz="4" w:space="0" w:color="auto"/>
            </w:tcBorders>
            <w:shd w:val="clear" w:color="000000" w:fill="D9D9D9"/>
            <w:noWrap/>
            <w:vAlign w:val="bottom"/>
            <w:hideMark/>
          </w:tcPr>
          <w:p w14:paraId="489FF652"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201.7%</w:t>
            </w:r>
          </w:p>
        </w:tc>
        <w:tc>
          <w:tcPr>
            <w:tcW w:w="275" w:type="pct"/>
            <w:tcBorders>
              <w:top w:val="nil"/>
              <w:left w:val="nil"/>
              <w:bottom w:val="single" w:sz="4" w:space="0" w:color="auto"/>
              <w:right w:val="single" w:sz="4" w:space="0" w:color="auto"/>
            </w:tcBorders>
            <w:shd w:val="clear" w:color="auto" w:fill="auto"/>
            <w:noWrap/>
            <w:vAlign w:val="bottom"/>
            <w:hideMark/>
          </w:tcPr>
          <w:p w14:paraId="3BB9761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74,974 </w:t>
            </w:r>
          </w:p>
        </w:tc>
        <w:tc>
          <w:tcPr>
            <w:tcW w:w="275" w:type="pct"/>
            <w:tcBorders>
              <w:top w:val="nil"/>
              <w:left w:val="nil"/>
              <w:bottom w:val="single" w:sz="4" w:space="0" w:color="auto"/>
              <w:right w:val="single" w:sz="4" w:space="0" w:color="auto"/>
            </w:tcBorders>
            <w:shd w:val="clear" w:color="auto" w:fill="auto"/>
            <w:noWrap/>
            <w:vAlign w:val="bottom"/>
            <w:hideMark/>
          </w:tcPr>
          <w:p w14:paraId="54F4231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98,320 </w:t>
            </w:r>
          </w:p>
        </w:tc>
        <w:tc>
          <w:tcPr>
            <w:tcW w:w="275" w:type="pct"/>
            <w:tcBorders>
              <w:top w:val="nil"/>
              <w:left w:val="nil"/>
              <w:bottom w:val="single" w:sz="4" w:space="0" w:color="auto"/>
              <w:right w:val="single" w:sz="4" w:space="0" w:color="auto"/>
            </w:tcBorders>
            <w:shd w:val="clear" w:color="000000" w:fill="D9D9D9"/>
            <w:noWrap/>
            <w:vAlign w:val="bottom"/>
            <w:hideMark/>
          </w:tcPr>
          <w:p w14:paraId="34F27E1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-23,346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5DD4C85"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-23.7%</w:t>
            </w:r>
          </w:p>
        </w:tc>
      </w:tr>
      <w:tr w:rsidR="00304440" w:rsidRPr="00B23317" w14:paraId="671E3FB9"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234F376"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The University of Notre Dame Australia</w:t>
            </w:r>
          </w:p>
        </w:tc>
        <w:tc>
          <w:tcPr>
            <w:tcW w:w="338" w:type="pct"/>
            <w:tcBorders>
              <w:top w:val="nil"/>
              <w:left w:val="nil"/>
              <w:bottom w:val="single" w:sz="4" w:space="0" w:color="auto"/>
              <w:right w:val="single" w:sz="4" w:space="0" w:color="auto"/>
            </w:tcBorders>
            <w:shd w:val="clear" w:color="auto" w:fill="auto"/>
            <w:noWrap/>
            <w:vAlign w:val="bottom"/>
            <w:hideMark/>
          </w:tcPr>
          <w:p w14:paraId="546CE92E"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198,876 </w:t>
            </w:r>
          </w:p>
        </w:tc>
        <w:tc>
          <w:tcPr>
            <w:tcW w:w="338" w:type="pct"/>
            <w:tcBorders>
              <w:top w:val="nil"/>
              <w:left w:val="nil"/>
              <w:bottom w:val="single" w:sz="4" w:space="0" w:color="auto"/>
              <w:right w:val="single" w:sz="4" w:space="0" w:color="auto"/>
            </w:tcBorders>
            <w:shd w:val="clear" w:color="auto" w:fill="auto"/>
            <w:noWrap/>
            <w:vAlign w:val="bottom"/>
            <w:hideMark/>
          </w:tcPr>
          <w:p w14:paraId="713A787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189,932 </w:t>
            </w:r>
          </w:p>
        </w:tc>
        <w:tc>
          <w:tcPr>
            <w:tcW w:w="338" w:type="pct"/>
            <w:tcBorders>
              <w:top w:val="nil"/>
              <w:left w:val="nil"/>
              <w:bottom w:val="single" w:sz="4" w:space="0" w:color="auto"/>
              <w:right w:val="single" w:sz="4" w:space="0" w:color="auto"/>
            </w:tcBorders>
            <w:shd w:val="clear" w:color="000000" w:fill="D9D9D9"/>
            <w:noWrap/>
            <w:vAlign w:val="bottom"/>
            <w:hideMark/>
          </w:tcPr>
          <w:p w14:paraId="6B2BE5C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8,944 </w:t>
            </w:r>
          </w:p>
        </w:tc>
        <w:tc>
          <w:tcPr>
            <w:tcW w:w="338" w:type="pct"/>
            <w:tcBorders>
              <w:top w:val="nil"/>
              <w:left w:val="nil"/>
              <w:bottom w:val="single" w:sz="4" w:space="0" w:color="auto"/>
              <w:right w:val="single" w:sz="4" w:space="0" w:color="auto"/>
            </w:tcBorders>
            <w:shd w:val="clear" w:color="000000" w:fill="D9D9D9"/>
            <w:noWrap/>
            <w:vAlign w:val="bottom"/>
            <w:hideMark/>
          </w:tcPr>
          <w:p w14:paraId="0E1C3727"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4.7%</w:t>
            </w:r>
          </w:p>
        </w:tc>
        <w:tc>
          <w:tcPr>
            <w:tcW w:w="288" w:type="pct"/>
            <w:tcBorders>
              <w:top w:val="nil"/>
              <w:left w:val="nil"/>
              <w:bottom w:val="single" w:sz="4" w:space="0" w:color="auto"/>
              <w:right w:val="single" w:sz="4" w:space="0" w:color="auto"/>
            </w:tcBorders>
            <w:shd w:val="clear" w:color="auto" w:fill="auto"/>
            <w:noWrap/>
            <w:vAlign w:val="bottom"/>
            <w:hideMark/>
          </w:tcPr>
          <w:p w14:paraId="6B7C9DDF"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812 </w:t>
            </w:r>
          </w:p>
        </w:tc>
        <w:tc>
          <w:tcPr>
            <w:tcW w:w="352" w:type="pct"/>
            <w:tcBorders>
              <w:top w:val="nil"/>
              <w:left w:val="nil"/>
              <w:bottom w:val="single" w:sz="4" w:space="0" w:color="auto"/>
              <w:right w:val="single" w:sz="4" w:space="0" w:color="auto"/>
            </w:tcBorders>
            <w:shd w:val="clear" w:color="auto" w:fill="auto"/>
            <w:noWrap/>
            <w:vAlign w:val="bottom"/>
            <w:hideMark/>
          </w:tcPr>
          <w:p w14:paraId="26C1518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257 </w:t>
            </w:r>
          </w:p>
        </w:tc>
        <w:tc>
          <w:tcPr>
            <w:tcW w:w="320" w:type="pct"/>
            <w:tcBorders>
              <w:top w:val="nil"/>
              <w:left w:val="nil"/>
              <w:bottom w:val="single" w:sz="4" w:space="0" w:color="auto"/>
              <w:right w:val="single" w:sz="4" w:space="0" w:color="auto"/>
            </w:tcBorders>
            <w:shd w:val="clear" w:color="000000" w:fill="D9D9D9"/>
            <w:noWrap/>
            <w:vAlign w:val="bottom"/>
            <w:hideMark/>
          </w:tcPr>
          <w:p w14:paraId="61614F8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555 </w:t>
            </w:r>
          </w:p>
        </w:tc>
        <w:tc>
          <w:tcPr>
            <w:tcW w:w="320" w:type="pct"/>
            <w:tcBorders>
              <w:top w:val="nil"/>
              <w:left w:val="nil"/>
              <w:bottom w:val="single" w:sz="4" w:space="0" w:color="auto"/>
              <w:right w:val="single" w:sz="4" w:space="0" w:color="auto"/>
            </w:tcBorders>
            <w:shd w:val="clear" w:color="000000" w:fill="D9D9D9"/>
            <w:noWrap/>
            <w:vAlign w:val="bottom"/>
            <w:hideMark/>
          </w:tcPr>
          <w:p w14:paraId="6D34E3AE"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216.0%</w:t>
            </w:r>
          </w:p>
        </w:tc>
        <w:tc>
          <w:tcPr>
            <w:tcW w:w="275" w:type="pct"/>
            <w:tcBorders>
              <w:top w:val="nil"/>
              <w:left w:val="nil"/>
              <w:bottom w:val="single" w:sz="4" w:space="0" w:color="auto"/>
              <w:right w:val="single" w:sz="4" w:space="0" w:color="auto"/>
            </w:tcBorders>
            <w:shd w:val="clear" w:color="auto" w:fill="auto"/>
            <w:noWrap/>
            <w:vAlign w:val="bottom"/>
            <w:hideMark/>
          </w:tcPr>
          <w:p w14:paraId="210F6AC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6,278 </w:t>
            </w:r>
          </w:p>
        </w:tc>
        <w:tc>
          <w:tcPr>
            <w:tcW w:w="275" w:type="pct"/>
            <w:tcBorders>
              <w:top w:val="nil"/>
              <w:left w:val="nil"/>
              <w:bottom w:val="single" w:sz="4" w:space="0" w:color="auto"/>
              <w:right w:val="single" w:sz="4" w:space="0" w:color="auto"/>
            </w:tcBorders>
            <w:shd w:val="clear" w:color="auto" w:fill="auto"/>
            <w:noWrap/>
            <w:vAlign w:val="bottom"/>
            <w:hideMark/>
          </w:tcPr>
          <w:p w14:paraId="6780CCD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4,146 </w:t>
            </w:r>
          </w:p>
        </w:tc>
        <w:tc>
          <w:tcPr>
            <w:tcW w:w="275" w:type="pct"/>
            <w:tcBorders>
              <w:top w:val="nil"/>
              <w:left w:val="nil"/>
              <w:bottom w:val="single" w:sz="4" w:space="0" w:color="auto"/>
              <w:right w:val="single" w:sz="4" w:space="0" w:color="auto"/>
            </w:tcBorders>
            <w:shd w:val="clear" w:color="000000" w:fill="D9D9D9"/>
            <w:noWrap/>
            <w:vAlign w:val="bottom"/>
            <w:hideMark/>
          </w:tcPr>
          <w:p w14:paraId="533ECE1C"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2,132 </w:t>
            </w:r>
          </w:p>
        </w:tc>
        <w:tc>
          <w:tcPr>
            <w:tcW w:w="275" w:type="pct"/>
            <w:tcBorders>
              <w:top w:val="nil"/>
              <w:left w:val="nil"/>
              <w:bottom w:val="single" w:sz="4" w:space="0" w:color="auto"/>
              <w:right w:val="single" w:sz="4" w:space="0" w:color="auto"/>
            </w:tcBorders>
            <w:shd w:val="clear" w:color="000000" w:fill="D9D9D9"/>
            <w:noWrap/>
            <w:vAlign w:val="bottom"/>
            <w:hideMark/>
          </w:tcPr>
          <w:p w14:paraId="2B75F3FF" w14:textId="77777777" w:rsidR="00B23317" w:rsidRPr="00B23317" w:rsidRDefault="00B23317" w:rsidP="00B23317">
            <w:pPr>
              <w:spacing w:after="0" w:line="240" w:lineRule="auto"/>
              <w:jc w:val="right"/>
              <w:rPr>
                <w:rFonts w:eastAsia="Times New Roman" w:cstheme="minorHAnsi"/>
                <w:sz w:val="16"/>
                <w:szCs w:val="16"/>
                <w:lang w:eastAsia="en-AU"/>
              </w:rPr>
            </w:pPr>
            <w:r w:rsidRPr="00B23317">
              <w:rPr>
                <w:rFonts w:eastAsia="Times New Roman" w:cstheme="minorHAnsi"/>
                <w:sz w:val="16"/>
                <w:szCs w:val="16"/>
                <w:lang w:eastAsia="en-AU"/>
              </w:rPr>
              <w:t>51.4%</w:t>
            </w:r>
          </w:p>
        </w:tc>
      </w:tr>
      <w:tr w:rsidR="00304440" w:rsidRPr="00B23317" w14:paraId="793B9D97" w14:textId="77777777" w:rsidTr="00F53086">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0E7F7DFE" w14:textId="77777777" w:rsidR="00B23317" w:rsidRPr="00B23317" w:rsidRDefault="00B23317" w:rsidP="00B23317">
            <w:pPr>
              <w:spacing w:after="0" w:line="240" w:lineRule="auto"/>
              <w:rPr>
                <w:rFonts w:eastAsia="Times New Roman" w:cstheme="minorHAnsi"/>
                <w:color w:val="000000"/>
                <w:sz w:val="16"/>
                <w:szCs w:val="16"/>
                <w:lang w:eastAsia="en-AU"/>
              </w:rPr>
            </w:pPr>
            <w:r w:rsidRPr="00B23317">
              <w:rPr>
                <w:rFonts w:eastAsia="Times New Roman" w:cstheme="minorHAnsi"/>
                <w:color w:val="000000"/>
                <w:sz w:val="16"/>
                <w:szCs w:val="16"/>
                <w:lang w:eastAsia="en-AU"/>
              </w:rPr>
              <w:t>Batchelor Institute of Indigenous Tertiary Education</w:t>
            </w:r>
          </w:p>
        </w:tc>
        <w:tc>
          <w:tcPr>
            <w:tcW w:w="338" w:type="pct"/>
            <w:tcBorders>
              <w:top w:val="nil"/>
              <w:left w:val="nil"/>
              <w:bottom w:val="single" w:sz="4" w:space="0" w:color="auto"/>
              <w:right w:val="single" w:sz="4" w:space="0" w:color="auto"/>
            </w:tcBorders>
            <w:shd w:val="clear" w:color="auto" w:fill="auto"/>
            <w:noWrap/>
            <w:vAlign w:val="bottom"/>
            <w:hideMark/>
          </w:tcPr>
          <w:p w14:paraId="4C112E52"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31,239 </w:t>
            </w:r>
          </w:p>
        </w:tc>
        <w:tc>
          <w:tcPr>
            <w:tcW w:w="338" w:type="pct"/>
            <w:tcBorders>
              <w:top w:val="nil"/>
              <w:left w:val="nil"/>
              <w:bottom w:val="single" w:sz="4" w:space="0" w:color="auto"/>
              <w:right w:val="single" w:sz="4" w:space="0" w:color="auto"/>
            </w:tcBorders>
            <w:shd w:val="clear" w:color="auto" w:fill="auto"/>
            <w:noWrap/>
            <w:vAlign w:val="bottom"/>
            <w:hideMark/>
          </w:tcPr>
          <w:p w14:paraId="4A2AF0B5"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34,233 </w:t>
            </w:r>
          </w:p>
        </w:tc>
        <w:tc>
          <w:tcPr>
            <w:tcW w:w="338" w:type="pct"/>
            <w:tcBorders>
              <w:top w:val="nil"/>
              <w:left w:val="nil"/>
              <w:bottom w:val="single" w:sz="4" w:space="0" w:color="auto"/>
              <w:right w:val="single" w:sz="4" w:space="0" w:color="auto"/>
            </w:tcBorders>
            <w:shd w:val="clear" w:color="000000" w:fill="D9D9D9"/>
            <w:noWrap/>
            <w:vAlign w:val="bottom"/>
            <w:hideMark/>
          </w:tcPr>
          <w:p w14:paraId="6C611F53"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-2,994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4FBAF9B"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-8.7%</w:t>
            </w:r>
          </w:p>
        </w:tc>
        <w:tc>
          <w:tcPr>
            <w:tcW w:w="288" w:type="pct"/>
            <w:tcBorders>
              <w:top w:val="nil"/>
              <w:left w:val="nil"/>
              <w:bottom w:val="single" w:sz="4" w:space="0" w:color="auto"/>
              <w:right w:val="single" w:sz="4" w:space="0" w:color="auto"/>
            </w:tcBorders>
            <w:shd w:val="clear" w:color="auto" w:fill="auto"/>
            <w:noWrap/>
            <w:vAlign w:val="bottom"/>
            <w:hideMark/>
          </w:tcPr>
          <w:p w14:paraId="268CC246"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43 </w:t>
            </w:r>
          </w:p>
        </w:tc>
        <w:tc>
          <w:tcPr>
            <w:tcW w:w="352" w:type="pct"/>
            <w:tcBorders>
              <w:top w:val="nil"/>
              <w:left w:val="nil"/>
              <w:bottom w:val="single" w:sz="4" w:space="0" w:color="auto"/>
              <w:right w:val="single" w:sz="4" w:space="0" w:color="auto"/>
            </w:tcBorders>
            <w:shd w:val="clear" w:color="auto" w:fill="auto"/>
            <w:noWrap/>
            <w:vAlign w:val="bottom"/>
            <w:hideMark/>
          </w:tcPr>
          <w:p w14:paraId="0105BFAA"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138 </w:t>
            </w:r>
          </w:p>
        </w:tc>
        <w:tc>
          <w:tcPr>
            <w:tcW w:w="320" w:type="pct"/>
            <w:tcBorders>
              <w:top w:val="nil"/>
              <w:left w:val="nil"/>
              <w:bottom w:val="single" w:sz="4" w:space="0" w:color="auto"/>
              <w:right w:val="single" w:sz="4" w:space="0" w:color="auto"/>
            </w:tcBorders>
            <w:shd w:val="clear" w:color="000000" w:fill="D9D9D9"/>
            <w:noWrap/>
            <w:vAlign w:val="bottom"/>
            <w:hideMark/>
          </w:tcPr>
          <w:p w14:paraId="54969421"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FF0000"/>
                <w:sz w:val="16"/>
                <w:szCs w:val="16"/>
                <w:lang w:eastAsia="en-AU"/>
              </w:rPr>
              <w:t xml:space="preserve">-95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BD98BF" w14:textId="77777777" w:rsidR="00B23317" w:rsidRPr="00B23317" w:rsidRDefault="00B23317" w:rsidP="00B23317">
            <w:pPr>
              <w:spacing w:after="0" w:line="240" w:lineRule="auto"/>
              <w:jc w:val="right"/>
              <w:rPr>
                <w:rFonts w:eastAsia="Times New Roman" w:cstheme="minorHAnsi"/>
                <w:color w:val="FF0000"/>
                <w:sz w:val="16"/>
                <w:szCs w:val="16"/>
                <w:lang w:eastAsia="en-AU"/>
              </w:rPr>
            </w:pPr>
            <w:r w:rsidRPr="00B23317">
              <w:rPr>
                <w:rFonts w:eastAsia="Times New Roman" w:cstheme="minorHAnsi"/>
                <w:color w:val="FF0000"/>
                <w:sz w:val="16"/>
                <w:szCs w:val="16"/>
                <w:lang w:eastAsia="en-AU"/>
              </w:rPr>
              <w:t>-68.8%</w:t>
            </w:r>
          </w:p>
        </w:tc>
        <w:tc>
          <w:tcPr>
            <w:tcW w:w="275" w:type="pct"/>
            <w:tcBorders>
              <w:top w:val="nil"/>
              <w:left w:val="nil"/>
              <w:bottom w:val="single" w:sz="4" w:space="0" w:color="auto"/>
              <w:right w:val="single" w:sz="4" w:space="0" w:color="auto"/>
            </w:tcBorders>
            <w:shd w:val="clear" w:color="auto" w:fill="auto"/>
            <w:noWrap/>
            <w:vAlign w:val="bottom"/>
            <w:hideMark/>
          </w:tcPr>
          <w:p w14:paraId="1799A5C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0 </w:t>
            </w:r>
          </w:p>
        </w:tc>
        <w:tc>
          <w:tcPr>
            <w:tcW w:w="275" w:type="pct"/>
            <w:tcBorders>
              <w:top w:val="nil"/>
              <w:left w:val="nil"/>
              <w:bottom w:val="single" w:sz="4" w:space="0" w:color="auto"/>
              <w:right w:val="single" w:sz="4" w:space="0" w:color="auto"/>
            </w:tcBorders>
            <w:shd w:val="clear" w:color="auto" w:fill="auto"/>
            <w:noWrap/>
            <w:vAlign w:val="bottom"/>
            <w:hideMark/>
          </w:tcPr>
          <w:p w14:paraId="7C790387"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0 </w:t>
            </w:r>
          </w:p>
        </w:tc>
        <w:tc>
          <w:tcPr>
            <w:tcW w:w="275" w:type="pct"/>
            <w:tcBorders>
              <w:top w:val="nil"/>
              <w:left w:val="nil"/>
              <w:bottom w:val="single" w:sz="4" w:space="0" w:color="auto"/>
              <w:right w:val="single" w:sz="4" w:space="0" w:color="auto"/>
            </w:tcBorders>
            <w:shd w:val="clear" w:color="000000" w:fill="D9D9D9"/>
            <w:noWrap/>
            <w:vAlign w:val="bottom"/>
            <w:hideMark/>
          </w:tcPr>
          <w:p w14:paraId="49893C24" w14:textId="77777777" w:rsidR="00B23317" w:rsidRPr="00B23317" w:rsidRDefault="00B23317" w:rsidP="00B23317">
            <w:pPr>
              <w:spacing w:after="0" w:line="240" w:lineRule="auto"/>
              <w:jc w:val="right"/>
              <w:rPr>
                <w:rFonts w:eastAsia="Times New Roman" w:cstheme="minorHAnsi"/>
                <w:color w:val="000000"/>
                <w:sz w:val="16"/>
                <w:szCs w:val="16"/>
                <w:lang w:eastAsia="en-AU"/>
              </w:rPr>
            </w:pPr>
            <w:r w:rsidRPr="00B23317">
              <w:rPr>
                <w:rFonts w:eastAsia="Times New Roman" w:cstheme="minorHAnsi"/>
                <w:color w:val="000000"/>
                <w:sz w:val="16"/>
                <w:szCs w:val="16"/>
                <w:lang w:eastAsia="en-AU"/>
              </w:rPr>
              <w:t xml:space="preserve">0 </w:t>
            </w:r>
          </w:p>
        </w:tc>
        <w:tc>
          <w:tcPr>
            <w:tcW w:w="275" w:type="pct"/>
            <w:tcBorders>
              <w:top w:val="nil"/>
              <w:left w:val="nil"/>
              <w:bottom w:val="single" w:sz="4" w:space="0" w:color="auto"/>
              <w:right w:val="single" w:sz="4" w:space="0" w:color="auto"/>
            </w:tcBorders>
            <w:shd w:val="clear" w:color="000000" w:fill="D9D9D9"/>
            <w:noWrap/>
            <w:vAlign w:val="bottom"/>
            <w:hideMark/>
          </w:tcPr>
          <w:p w14:paraId="30D512B6" w14:textId="02E3FA97" w:rsidR="00103D7F" w:rsidRPr="00B23317" w:rsidRDefault="00103D7F" w:rsidP="00103D7F">
            <w:pPr>
              <w:spacing w:after="0" w:line="240" w:lineRule="auto"/>
              <w:jc w:val="right"/>
              <w:rPr>
                <w:rFonts w:eastAsia="Times New Roman" w:cstheme="minorHAnsi"/>
                <w:sz w:val="16"/>
                <w:szCs w:val="16"/>
                <w:lang w:eastAsia="en-AU"/>
              </w:rPr>
            </w:pPr>
            <w:r>
              <w:rPr>
                <w:rFonts w:eastAsia="Times New Roman" w:cstheme="minorHAnsi"/>
                <w:sz w:val="16"/>
                <w:szCs w:val="16"/>
                <w:lang w:eastAsia="en-AU"/>
              </w:rPr>
              <w:t>0</w:t>
            </w:r>
          </w:p>
        </w:tc>
      </w:tr>
      <w:tr w:rsidR="00304440" w:rsidRPr="00B23317" w14:paraId="60B5718B" w14:textId="77777777" w:rsidTr="009805D8">
        <w:trPr>
          <w:trHeight w:val="210"/>
        </w:trPr>
        <w:tc>
          <w:tcPr>
            <w:tcW w:w="1270" w:type="pct"/>
            <w:tcBorders>
              <w:top w:val="nil"/>
              <w:left w:val="single" w:sz="4" w:space="0" w:color="auto"/>
              <w:bottom w:val="single" w:sz="4" w:space="0" w:color="auto"/>
              <w:right w:val="single" w:sz="4" w:space="0" w:color="auto"/>
            </w:tcBorders>
            <w:shd w:val="clear" w:color="auto" w:fill="D5DBEF" w:themeFill="text2" w:themeFillTint="33"/>
            <w:noWrap/>
            <w:vAlign w:val="bottom"/>
            <w:hideMark/>
          </w:tcPr>
          <w:p w14:paraId="7F19A303" w14:textId="77777777" w:rsidR="00B23317" w:rsidRPr="00B23317" w:rsidRDefault="00B23317" w:rsidP="00B23317">
            <w:pPr>
              <w:spacing w:after="0" w:line="240" w:lineRule="auto"/>
              <w:rPr>
                <w:rFonts w:eastAsia="Times New Roman" w:cstheme="minorHAnsi"/>
                <w:b/>
                <w:bCs/>
                <w:color w:val="000000"/>
                <w:sz w:val="16"/>
                <w:szCs w:val="16"/>
                <w:lang w:eastAsia="en-AU"/>
              </w:rPr>
            </w:pPr>
            <w:r w:rsidRPr="00B23317">
              <w:rPr>
                <w:rFonts w:eastAsia="Times New Roman" w:cstheme="minorHAnsi"/>
                <w:b/>
                <w:bCs/>
                <w:color w:val="000000"/>
                <w:sz w:val="16"/>
                <w:szCs w:val="16"/>
                <w:lang w:eastAsia="en-AU"/>
              </w:rPr>
              <w:t>All Institutions</w:t>
            </w:r>
          </w:p>
        </w:tc>
        <w:tc>
          <w:tcPr>
            <w:tcW w:w="338" w:type="pct"/>
            <w:tcBorders>
              <w:top w:val="nil"/>
              <w:left w:val="nil"/>
              <w:bottom w:val="single" w:sz="4" w:space="0" w:color="auto"/>
              <w:right w:val="single" w:sz="4" w:space="0" w:color="auto"/>
            </w:tcBorders>
            <w:shd w:val="clear" w:color="auto" w:fill="D5DBEF" w:themeFill="text2" w:themeFillTint="33"/>
            <w:noWrap/>
            <w:vAlign w:val="bottom"/>
            <w:hideMark/>
          </w:tcPr>
          <w:p w14:paraId="158F9F5B" w14:textId="477E83A4" w:rsidR="00B23317" w:rsidRPr="00B23317" w:rsidRDefault="00B23317" w:rsidP="00B23317">
            <w:pPr>
              <w:spacing w:after="0" w:line="240" w:lineRule="auto"/>
              <w:jc w:val="right"/>
              <w:rPr>
                <w:rFonts w:eastAsia="Times New Roman" w:cstheme="minorHAnsi"/>
                <w:b/>
                <w:bCs/>
                <w:color w:val="000000"/>
                <w:sz w:val="16"/>
                <w:szCs w:val="16"/>
                <w:lang w:eastAsia="en-AU"/>
              </w:rPr>
            </w:pPr>
            <w:r w:rsidRPr="00B23317">
              <w:rPr>
                <w:rFonts w:eastAsia="Times New Roman" w:cstheme="minorHAnsi"/>
                <w:b/>
                <w:bCs/>
                <w:color w:val="000000"/>
                <w:sz w:val="16"/>
                <w:szCs w:val="16"/>
                <w:lang w:eastAsia="en-AU"/>
              </w:rPr>
              <w:t>34,651,09</w:t>
            </w:r>
            <w:r w:rsidR="00046A7A">
              <w:rPr>
                <w:rFonts w:eastAsia="Times New Roman" w:cstheme="minorHAnsi"/>
                <w:b/>
                <w:bCs/>
                <w:color w:val="000000"/>
                <w:sz w:val="16"/>
                <w:szCs w:val="16"/>
                <w:lang w:eastAsia="en-AU"/>
              </w:rPr>
              <w:t>3</w:t>
            </w:r>
            <w:r w:rsidRPr="00B23317">
              <w:rPr>
                <w:rFonts w:eastAsia="Times New Roman" w:cstheme="minorHAnsi"/>
                <w:b/>
                <w:bCs/>
                <w:color w:val="000000"/>
                <w:sz w:val="16"/>
                <w:szCs w:val="16"/>
                <w:lang w:eastAsia="en-AU"/>
              </w:rPr>
              <w:t xml:space="preserve"> </w:t>
            </w:r>
          </w:p>
        </w:tc>
        <w:tc>
          <w:tcPr>
            <w:tcW w:w="338" w:type="pct"/>
            <w:tcBorders>
              <w:top w:val="nil"/>
              <w:left w:val="nil"/>
              <w:bottom w:val="single" w:sz="4" w:space="0" w:color="auto"/>
              <w:right w:val="single" w:sz="4" w:space="0" w:color="auto"/>
            </w:tcBorders>
            <w:shd w:val="clear" w:color="auto" w:fill="D5DBEF" w:themeFill="text2" w:themeFillTint="33"/>
            <w:noWrap/>
            <w:vAlign w:val="bottom"/>
            <w:hideMark/>
          </w:tcPr>
          <w:p w14:paraId="41E123E0" w14:textId="77777777" w:rsidR="00B23317" w:rsidRPr="00B23317" w:rsidRDefault="00B23317" w:rsidP="00B23317">
            <w:pPr>
              <w:spacing w:after="0" w:line="240" w:lineRule="auto"/>
              <w:jc w:val="right"/>
              <w:rPr>
                <w:rFonts w:eastAsia="Times New Roman" w:cstheme="minorHAnsi"/>
                <w:b/>
                <w:bCs/>
                <w:color w:val="000000"/>
                <w:sz w:val="16"/>
                <w:szCs w:val="16"/>
                <w:lang w:eastAsia="en-AU"/>
              </w:rPr>
            </w:pPr>
            <w:r w:rsidRPr="00B23317">
              <w:rPr>
                <w:rFonts w:eastAsia="Times New Roman" w:cstheme="minorHAnsi"/>
                <w:b/>
                <w:bCs/>
                <w:color w:val="000000"/>
                <w:sz w:val="16"/>
                <w:szCs w:val="16"/>
                <w:lang w:eastAsia="en-AU"/>
              </w:rPr>
              <w:t xml:space="preserve">36,519,249 </w:t>
            </w:r>
          </w:p>
        </w:tc>
        <w:tc>
          <w:tcPr>
            <w:tcW w:w="338" w:type="pct"/>
            <w:tcBorders>
              <w:top w:val="nil"/>
              <w:left w:val="nil"/>
              <w:bottom w:val="single" w:sz="4" w:space="0" w:color="auto"/>
              <w:right w:val="single" w:sz="4" w:space="0" w:color="auto"/>
            </w:tcBorders>
            <w:shd w:val="clear" w:color="auto" w:fill="D5DBEF" w:themeFill="text2" w:themeFillTint="33"/>
            <w:noWrap/>
            <w:vAlign w:val="bottom"/>
            <w:hideMark/>
          </w:tcPr>
          <w:p w14:paraId="752A1C97" w14:textId="4A4301D0" w:rsidR="00B23317" w:rsidRPr="00B23317" w:rsidRDefault="00B23317" w:rsidP="00B23317">
            <w:pPr>
              <w:spacing w:after="0" w:line="240" w:lineRule="auto"/>
              <w:jc w:val="right"/>
              <w:rPr>
                <w:rFonts w:eastAsia="Times New Roman" w:cstheme="minorHAnsi"/>
                <w:b/>
                <w:bCs/>
                <w:color w:val="000000"/>
                <w:sz w:val="16"/>
                <w:szCs w:val="16"/>
                <w:lang w:eastAsia="en-AU"/>
              </w:rPr>
            </w:pPr>
            <w:r w:rsidRPr="00B23317">
              <w:rPr>
                <w:rFonts w:eastAsia="Times New Roman" w:cstheme="minorHAnsi"/>
                <w:b/>
                <w:bCs/>
                <w:color w:val="FF0000"/>
                <w:sz w:val="16"/>
                <w:szCs w:val="16"/>
                <w:lang w:eastAsia="en-AU"/>
              </w:rPr>
              <w:t>-1,868,15</w:t>
            </w:r>
            <w:r w:rsidR="00046A7A">
              <w:rPr>
                <w:rFonts w:eastAsia="Times New Roman" w:cstheme="minorHAnsi"/>
                <w:b/>
                <w:bCs/>
                <w:color w:val="FF0000"/>
                <w:sz w:val="16"/>
                <w:szCs w:val="16"/>
                <w:lang w:eastAsia="en-AU"/>
              </w:rPr>
              <w:t>6</w:t>
            </w:r>
            <w:r w:rsidRPr="00B23317">
              <w:rPr>
                <w:rFonts w:eastAsia="Times New Roman" w:cstheme="minorHAnsi"/>
                <w:b/>
                <w:bCs/>
                <w:color w:val="FF0000"/>
                <w:sz w:val="16"/>
                <w:szCs w:val="16"/>
                <w:lang w:eastAsia="en-AU"/>
              </w:rPr>
              <w:t xml:space="preserve"> </w:t>
            </w:r>
          </w:p>
        </w:tc>
        <w:tc>
          <w:tcPr>
            <w:tcW w:w="338" w:type="pct"/>
            <w:tcBorders>
              <w:top w:val="single" w:sz="4" w:space="0" w:color="auto"/>
              <w:left w:val="single" w:sz="4" w:space="0" w:color="auto"/>
              <w:bottom w:val="single" w:sz="4" w:space="0" w:color="auto"/>
              <w:right w:val="single" w:sz="4" w:space="0" w:color="auto"/>
            </w:tcBorders>
            <w:shd w:val="clear" w:color="auto" w:fill="D5DBEF" w:themeFill="text2" w:themeFillTint="33"/>
            <w:noWrap/>
            <w:vAlign w:val="bottom"/>
            <w:hideMark/>
          </w:tcPr>
          <w:p w14:paraId="6B97D359" w14:textId="77777777" w:rsidR="00B23317" w:rsidRPr="00B23317" w:rsidRDefault="00B23317" w:rsidP="00B23317">
            <w:pPr>
              <w:spacing w:after="0" w:line="240" w:lineRule="auto"/>
              <w:jc w:val="right"/>
              <w:rPr>
                <w:rFonts w:eastAsia="Times New Roman" w:cstheme="minorHAnsi"/>
                <w:b/>
                <w:bCs/>
                <w:color w:val="FF0000"/>
                <w:sz w:val="16"/>
                <w:szCs w:val="16"/>
                <w:lang w:eastAsia="en-AU"/>
              </w:rPr>
            </w:pPr>
            <w:r w:rsidRPr="00B23317">
              <w:rPr>
                <w:rFonts w:eastAsia="Times New Roman" w:cstheme="minorHAnsi"/>
                <w:b/>
                <w:bCs/>
                <w:color w:val="FF0000"/>
                <w:sz w:val="16"/>
                <w:szCs w:val="16"/>
                <w:lang w:eastAsia="en-AU"/>
              </w:rPr>
              <w:t>-5.1%</w:t>
            </w:r>
          </w:p>
        </w:tc>
        <w:tc>
          <w:tcPr>
            <w:tcW w:w="288" w:type="pct"/>
            <w:tcBorders>
              <w:top w:val="nil"/>
              <w:left w:val="nil"/>
              <w:bottom w:val="single" w:sz="4" w:space="0" w:color="auto"/>
              <w:right w:val="single" w:sz="4" w:space="0" w:color="auto"/>
            </w:tcBorders>
            <w:shd w:val="clear" w:color="auto" w:fill="D5DBEF" w:themeFill="text2" w:themeFillTint="33"/>
            <w:noWrap/>
            <w:vAlign w:val="bottom"/>
            <w:hideMark/>
          </w:tcPr>
          <w:p w14:paraId="3A93FF55" w14:textId="77777777" w:rsidR="00B23317" w:rsidRPr="00B23317" w:rsidRDefault="00B23317" w:rsidP="00B23317">
            <w:pPr>
              <w:spacing w:after="0" w:line="240" w:lineRule="auto"/>
              <w:jc w:val="right"/>
              <w:rPr>
                <w:rFonts w:eastAsia="Times New Roman" w:cstheme="minorHAnsi"/>
                <w:b/>
                <w:bCs/>
                <w:color w:val="000000"/>
                <w:sz w:val="16"/>
                <w:szCs w:val="16"/>
                <w:lang w:eastAsia="en-AU"/>
              </w:rPr>
            </w:pPr>
            <w:r w:rsidRPr="00B23317">
              <w:rPr>
                <w:rFonts w:eastAsia="Times New Roman" w:cstheme="minorHAnsi"/>
                <w:b/>
                <w:bCs/>
                <w:color w:val="000000"/>
                <w:sz w:val="16"/>
                <w:szCs w:val="16"/>
                <w:lang w:eastAsia="en-AU"/>
              </w:rPr>
              <w:t xml:space="preserve">927,414 </w:t>
            </w:r>
          </w:p>
        </w:tc>
        <w:tc>
          <w:tcPr>
            <w:tcW w:w="352" w:type="pct"/>
            <w:tcBorders>
              <w:top w:val="nil"/>
              <w:left w:val="nil"/>
              <w:bottom w:val="single" w:sz="4" w:space="0" w:color="auto"/>
              <w:right w:val="single" w:sz="4" w:space="0" w:color="auto"/>
            </w:tcBorders>
            <w:shd w:val="clear" w:color="auto" w:fill="D5DBEF" w:themeFill="text2" w:themeFillTint="33"/>
            <w:noWrap/>
            <w:vAlign w:val="bottom"/>
            <w:hideMark/>
          </w:tcPr>
          <w:p w14:paraId="5AB73F69" w14:textId="77777777" w:rsidR="00B23317" w:rsidRPr="00B23317" w:rsidRDefault="00B23317" w:rsidP="00B23317">
            <w:pPr>
              <w:spacing w:after="0" w:line="240" w:lineRule="auto"/>
              <w:jc w:val="right"/>
              <w:rPr>
                <w:rFonts w:eastAsia="Times New Roman" w:cstheme="minorHAnsi"/>
                <w:b/>
                <w:bCs/>
                <w:color w:val="000000"/>
                <w:sz w:val="16"/>
                <w:szCs w:val="16"/>
                <w:lang w:eastAsia="en-AU"/>
              </w:rPr>
            </w:pPr>
            <w:r w:rsidRPr="00B23317">
              <w:rPr>
                <w:rFonts w:eastAsia="Times New Roman" w:cstheme="minorHAnsi"/>
                <w:b/>
                <w:bCs/>
                <w:color w:val="000000"/>
                <w:sz w:val="16"/>
                <w:szCs w:val="16"/>
                <w:lang w:eastAsia="en-AU"/>
              </w:rPr>
              <w:t xml:space="preserve">2,191,312 </w:t>
            </w:r>
          </w:p>
        </w:tc>
        <w:tc>
          <w:tcPr>
            <w:tcW w:w="320" w:type="pct"/>
            <w:tcBorders>
              <w:top w:val="nil"/>
              <w:left w:val="nil"/>
              <w:bottom w:val="single" w:sz="4" w:space="0" w:color="auto"/>
              <w:right w:val="single" w:sz="4" w:space="0" w:color="auto"/>
            </w:tcBorders>
            <w:shd w:val="clear" w:color="auto" w:fill="D5DBEF" w:themeFill="text2" w:themeFillTint="33"/>
            <w:noWrap/>
            <w:vAlign w:val="bottom"/>
            <w:hideMark/>
          </w:tcPr>
          <w:p w14:paraId="43088FB0" w14:textId="77777777" w:rsidR="00B23317" w:rsidRPr="00B23317" w:rsidRDefault="00B23317" w:rsidP="00B23317">
            <w:pPr>
              <w:spacing w:after="0" w:line="240" w:lineRule="auto"/>
              <w:jc w:val="right"/>
              <w:rPr>
                <w:rFonts w:eastAsia="Times New Roman" w:cstheme="minorHAnsi"/>
                <w:b/>
                <w:bCs/>
                <w:color w:val="000000"/>
                <w:sz w:val="16"/>
                <w:szCs w:val="16"/>
                <w:lang w:eastAsia="en-AU"/>
              </w:rPr>
            </w:pPr>
            <w:r w:rsidRPr="00B23317">
              <w:rPr>
                <w:rFonts w:eastAsia="Times New Roman" w:cstheme="minorHAnsi"/>
                <w:b/>
                <w:bCs/>
                <w:color w:val="FF0000"/>
                <w:sz w:val="16"/>
                <w:szCs w:val="16"/>
                <w:lang w:eastAsia="en-AU"/>
              </w:rPr>
              <w:t xml:space="preserve">-1,263,898 </w:t>
            </w:r>
          </w:p>
        </w:tc>
        <w:tc>
          <w:tcPr>
            <w:tcW w:w="320" w:type="pct"/>
            <w:tcBorders>
              <w:top w:val="single" w:sz="4" w:space="0" w:color="auto"/>
              <w:left w:val="single" w:sz="4" w:space="0" w:color="auto"/>
              <w:bottom w:val="single" w:sz="4" w:space="0" w:color="auto"/>
              <w:right w:val="single" w:sz="4" w:space="0" w:color="auto"/>
            </w:tcBorders>
            <w:shd w:val="clear" w:color="auto" w:fill="D5DBEF" w:themeFill="text2" w:themeFillTint="33"/>
            <w:noWrap/>
            <w:vAlign w:val="bottom"/>
            <w:hideMark/>
          </w:tcPr>
          <w:p w14:paraId="3A7D2609" w14:textId="77777777" w:rsidR="00B23317" w:rsidRPr="00B23317" w:rsidRDefault="00B23317" w:rsidP="00B23317">
            <w:pPr>
              <w:spacing w:after="0" w:line="240" w:lineRule="auto"/>
              <w:jc w:val="right"/>
              <w:rPr>
                <w:rFonts w:eastAsia="Times New Roman" w:cstheme="minorHAnsi"/>
                <w:b/>
                <w:bCs/>
                <w:color w:val="FF0000"/>
                <w:sz w:val="16"/>
                <w:szCs w:val="16"/>
                <w:lang w:eastAsia="en-AU"/>
              </w:rPr>
            </w:pPr>
            <w:r w:rsidRPr="00B23317">
              <w:rPr>
                <w:rFonts w:eastAsia="Times New Roman" w:cstheme="minorHAnsi"/>
                <w:b/>
                <w:bCs/>
                <w:color w:val="FF0000"/>
                <w:sz w:val="16"/>
                <w:szCs w:val="16"/>
                <w:lang w:eastAsia="en-AU"/>
              </w:rPr>
              <w:t>-57.7%</w:t>
            </w:r>
          </w:p>
        </w:tc>
        <w:tc>
          <w:tcPr>
            <w:tcW w:w="275" w:type="pct"/>
            <w:tcBorders>
              <w:top w:val="nil"/>
              <w:left w:val="nil"/>
              <w:bottom w:val="single" w:sz="4" w:space="0" w:color="auto"/>
              <w:right w:val="single" w:sz="4" w:space="0" w:color="auto"/>
            </w:tcBorders>
            <w:shd w:val="clear" w:color="auto" w:fill="D5DBEF" w:themeFill="text2" w:themeFillTint="33"/>
            <w:noWrap/>
            <w:vAlign w:val="bottom"/>
            <w:hideMark/>
          </w:tcPr>
          <w:p w14:paraId="6E28EB9A" w14:textId="77777777" w:rsidR="00B23317" w:rsidRPr="00B23317" w:rsidRDefault="00B23317" w:rsidP="00B23317">
            <w:pPr>
              <w:spacing w:after="0" w:line="240" w:lineRule="auto"/>
              <w:jc w:val="right"/>
              <w:rPr>
                <w:rFonts w:eastAsia="Times New Roman" w:cstheme="minorHAnsi"/>
                <w:b/>
                <w:bCs/>
                <w:color w:val="000000"/>
                <w:sz w:val="16"/>
                <w:szCs w:val="16"/>
                <w:lang w:eastAsia="en-AU"/>
              </w:rPr>
            </w:pPr>
            <w:r w:rsidRPr="00B23317">
              <w:rPr>
                <w:rFonts w:eastAsia="Times New Roman" w:cstheme="minorHAnsi"/>
                <w:b/>
                <w:bCs/>
                <w:color w:val="000000"/>
                <w:sz w:val="16"/>
                <w:szCs w:val="16"/>
                <w:lang w:eastAsia="en-AU"/>
              </w:rPr>
              <w:t xml:space="preserve">9,222,983 </w:t>
            </w:r>
          </w:p>
        </w:tc>
        <w:tc>
          <w:tcPr>
            <w:tcW w:w="275" w:type="pct"/>
            <w:tcBorders>
              <w:top w:val="nil"/>
              <w:left w:val="nil"/>
              <w:bottom w:val="single" w:sz="4" w:space="0" w:color="auto"/>
              <w:right w:val="single" w:sz="4" w:space="0" w:color="auto"/>
            </w:tcBorders>
            <w:shd w:val="clear" w:color="auto" w:fill="D5DBEF" w:themeFill="text2" w:themeFillTint="33"/>
            <w:noWrap/>
            <w:vAlign w:val="bottom"/>
            <w:hideMark/>
          </w:tcPr>
          <w:p w14:paraId="32E365F6" w14:textId="77777777" w:rsidR="00B23317" w:rsidRPr="00B23317" w:rsidRDefault="00B23317" w:rsidP="00B23317">
            <w:pPr>
              <w:spacing w:after="0" w:line="240" w:lineRule="auto"/>
              <w:jc w:val="right"/>
              <w:rPr>
                <w:rFonts w:eastAsia="Times New Roman" w:cstheme="minorHAnsi"/>
                <w:b/>
                <w:bCs/>
                <w:color w:val="000000"/>
                <w:sz w:val="16"/>
                <w:szCs w:val="16"/>
                <w:lang w:eastAsia="en-AU"/>
              </w:rPr>
            </w:pPr>
            <w:r w:rsidRPr="00B23317">
              <w:rPr>
                <w:rFonts w:eastAsia="Times New Roman" w:cstheme="minorHAnsi"/>
                <w:b/>
                <w:bCs/>
                <w:color w:val="000000"/>
                <w:sz w:val="16"/>
                <w:szCs w:val="16"/>
                <w:lang w:eastAsia="en-AU"/>
              </w:rPr>
              <w:t xml:space="preserve">9,978,794 </w:t>
            </w:r>
          </w:p>
        </w:tc>
        <w:tc>
          <w:tcPr>
            <w:tcW w:w="275" w:type="pct"/>
            <w:tcBorders>
              <w:top w:val="nil"/>
              <w:left w:val="nil"/>
              <w:bottom w:val="single" w:sz="4" w:space="0" w:color="auto"/>
              <w:right w:val="single" w:sz="4" w:space="0" w:color="auto"/>
            </w:tcBorders>
            <w:shd w:val="clear" w:color="auto" w:fill="D5DBEF" w:themeFill="text2" w:themeFillTint="33"/>
            <w:noWrap/>
            <w:vAlign w:val="bottom"/>
            <w:hideMark/>
          </w:tcPr>
          <w:p w14:paraId="58CB6150" w14:textId="77777777" w:rsidR="00B23317" w:rsidRPr="00B23317" w:rsidRDefault="00B23317" w:rsidP="00B23317">
            <w:pPr>
              <w:spacing w:after="0" w:line="240" w:lineRule="auto"/>
              <w:jc w:val="right"/>
              <w:rPr>
                <w:rFonts w:eastAsia="Times New Roman" w:cstheme="minorHAnsi"/>
                <w:b/>
                <w:bCs/>
                <w:color w:val="000000"/>
                <w:sz w:val="16"/>
                <w:szCs w:val="16"/>
                <w:lang w:eastAsia="en-AU"/>
              </w:rPr>
            </w:pPr>
            <w:r w:rsidRPr="00B23317">
              <w:rPr>
                <w:rFonts w:eastAsia="Times New Roman" w:cstheme="minorHAnsi"/>
                <w:b/>
                <w:bCs/>
                <w:color w:val="FF0000"/>
                <w:sz w:val="16"/>
                <w:szCs w:val="16"/>
                <w:lang w:eastAsia="en-AU"/>
              </w:rPr>
              <w:t xml:space="preserve">-755,811 </w:t>
            </w:r>
          </w:p>
        </w:tc>
        <w:tc>
          <w:tcPr>
            <w:tcW w:w="275" w:type="pct"/>
            <w:tcBorders>
              <w:top w:val="single" w:sz="4" w:space="0" w:color="auto"/>
              <w:left w:val="single" w:sz="4" w:space="0" w:color="auto"/>
              <w:bottom w:val="single" w:sz="4" w:space="0" w:color="auto"/>
              <w:right w:val="single" w:sz="4" w:space="0" w:color="auto"/>
            </w:tcBorders>
            <w:shd w:val="clear" w:color="auto" w:fill="D5DBEF" w:themeFill="text2" w:themeFillTint="33"/>
            <w:noWrap/>
            <w:vAlign w:val="bottom"/>
            <w:hideMark/>
          </w:tcPr>
          <w:p w14:paraId="0D6116D4" w14:textId="77777777" w:rsidR="00B23317" w:rsidRPr="00B23317" w:rsidRDefault="00B23317" w:rsidP="00B23317">
            <w:pPr>
              <w:spacing w:after="0" w:line="240" w:lineRule="auto"/>
              <w:jc w:val="right"/>
              <w:rPr>
                <w:rFonts w:eastAsia="Times New Roman" w:cstheme="minorHAnsi"/>
                <w:b/>
                <w:bCs/>
                <w:color w:val="FF0000"/>
                <w:sz w:val="16"/>
                <w:szCs w:val="16"/>
                <w:lang w:eastAsia="en-AU"/>
              </w:rPr>
            </w:pPr>
            <w:r w:rsidRPr="00B23317">
              <w:rPr>
                <w:rFonts w:eastAsia="Times New Roman" w:cstheme="minorHAnsi"/>
                <w:b/>
                <w:bCs/>
                <w:color w:val="FF0000"/>
                <w:sz w:val="16"/>
                <w:szCs w:val="16"/>
                <w:lang w:eastAsia="en-AU"/>
              </w:rPr>
              <w:t>-7.6%</w:t>
            </w:r>
          </w:p>
        </w:tc>
      </w:tr>
    </w:tbl>
    <w:p w14:paraId="250EE587" w14:textId="77777777" w:rsidR="00FE3C60" w:rsidRDefault="00FE3C60" w:rsidP="00A97FCF">
      <w:pPr>
        <w:sectPr w:rsidR="00FE3C60" w:rsidSect="00765D0C">
          <w:footerReference w:type="first" r:id="rId20"/>
          <w:pgSz w:w="16838" w:h="11906" w:orient="landscape"/>
          <w:pgMar w:top="720" w:right="720" w:bottom="720" w:left="720" w:header="708" w:footer="1011" w:gutter="0"/>
          <w:cols w:space="708"/>
          <w:titlePg/>
          <w:docGrid w:linePitch="360"/>
        </w:sectPr>
      </w:pPr>
    </w:p>
    <w:p w14:paraId="67D7CE68" w14:textId="3686D021" w:rsidR="00B572CB" w:rsidRPr="001C1E25" w:rsidRDefault="00A0248B" w:rsidP="00E20004">
      <w:pPr>
        <w:pStyle w:val="Heading2"/>
        <w:spacing w:after="120"/>
      </w:pPr>
      <w:bookmarkStart w:id="10" w:name="_Toc534807519"/>
      <w:bookmarkStart w:id="11" w:name="_Toc31182557"/>
      <w:bookmarkStart w:id="12" w:name="_Toc78463086"/>
      <w:bookmarkStart w:id="13" w:name="_Toc534807517"/>
      <w:bookmarkEnd w:id="9"/>
      <w:r w:rsidRPr="001C1E25">
        <w:lastRenderedPageBreak/>
        <w:t>Expenses</w:t>
      </w:r>
      <w:bookmarkEnd w:id="10"/>
      <w:bookmarkEnd w:id="11"/>
      <w:bookmarkEnd w:id="12"/>
    </w:p>
    <w:p w14:paraId="745B16C6" w14:textId="12496288" w:rsidR="00930F30" w:rsidRDefault="00930F30" w:rsidP="00D92D6E">
      <w:pPr>
        <w:pStyle w:val="Source"/>
        <w:spacing w:after="0"/>
        <w:rPr>
          <w:rStyle w:val="Strong"/>
          <w:b/>
          <w:sz w:val="22"/>
          <w:szCs w:val="22"/>
        </w:rPr>
      </w:pPr>
      <w:bookmarkStart w:id="14" w:name="_Toc404081734"/>
      <w:bookmarkStart w:id="15" w:name="_Toc496014615"/>
      <w:bookmarkStart w:id="16" w:name="_Toc534807521"/>
      <w:bookmarkStart w:id="17" w:name="_Toc26884145"/>
      <w:bookmarkStart w:id="18" w:name="_Toc534807520"/>
      <w:bookmarkStart w:id="19" w:name="_Toc26884144"/>
      <w:r w:rsidRPr="001C1E25">
        <w:rPr>
          <w:rStyle w:val="Strong"/>
          <w:b/>
          <w:sz w:val="22"/>
          <w:szCs w:val="22"/>
        </w:rPr>
        <w:t>T</w:t>
      </w:r>
      <w:r w:rsidR="00E20004" w:rsidRPr="001C1E25">
        <w:rPr>
          <w:rStyle w:val="Strong"/>
          <w:b/>
          <w:sz w:val="22"/>
          <w:szCs w:val="22"/>
        </w:rPr>
        <w:t xml:space="preserve">able </w:t>
      </w:r>
      <w:r w:rsidR="00420FC1">
        <w:rPr>
          <w:rStyle w:val="Strong"/>
          <w:b/>
          <w:sz w:val="22"/>
          <w:szCs w:val="22"/>
        </w:rPr>
        <w:t>4</w:t>
      </w:r>
      <w:r w:rsidRPr="001C1E25">
        <w:rPr>
          <w:rStyle w:val="Strong"/>
          <w:b/>
          <w:sz w:val="22"/>
          <w:szCs w:val="22"/>
        </w:rPr>
        <w:t xml:space="preserve">: </w:t>
      </w:r>
      <w:r w:rsidR="00677740">
        <w:rPr>
          <w:rStyle w:val="Strong"/>
          <w:b/>
          <w:sz w:val="22"/>
          <w:szCs w:val="22"/>
        </w:rPr>
        <w:t>Summary of</w:t>
      </w:r>
      <w:r w:rsidRPr="001C1E25">
        <w:rPr>
          <w:rStyle w:val="Strong"/>
          <w:b/>
          <w:sz w:val="22"/>
          <w:szCs w:val="22"/>
        </w:rPr>
        <w:t xml:space="preserve"> </w:t>
      </w:r>
      <w:r w:rsidR="00F67E41" w:rsidRPr="001C1E25">
        <w:rPr>
          <w:rStyle w:val="Strong"/>
          <w:b/>
          <w:sz w:val="22"/>
          <w:szCs w:val="22"/>
        </w:rPr>
        <w:t>2019</w:t>
      </w:r>
      <w:r w:rsidRPr="001C1E25">
        <w:rPr>
          <w:rStyle w:val="Strong"/>
          <w:b/>
          <w:sz w:val="22"/>
          <w:szCs w:val="22"/>
        </w:rPr>
        <w:t xml:space="preserve"> and </w:t>
      </w:r>
      <w:r w:rsidR="00F67E41" w:rsidRPr="001C1E25">
        <w:rPr>
          <w:rStyle w:val="Strong"/>
          <w:b/>
          <w:sz w:val="22"/>
          <w:szCs w:val="22"/>
        </w:rPr>
        <w:t>2020</w:t>
      </w:r>
      <w:r w:rsidRPr="001C1E25">
        <w:rPr>
          <w:rStyle w:val="Strong"/>
          <w:b/>
          <w:sz w:val="22"/>
          <w:szCs w:val="22"/>
        </w:rPr>
        <w:t xml:space="preserve"> Expense</w:t>
      </w:r>
      <w:bookmarkEnd w:id="14"/>
      <w:bookmarkEnd w:id="15"/>
      <w:bookmarkEnd w:id="16"/>
      <w:r w:rsidRPr="001C1E25">
        <w:rPr>
          <w:rStyle w:val="Strong"/>
          <w:b/>
          <w:sz w:val="22"/>
          <w:szCs w:val="22"/>
        </w:rPr>
        <w:t>s</w:t>
      </w:r>
      <w:bookmarkEnd w:id="17"/>
    </w:p>
    <w:tbl>
      <w:tblPr>
        <w:tblW w:w="9016" w:type="dxa"/>
        <w:tblLayout w:type="fixed"/>
        <w:tblLook w:val="04A0" w:firstRow="1" w:lastRow="0" w:firstColumn="1" w:lastColumn="0" w:noHBand="0" w:noVBand="1"/>
      </w:tblPr>
      <w:tblGrid>
        <w:gridCol w:w="4529"/>
        <w:gridCol w:w="1121"/>
        <w:gridCol w:w="1122"/>
        <w:gridCol w:w="1122"/>
        <w:gridCol w:w="1122"/>
      </w:tblGrid>
      <w:tr w:rsidR="00180812" w:rsidRPr="00180812" w14:paraId="765BC1F3" w14:textId="77777777" w:rsidTr="00180812">
        <w:trPr>
          <w:trHeight w:val="300"/>
        </w:trPr>
        <w:tc>
          <w:tcPr>
            <w:tcW w:w="4529" w:type="dxa"/>
            <w:tcBorders>
              <w:top w:val="single" w:sz="4" w:space="0" w:color="auto"/>
              <w:left w:val="single" w:sz="4" w:space="0" w:color="auto"/>
              <w:bottom w:val="nil"/>
              <w:right w:val="single" w:sz="4" w:space="0" w:color="auto"/>
            </w:tcBorders>
            <w:shd w:val="clear" w:color="auto" w:fill="3C54A5" w:themeFill="text2"/>
            <w:noWrap/>
            <w:hideMark/>
          </w:tcPr>
          <w:p w14:paraId="7CCF21CE" w14:textId="77777777" w:rsidR="00180812" w:rsidRPr="00180812" w:rsidRDefault="00180812" w:rsidP="00180812">
            <w:pPr>
              <w:spacing w:after="0" w:line="240" w:lineRule="auto"/>
              <w:rPr>
                <w:rFonts w:ascii="Calibri" w:eastAsia="Times New Roman" w:hAnsi="Calibri" w:cs="Calibri"/>
                <w:b/>
                <w:bCs/>
                <w:color w:val="FFFFFF"/>
                <w:sz w:val="20"/>
                <w:szCs w:val="20"/>
                <w:lang w:eastAsia="en-AU"/>
              </w:rPr>
            </w:pPr>
            <w:r w:rsidRPr="00180812">
              <w:rPr>
                <w:rFonts w:ascii="Calibri" w:eastAsia="Times New Roman" w:hAnsi="Calibri" w:cs="Calibri"/>
                <w:b/>
                <w:bCs/>
                <w:color w:val="FFFFFF"/>
                <w:sz w:val="20"/>
                <w:szCs w:val="20"/>
                <w:lang w:eastAsia="en-AU"/>
              </w:rPr>
              <w:t>Operating Expenses</w:t>
            </w:r>
          </w:p>
        </w:tc>
        <w:tc>
          <w:tcPr>
            <w:tcW w:w="1121" w:type="dxa"/>
            <w:tcBorders>
              <w:top w:val="single" w:sz="4" w:space="0" w:color="auto"/>
              <w:left w:val="nil"/>
              <w:bottom w:val="single" w:sz="4" w:space="0" w:color="auto"/>
              <w:right w:val="single" w:sz="4" w:space="0" w:color="auto"/>
            </w:tcBorders>
            <w:shd w:val="clear" w:color="auto" w:fill="3C54A5" w:themeFill="text2"/>
            <w:noWrap/>
            <w:vAlign w:val="bottom"/>
            <w:hideMark/>
          </w:tcPr>
          <w:p w14:paraId="3150E5B5" w14:textId="77777777" w:rsidR="00180812" w:rsidRPr="00180812" w:rsidRDefault="00180812" w:rsidP="00180812">
            <w:pPr>
              <w:spacing w:after="0" w:line="240" w:lineRule="auto"/>
              <w:jc w:val="center"/>
              <w:rPr>
                <w:rFonts w:ascii="Calibri" w:eastAsia="Times New Roman" w:hAnsi="Calibri" w:cs="Calibri"/>
                <w:b/>
                <w:bCs/>
                <w:color w:val="FFFFFF"/>
                <w:sz w:val="20"/>
                <w:szCs w:val="20"/>
                <w:lang w:eastAsia="en-AU"/>
              </w:rPr>
            </w:pPr>
            <w:r w:rsidRPr="00180812">
              <w:rPr>
                <w:rFonts w:ascii="Calibri" w:eastAsia="Times New Roman" w:hAnsi="Calibri" w:cs="Calibri"/>
                <w:b/>
                <w:bCs/>
                <w:color w:val="FFFFFF"/>
                <w:sz w:val="20"/>
                <w:szCs w:val="20"/>
                <w:lang w:eastAsia="en-AU"/>
              </w:rPr>
              <w:t>2020</w:t>
            </w:r>
          </w:p>
        </w:tc>
        <w:tc>
          <w:tcPr>
            <w:tcW w:w="1122" w:type="dxa"/>
            <w:tcBorders>
              <w:top w:val="single" w:sz="4" w:space="0" w:color="auto"/>
              <w:left w:val="nil"/>
              <w:bottom w:val="single" w:sz="4" w:space="0" w:color="auto"/>
              <w:right w:val="single" w:sz="4" w:space="0" w:color="auto"/>
            </w:tcBorders>
            <w:shd w:val="clear" w:color="auto" w:fill="3C54A5" w:themeFill="text2"/>
            <w:noWrap/>
            <w:vAlign w:val="bottom"/>
            <w:hideMark/>
          </w:tcPr>
          <w:p w14:paraId="07890CA0" w14:textId="77777777" w:rsidR="00180812" w:rsidRPr="00180812" w:rsidRDefault="00180812" w:rsidP="00180812">
            <w:pPr>
              <w:spacing w:after="0" w:line="240" w:lineRule="auto"/>
              <w:jc w:val="center"/>
              <w:rPr>
                <w:rFonts w:ascii="Calibri" w:eastAsia="Times New Roman" w:hAnsi="Calibri" w:cs="Calibri"/>
                <w:b/>
                <w:bCs/>
                <w:color w:val="FFFFFF"/>
                <w:sz w:val="20"/>
                <w:szCs w:val="20"/>
                <w:lang w:eastAsia="en-AU"/>
              </w:rPr>
            </w:pPr>
            <w:r w:rsidRPr="00180812">
              <w:rPr>
                <w:rFonts w:ascii="Calibri" w:eastAsia="Times New Roman" w:hAnsi="Calibri" w:cs="Calibri"/>
                <w:b/>
                <w:bCs/>
                <w:color w:val="FFFFFF"/>
                <w:sz w:val="20"/>
                <w:szCs w:val="20"/>
                <w:lang w:eastAsia="en-AU"/>
              </w:rPr>
              <w:t>2019</w:t>
            </w:r>
          </w:p>
        </w:tc>
        <w:tc>
          <w:tcPr>
            <w:tcW w:w="2244" w:type="dxa"/>
            <w:gridSpan w:val="2"/>
            <w:tcBorders>
              <w:top w:val="single" w:sz="4" w:space="0" w:color="auto"/>
              <w:left w:val="nil"/>
              <w:bottom w:val="single" w:sz="4" w:space="0" w:color="auto"/>
              <w:right w:val="single" w:sz="4" w:space="0" w:color="000000"/>
            </w:tcBorders>
            <w:shd w:val="clear" w:color="auto" w:fill="3C54A5" w:themeFill="text2"/>
            <w:noWrap/>
            <w:vAlign w:val="bottom"/>
            <w:hideMark/>
          </w:tcPr>
          <w:p w14:paraId="2FB60E9F" w14:textId="6ACF4FDD" w:rsidR="00180812" w:rsidRPr="00180812" w:rsidRDefault="00180812" w:rsidP="00180812">
            <w:pPr>
              <w:spacing w:after="0" w:line="240" w:lineRule="auto"/>
              <w:jc w:val="center"/>
              <w:rPr>
                <w:rFonts w:ascii="Calibri" w:eastAsia="Times New Roman" w:hAnsi="Calibri" w:cs="Calibri"/>
                <w:b/>
                <w:bCs/>
                <w:color w:val="FFFFFF"/>
                <w:sz w:val="20"/>
                <w:szCs w:val="20"/>
                <w:lang w:eastAsia="en-AU"/>
              </w:rPr>
            </w:pPr>
            <w:r w:rsidRPr="00180812">
              <w:rPr>
                <w:rFonts w:ascii="Calibri" w:eastAsia="Times New Roman" w:hAnsi="Calibri" w:cs="Calibri"/>
                <w:b/>
                <w:bCs/>
                <w:color w:val="FFFFFF"/>
                <w:sz w:val="20"/>
                <w:szCs w:val="20"/>
                <w:lang w:eastAsia="en-AU"/>
              </w:rPr>
              <w:t>Change</w:t>
            </w:r>
          </w:p>
        </w:tc>
      </w:tr>
      <w:tr w:rsidR="00180812" w:rsidRPr="00180812" w14:paraId="697F7289" w14:textId="77777777" w:rsidTr="00180812">
        <w:trPr>
          <w:trHeight w:val="300"/>
        </w:trPr>
        <w:tc>
          <w:tcPr>
            <w:tcW w:w="4529" w:type="dxa"/>
            <w:tcBorders>
              <w:top w:val="nil"/>
              <w:left w:val="single" w:sz="4" w:space="0" w:color="auto"/>
              <w:bottom w:val="single" w:sz="4" w:space="0" w:color="auto"/>
              <w:right w:val="single" w:sz="4" w:space="0" w:color="auto"/>
            </w:tcBorders>
            <w:shd w:val="clear" w:color="auto" w:fill="3C54A5" w:themeFill="text2"/>
            <w:noWrap/>
            <w:hideMark/>
          </w:tcPr>
          <w:p w14:paraId="392C7F77" w14:textId="77777777" w:rsidR="00180812" w:rsidRPr="00180812" w:rsidRDefault="00180812" w:rsidP="00180812">
            <w:pPr>
              <w:spacing w:after="0" w:line="240" w:lineRule="auto"/>
              <w:rPr>
                <w:rFonts w:ascii="Calibri" w:eastAsia="Times New Roman" w:hAnsi="Calibri" w:cs="Calibri"/>
                <w:b/>
                <w:bCs/>
                <w:color w:val="FFFFFF"/>
                <w:sz w:val="20"/>
                <w:szCs w:val="20"/>
                <w:lang w:eastAsia="en-AU"/>
              </w:rPr>
            </w:pPr>
            <w:r w:rsidRPr="00180812">
              <w:rPr>
                <w:rFonts w:ascii="Calibri" w:eastAsia="Times New Roman" w:hAnsi="Calibri" w:cs="Calibri"/>
                <w:b/>
                <w:bCs/>
                <w:color w:val="FFFFFF"/>
                <w:sz w:val="20"/>
                <w:szCs w:val="20"/>
                <w:lang w:eastAsia="en-AU"/>
              </w:rPr>
              <w:t> </w:t>
            </w:r>
          </w:p>
        </w:tc>
        <w:tc>
          <w:tcPr>
            <w:tcW w:w="1121" w:type="dxa"/>
            <w:tcBorders>
              <w:top w:val="nil"/>
              <w:left w:val="nil"/>
              <w:bottom w:val="single" w:sz="4" w:space="0" w:color="auto"/>
              <w:right w:val="single" w:sz="4" w:space="0" w:color="auto"/>
            </w:tcBorders>
            <w:shd w:val="clear" w:color="auto" w:fill="3C54A5" w:themeFill="text2"/>
            <w:noWrap/>
            <w:vAlign w:val="bottom"/>
            <w:hideMark/>
          </w:tcPr>
          <w:p w14:paraId="7B22B931" w14:textId="77777777" w:rsidR="00180812" w:rsidRPr="00180812" w:rsidRDefault="00180812" w:rsidP="00180812">
            <w:pPr>
              <w:spacing w:after="0" w:line="240" w:lineRule="auto"/>
              <w:jc w:val="center"/>
              <w:rPr>
                <w:rFonts w:ascii="Calibri" w:eastAsia="Times New Roman" w:hAnsi="Calibri" w:cs="Calibri"/>
                <w:b/>
                <w:bCs/>
                <w:color w:val="FFFFFF"/>
                <w:sz w:val="20"/>
                <w:szCs w:val="20"/>
                <w:lang w:eastAsia="en-AU"/>
              </w:rPr>
            </w:pPr>
            <w:r w:rsidRPr="00180812">
              <w:rPr>
                <w:rFonts w:ascii="Calibri" w:eastAsia="Times New Roman" w:hAnsi="Calibri" w:cs="Calibri"/>
                <w:b/>
                <w:bCs/>
                <w:color w:val="FFFFFF"/>
                <w:sz w:val="20"/>
                <w:szCs w:val="20"/>
                <w:lang w:eastAsia="en-AU"/>
              </w:rPr>
              <w:t>$'000</w:t>
            </w:r>
          </w:p>
        </w:tc>
        <w:tc>
          <w:tcPr>
            <w:tcW w:w="1122" w:type="dxa"/>
            <w:tcBorders>
              <w:top w:val="nil"/>
              <w:left w:val="nil"/>
              <w:bottom w:val="single" w:sz="4" w:space="0" w:color="auto"/>
              <w:right w:val="single" w:sz="4" w:space="0" w:color="auto"/>
            </w:tcBorders>
            <w:shd w:val="clear" w:color="auto" w:fill="3C54A5" w:themeFill="text2"/>
            <w:noWrap/>
            <w:vAlign w:val="bottom"/>
            <w:hideMark/>
          </w:tcPr>
          <w:p w14:paraId="7E277925" w14:textId="77777777" w:rsidR="00180812" w:rsidRPr="00180812" w:rsidRDefault="00180812" w:rsidP="00180812">
            <w:pPr>
              <w:spacing w:after="0" w:line="240" w:lineRule="auto"/>
              <w:jc w:val="center"/>
              <w:rPr>
                <w:rFonts w:ascii="Calibri" w:eastAsia="Times New Roman" w:hAnsi="Calibri" w:cs="Calibri"/>
                <w:b/>
                <w:bCs/>
                <w:color w:val="FFFFFF"/>
                <w:sz w:val="20"/>
                <w:szCs w:val="20"/>
                <w:lang w:eastAsia="en-AU"/>
              </w:rPr>
            </w:pPr>
            <w:r w:rsidRPr="00180812">
              <w:rPr>
                <w:rFonts w:ascii="Calibri" w:eastAsia="Times New Roman" w:hAnsi="Calibri" w:cs="Calibri"/>
                <w:b/>
                <w:bCs/>
                <w:color w:val="FFFFFF"/>
                <w:sz w:val="20"/>
                <w:szCs w:val="20"/>
                <w:lang w:eastAsia="en-AU"/>
              </w:rPr>
              <w:t>$'000</w:t>
            </w:r>
          </w:p>
        </w:tc>
        <w:tc>
          <w:tcPr>
            <w:tcW w:w="1122" w:type="dxa"/>
            <w:tcBorders>
              <w:top w:val="nil"/>
              <w:left w:val="nil"/>
              <w:bottom w:val="single" w:sz="4" w:space="0" w:color="auto"/>
              <w:right w:val="single" w:sz="4" w:space="0" w:color="auto"/>
            </w:tcBorders>
            <w:shd w:val="clear" w:color="auto" w:fill="3C54A5" w:themeFill="text2"/>
            <w:noWrap/>
            <w:vAlign w:val="bottom"/>
            <w:hideMark/>
          </w:tcPr>
          <w:p w14:paraId="4B5F7375" w14:textId="77777777" w:rsidR="00180812" w:rsidRPr="00180812" w:rsidRDefault="00180812" w:rsidP="00180812">
            <w:pPr>
              <w:spacing w:after="0" w:line="240" w:lineRule="auto"/>
              <w:jc w:val="center"/>
              <w:rPr>
                <w:rFonts w:ascii="Calibri" w:eastAsia="Times New Roman" w:hAnsi="Calibri" w:cs="Calibri"/>
                <w:b/>
                <w:bCs/>
                <w:color w:val="FFFFFF"/>
                <w:sz w:val="20"/>
                <w:szCs w:val="20"/>
                <w:lang w:eastAsia="en-AU"/>
              </w:rPr>
            </w:pPr>
            <w:r w:rsidRPr="00180812">
              <w:rPr>
                <w:rFonts w:ascii="Calibri" w:eastAsia="Times New Roman" w:hAnsi="Calibri" w:cs="Calibri"/>
                <w:b/>
                <w:bCs/>
                <w:color w:val="FFFFFF"/>
                <w:sz w:val="20"/>
                <w:szCs w:val="20"/>
                <w:lang w:eastAsia="en-AU"/>
              </w:rPr>
              <w:t>$'000</w:t>
            </w:r>
          </w:p>
        </w:tc>
        <w:tc>
          <w:tcPr>
            <w:tcW w:w="1122" w:type="dxa"/>
            <w:tcBorders>
              <w:top w:val="nil"/>
              <w:left w:val="nil"/>
              <w:bottom w:val="single" w:sz="4" w:space="0" w:color="auto"/>
              <w:right w:val="single" w:sz="4" w:space="0" w:color="auto"/>
            </w:tcBorders>
            <w:shd w:val="clear" w:color="auto" w:fill="3C54A5" w:themeFill="text2"/>
            <w:noWrap/>
            <w:vAlign w:val="bottom"/>
            <w:hideMark/>
          </w:tcPr>
          <w:p w14:paraId="27DD2274" w14:textId="77777777" w:rsidR="00180812" w:rsidRPr="00180812" w:rsidRDefault="00180812" w:rsidP="00180812">
            <w:pPr>
              <w:spacing w:after="0" w:line="240" w:lineRule="auto"/>
              <w:jc w:val="center"/>
              <w:rPr>
                <w:rFonts w:ascii="Calibri" w:eastAsia="Times New Roman" w:hAnsi="Calibri" w:cs="Calibri"/>
                <w:b/>
                <w:bCs/>
                <w:color w:val="FFFFFF"/>
                <w:sz w:val="20"/>
                <w:szCs w:val="20"/>
                <w:lang w:eastAsia="en-AU"/>
              </w:rPr>
            </w:pPr>
            <w:r w:rsidRPr="00180812">
              <w:rPr>
                <w:rFonts w:ascii="Calibri" w:eastAsia="Times New Roman" w:hAnsi="Calibri" w:cs="Calibri"/>
                <w:b/>
                <w:bCs/>
                <w:color w:val="FFFFFF"/>
                <w:sz w:val="20"/>
                <w:szCs w:val="20"/>
                <w:lang w:eastAsia="en-AU"/>
              </w:rPr>
              <w:t>%</w:t>
            </w:r>
          </w:p>
        </w:tc>
      </w:tr>
      <w:tr w:rsidR="00485BBD" w:rsidRPr="00180812" w14:paraId="293494B3" w14:textId="77777777" w:rsidTr="0014385F">
        <w:trPr>
          <w:trHeight w:val="300"/>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14:paraId="5959ED06" w14:textId="77777777" w:rsidR="00485BBD" w:rsidRPr="00180812" w:rsidRDefault="00485BBD" w:rsidP="00485BBD">
            <w:pPr>
              <w:spacing w:after="0" w:line="240" w:lineRule="auto"/>
              <w:rPr>
                <w:rFonts w:ascii="Calibri" w:eastAsia="Times New Roman" w:hAnsi="Calibri" w:cs="Calibri"/>
                <w:color w:val="000000"/>
                <w:sz w:val="18"/>
                <w:szCs w:val="18"/>
                <w:lang w:eastAsia="en-AU"/>
              </w:rPr>
            </w:pPr>
            <w:r w:rsidRPr="00180812">
              <w:rPr>
                <w:rFonts w:ascii="Calibri" w:eastAsia="Times New Roman" w:hAnsi="Calibri" w:cs="Calibri"/>
                <w:color w:val="000000"/>
                <w:sz w:val="18"/>
                <w:szCs w:val="18"/>
                <w:lang w:eastAsia="en-AU"/>
              </w:rPr>
              <w:t>Academic Employee Benefits *</w:t>
            </w:r>
          </w:p>
        </w:tc>
        <w:tc>
          <w:tcPr>
            <w:tcW w:w="1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6F7AA" w14:textId="2F0D470E"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10,069,653</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5CB81198" w14:textId="5AECD21C"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9,546,310</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1C87D015" w14:textId="64A7B8BB"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523,343</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214683A2" w14:textId="2D15138F"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5.5%</w:t>
            </w:r>
          </w:p>
        </w:tc>
      </w:tr>
      <w:tr w:rsidR="00485BBD" w:rsidRPr="00180812" w14:paraId="6999C14A" w14:textId="77777777" w:rsidTr="0014385F">
        <w:trPr>
          <w:trHeight w:val="300"/>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14:paraId="61396F5E" w14:textId="77777777" w:rsidR="00485BBD" w:rsidRPr="00180812" w:rsidRDefault="00485BBD" w:rsidP="00485BBD">
            <w:pPr>
              <w:spacing w:after="0" w:line="240" w:lineRule="auto"/>
              <w:rPr>
                <w:rFonts w:ascii="Calibri" w:eastAsia="Times New Roman" w:hAnsi="Calibri" w:cs="Calibri"/>
                <w:color w:val="000000"/>
                <w:sz w:val="18"/>
                <w:szCs w:val="18"/>
                <w:lang w:eastAsia="en-AU"/>
              </w:rPr>
            </w:pPr>
            <w:r w:rsidRPr="00180812">
              <w:rPr>
                <w:rFonts w:ascii="Calibri" w:eastAsia="Times New Roman" w:hAnsi="Calibri" w:cs="Calibri"/>
                <w:color w:val="000000"/>
                <w:sz w:val="18"/>
                <w:szCs w:val="18"/>
                <w:lang w:eastAsia="en-AU"/>
              </w:rPr>
              <w:t>Non-Academic Employee Benefits *</w:t>
            </w:r>
          </w:p>
        </w:tc>
        <w:tc>
          <w:tcPr>
            <w:tcW w:w="1121" w:type="dxa"/>
            <w:tcBorders>
              <w:top w:val="nil"/>
              <w:left w:val="single" w:sz="4" w:space="0" w:color="auto"/>
              <w:bottom w:val="single" w:sz="4" w:space="0" w:color="auto"/>
              <w:right w:val="single" w:sz="4" w:space="0" w:color="auto"/>
            </w:tcBorders>
            <w:shd w:val="clear" w:color="auto" w:fill="auto"/>
            <w:noWrap/>
            <w:vAlign w:val="bottom"/>
            <w:hideMark/>
          </w:tcPr>
          <w:p w14:paraId="737248E7" w14:textId="2D93BA60"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9,154,627</w:t>
            </w:r>
          </w:p>
        </w:tc>
        <w:tc>
          <w:tcPr>
            <w:tcW w:w="1122" w:type="dxa"/>
            <w:tcBorders>
              <w:top w:val="nil"/>
              <w:left w:val="nil"/>
              <w:bottom w:val="single" w:sz="4" w:space="0" w:color="auto"/>
              <w:right w:val="single" w:sz="4" w:space="0" w:color="auto"/>
            </w:tcBorders>
            <w:shd w:val="clear" w:color="auto" w:fill="auto"/>
            <w:noWrap/>
            <w:vAlign w:val="bottom"/>
            <w:hideMark/>
          </w:tcPr>
          <w:p w14:paraId="0263CB5F" w14:textId="1E91B0AA"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8,690,215</w:t>
            </w:r>
          </w:p>
        </w:tc>
        <w:tc>
          <w:tcPr>
            <w:tcW w:w="1122" w:type="dxa"/>
            <w:tcBorders>
              <w:top w:val="nil"/>
              <w:left w:val="nil"/>
              <w:bottom w:val="single" w:sz="4" w:space="0" w:color="auto"/>
              <w:right w:val="single" w:sz="4" w:space="0" w:color="auto"/>
            </w:tcBorders>
            <w:shd w:val="clear" w:color="auto" w:fill="auto"/>
            <w:noWrap/>
            <w:vAlign w:val="bottom"/>
            <w:hideMark/>
          </w:tcPr>
          <w:p w14:paraId="497D9BF5" w14:textId="0276B2A7"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464,412</w:t>
            </w:r>
          </w:p>
        </w:tc>
        <w:tc>
          <w:tcPr>
            <w:tcW w:w="1122" w:type="dxa"/>
            <w:tcBorders>
              <w:top w:val="nil"/>
              <w:left w:val="nil"/>
              <w:bottom w:val="single" w:sz="4" w:space="0" w:color="auto"/>
              <w:right w:val="single" w:sz="4" w:space="0" w:color="auto"/>
            </w:tcBorders>
            <w:shd w:val="clear" w:color="auto" w:fill="auto"/>
            <w:noWrap/>
            <w:vAlign w:val="bottom"/>
            <w:hideMark/>
          </w:tcPr>
          <w:p w14:paraId="72D4D26E" w14:textId="70E1C6E5"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5.3%</w:t>
            </w:r>
          </w:p>
        </w:tc>
      </w:tr>
      <w:tr w:rsidR="00485BBD" w:rsidRPr="00180812" w14:paraId="1779A804" w14:textId="77777777" w:rsidTr="0014385F">
        <w:trPr>
          <w:trHeight w:val="300"/>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14:paraId="4A99337C" w14:textId="77777777" w:rsidR="00485BBD" w:rsidRPr="00180812" w:rsidRDefault="00485BBD" w:rsidP="00485BBD">
            <w:pPr>
              <w:spacing w:after="0" w:line="240" w:lineRule="auto"/>
              <w:rPr>
                <w:rFonts w:ascii="Calibri" w:eastAsia="Times New Roman" w:hAnsi="Calibri" w:cs="Calibri"/>
                <w:color w:val="000000"/>
                <w:sz w:val="18"/>
                <w:szCs w:val="18"/>
                <w:lang w:eastAsia="en-AU"/>
              </w:rPr>
            </w:pPr>
            <w:r w:rsidRPr="00180812">
              <w:rPr>
                <w:rFonts w:ascii="Calibri" w:eastAsia="Times New Roman" w:hAnsi="Calibri" w:cs="Calibri"/>
                <w:color w:val="000000"/>
                <w:sz w:val="18"/>
                <w:szCs w:val="18"/>
                <w:lang w:eastAsia="en-AU"/>
              </w:rPr>
              <w:t>Payroll Tax</w:t>
            </w:r>
          </w:p>
        </w:tc>
        <w:tc>
          <w:tcPr>
            <w:tcW w:w="1121" w:type="dxa"/>
            <w:tcBorders>
              <w:top w:val="nil"/>
              <w:left w:val="single" w:sz="4" w:space="0" w:color="auto"/>
              <w:bottom w:val="single" w:sz="4" w:space="0" w:color="auto"/>
              <w:right w:val="single" w:sz="4" w:space="0" w:color="auto"/>
            </w:tcBorders>
            <w:shd w:val="clear" w:color="auto" w:fill="auto"/>
            <w:noWrap/>
            <w:vAlign w:val="bottom"/>
            <w:hideMark/>
          </w:tcPr>
          <w:p w14:paraId="725902B2" w14:textId="08283B7B"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923,87</w:t>
            </w:r>
            <w:r w:rsidR="00046A7A">
              <w:rPr>
                <w:rFonts w:ascii="Calibri" w:hAnsi="Calibri" w:cs="Calibri"/>
                <w:color w:val="000000"/>
                <w:sz w:val="18"/>
                <w:szCs w:val="18"/>
              </w:rPr>
              <w:t>3</w:t>
            </w:r>
          </w:p>
        </w:tc>
        <w:tc>
          <w:tcPr>
            <w:tcW w:w="1122" w:type="dxa"/>
            <w:tcBorders>
              <w:top w:val="nil"/>
              <w:left w:val="nil"/>
              <w:bottom w:val="single" w:sz="4" w:space="0" w:color="auto"/>
              <w:right w:val="single" w:sz="4" w:space="0" w:color="auto"/>
            </w:tcBorders>
            <w:shd w:val="clear" w:color="auto" w:fill="auto"/>
            <w:noWrap/>
            <w:vAlign w:val="bottom"/>
            <w:hideMark/>
          </w:tcPr>
          <w:p w14:paraId="5BC96105" w14:textId="00B31503"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922,654</w:t>
            </w:r>
          </w:p>
        </w:tc>
        <w:tc>
          <w:tcPr>
            <w:tcW w:w="1122" w:type="dxa"/>
            <w:tcBorders>
              <w:top w:val="nil"/>
              <w:left w:val="nil"/>
              <w:bottom w:val="single" w:sz="4" w:space="0" w:color="auto"/>
              <w:right w:val="single" w:sz="4" w:space="0" w:color="auto"/>
            </w:tcBorders>
            <w:shd w:val="clear" w:color="auto" w:fill="auto"/>
            <w:noWrap/>
            <w:vAlign w:val="bottom"/>
            <w:hideMark/>
          </w:tcPr>
          <w:p w14:paraId="579BEE7B" w14:textId="093EE9A5"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1,2</w:t>
            </w:r>
            <w:r w:rsidR="00046A7A">
              <w:rPr>
                <w:rFonts w:ascii="Calibri" w:hAnsi="Calibri" w:cs="Calibri"/>
                <w:color w:val="000000"/>
                <w:sz w:val="18"/>
                <w:szCs w:val="18"/>
              </w:rPr>
              <w:t>19</w:t>
            </w:r>
          </w:p>
        </w:tc>
        <w:tc>
          <w:tcPr>
            <w:tcW w:w="1122" w:type="dxa"/>
            <w:tcBorders>
              <w:top w:val="nil"/>
              <w:left w:val="nil"/>
              <w:bottom w:val="single" w:sz="4" w:space="0" w:color="auto"/>
              <w:right w:val="single" w:sz="4" w:space="0" w:color="auto"/>
            </w:tcBorders>
            <w:shd w:val="clear" w:color="auto" w:fill="auto"/>
            <w:noWrap/>
            <w:vAlign w:val="bottom"/>
            <w:hideMark/>
          </w:tcPr>
          <w:p w14:paraId="1418D395" w14:textId="20C86823"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0.1%</w:t>
            </w:r>
          </w:p>
        </w:tc>
      </w:tr>
      <w:tr w:rsidR="00485BBD" w:rsidRPr="00180812" w14:paraId="3FF7F7CA" w14:textId="77777777" w:rsidTr="0014385F">
        <w:trPr>
          <w:trHeight w:val="300"/>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14:paraId="312F4D5D" w14:textId="77777777" w:rsidR="00485BBD" w:rsidRPr="00180812" w:rsidRDefault="00485BBD" w:rsidP="00485BBD">
            <w:pPr>
              <w:spacing w:after="0" w:line="240" w:lineRule="auto"/>
              <w:rPr>
                <w:rFonts w:ascii="Calibri" w:eastAsia="Times New Roman" w:hAnsi="Calibri" w:cs="Calibri"/>
                <w:color w:val="000000"/>
                <w:sz w:val="18"/>
                <w:szCs w:val="18"/>
                <w:lang w:eastAsia="en-AU"/>
              </w:rPr>
            </w:pPr>
            <w:r w:rsidRPr="00180812">
              <w:rPr>
                <w:rFonts w:ascii="Calibri" w:eastAsia="Times New Roman" w:hAnsi="Calibri" w:cs="Calibri"/>
                <w:color w:val="000000"/>
                <w:sz w:val="18"/>
                <w:szCs w:val="18"/>
                <w:lang w:eastAsia="en-AU"/>
              </w:rPr>
              <w:t>Depreciation and Amortisation</w:t>
            </w:r>
          </w:p>
        </w:tc>
        <w:tc>
          <w:tcPr>
            <w:tcW w:w="1121" w:type="dxa"/>
            <w:tcBorders>
              <w:top w:val="nil"/>
              <w:left w:val="single" w:sz="4" w:space="0" w:color="auto"/>
              <w:bottom w:val="single" w:sz="4" w:space="0" w:color="auto"/>
              <w:right w:val="single" w:sz="4" w:space="0" w:color="auto"/>
            </w:tcBorders>
            <w:shd w:val="clear" w:color="auto" w:fill="auto"/>
            <w:noWrap/>
            <w:vAlign w:val="bottom"/>
            <w:hideMark/>
          </w:tcPr>
          <w:p w14:paraId="7EB7AD31" w14:textId="658131A4"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2,696,808</w:t>
            </w:r>
          </w:p>
        </w:tc>
        <w:tc>
          <w:tcPr>
            <w:tcW w:w="1122" w:type="dxa"/>
            <w:tcBorders>
              <w:top w:val="nil"/>
              <w:left w:val="nil"/>
              <w:bottom w:val="single" w:sz="4" w:space="0" w:color="auto"/>
              <w:right w:val="single" w:sz="4" w:space="0" w:color="auto"/>
            </w:tcBorders>
            <w:shd w:val="clear" w:color="auto" w:fill="auto"/>
            <w:noWrap/>
            <w:vAlign w:val="bottom"/>
            <w:hideMark/>
          </w:tcPr>
          <w:p w14:paraId="677C2AC8" w14:textId="2D3CF5F8"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2,655,470</w:t>
            </w:r>
          </w:p>
        </w:tc>
        <w:tc>
          <w:tcPr>
            <w:tcW w:w="1122" w:type="dxa"/>
            <w:tcBorders>
              <w:top w:val="nil"/>
              <w:left w:val="nil"/>
              <w:bottom w:val="single" w:sz="4" w:space="0" w:color="auto"/>
              <w:right w:val="single" w:sz="4" w:space="0" w:color="auto"/>
            </w:tcBorders>
            <w:shd w:val="clear" w:color="auto" w:fill="auto"/>
            <w:noWrap/>
            <w:vAlign w:val="bottom"/>
            <w:hideMark/>
          </w:tcPr>
          <w:p w14:paraId="21822FC5" w14:textId="37912D42"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41,338</w:t>
            </w:r>
          </w:p>
        </w:tc>
        <w:tc>
          <w:tcPr>
            <w:tcW w:w="1122" w:type="dxa"/>
            <w:tcBorders>
              <w:top w:val="nil"/>
              <w:left w:val="nil"/>
              <w:bottom w:val="single" w:sz="4" w:space="0" w:color="auto"/>
              <w:right w:val="single" w:sz="4" w:space="0" w:color="auto"/>
            </w:tcBorders>
            <w:shd w:val="clear" w:color="auto" w:fill="auto"/>
            <w:noWrap/>
            <w:vAlign w:val="bottom"/>
            <w:hideMark/>
          </w:tcPr>
          <w:p w14:paraId="1A6F6EBD" w14:textId="3416E895"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1.6%</w:t>
            </w:r>
          </w:p>
        </w:tc>
      </w:tr>
      <w:tr w:rsidR="00485BBD" w:rsidRPr="00180812" w14:paraId="43EF62A3" w14:textId="77777777" w:rsidTr="0014385F">
        <w:trPr>
          <w:trHeight w:val="300"/>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14:paraId="26E9E3E4" w14:textId="77777777" w:rsidR="00485BBD" w:rsidRPr="00180812" w:rsidRDefault="00485BBD" w:rsidP="00485BBD">
            <w:pPr>
              <w:spacing w:after="0" w:line="240" w:lineRule="auto"/>
              <w:rPr>
                <w:rFonts w:ascii="Calibri" w:eastAsia="Times New Roman" w:hAnsi="Calibri" w:cs="Calibri"/>
                <w:color w:val="000000"/>
                <w:sz w:val="18"/>
                <w:szCs w:val="18"/>
                <w:lang w:eastAsia="en-AU"/>
              </w:rPr>
            </w:pPr>
            <w:r w:rsidRPr="00180812">
              <w:rPr>
                <w:rFonts w:ascii="Calibri" w:eastAsia="Times New Roman" w:hAnsi="Calibri" w:cs="Calibri"/>
                <w:color w:val="000000"/>
                <w:sz w:val="18"/>
                <w:szCs w:val="18"/>
                <w:lang w:eastAsia="en-AU"/>
              </w:rPr>
              <w:t>Repairs and Maintenance</w:t>
            </w:r>
          </w:p>
        </w:tc>
        <w:tc>
          <w:tcPr>
            <w:tcW w:w="1121" w:type="dxa"/>
            <w:tcBorders>
              <w:top w:val="nil"/>
              <w:left w:val="single" w:sz="4" w:space="0" w:color="auto"/>
              <w:bottom w:val="single" w:sz="4" w:space="0" w:color="auto"/>
              <w:right w:val="single" w:sz="4" w:space="0" w:color="auto"/>
            </w:tcBorders>
            <w:shd w:val="clear" w:color="auto" w:fill="auto"/>
            <w:noWrap/>
            <w:vAlign w:val="bottom"/>
            <w:hideMark/>
          </w:tcPr>
          <w:p w14:paraId="75D85DB1" w14:textId="15B50ABC"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778,849</w:t>
            </w:r>
          </w:p>
        </w:tc>
        <w:tc>
          <w:tcPr>
            <w:tcW w:w="1122" w:type="dxa"/>
            <w:tcBorders>
              <w:top w:val="nil"/>
              <w:left w:val="nil"/>
              <w:bottom w:val="single" w:sz="4" w:space="0" w:color="auto"/>
              <w:right w:val="single" w:sz="4" w:space="0" w:color="auto"/>
            </w:tcBorders>
            <w:shd w:val="clear" w:color="auto" w:fill="auto"/>
            <w:noWrap/>
            <w:vAlign w:val="bottom"/>
            <w:hideMark/>
          </w:tcPr>
          <w:p w14:paraId="088F5487" w14:textId="370E334A"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820,986</w:t>
            </w:r>
          </w:p>
        </w:tc>
        <w:tc>
          <w:tcPr>
            <w:tcW w:w="1122" w:type="dxa"/>
            <w:tcBorders>
              <w:top w:val="nil"/>
              <w:left w:val="nil"/>
              <w:bottom w:val="single" w:sz="4" w:space="0" w:color="auto"/>
              <w:right w:val="single" w:sz="4" w:space="0" w:color="auto"/>
            </w:tcBorders>
            <w:shd w:val="clear" w:color="auto" w:fill="auto"/>
            <w:noWrap/>
            <w:vAlign w:val="bottom"/>
            <w:hideMark/>
          </w:tcPr>
          <w:p w14:paraId="7DAA7104" w14:textId="3F70B21C"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FF0000"/>
                <w:sz w:val="18"/>
                <w:szCs w:val="18"/>
              </w:rPr>
              <w:t>(42,137)</w:t>
            </w:r>
          </w:p>
        </w:tc>
        <w:tc>
          <w:tcPr>
            <w:tcW w:w="1122" w:type="dxa"/>
            <w:tcBorders>
              <w:top w:val="nil"/>
              <w:left w:val="nil"/>
              <w:bottom w:val="single" w:sz="4" w:space="0" w:color="auto"/>
              <w:right w:val="single" w:sz="4" w:space="0" w:color="auto"/>
            </w:tcBorders>
            <w:shd w:val="clear" w:color="auto" w:fill="auto"/>
            <w:noWrap/>
            <w:vAlign w:val="bottom"/>
            <w:hideMark/>
          </w:tcPr>
          <w:p w14:paraId="0EBEAC94" w14:textId="4759F4DE"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-5.1%</w:t>
            </w:r>
          </w:p>
        </w:tc>
      </w:tr>
      <w:tr w:rsidR="00485BBD" w:rsidRPr="00180812" w14:paraId="41018E6C" w14:textId="77777777" w:rsidTr="0014385F">
        <w:trPr>
          <w:trHeight w:val="300"/>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14:paraId="51A7DBE2" w14:textId="77777777" w:rsidR="00485BBD" w:rsidRPr="00180812" w:rsidRDefault="00485BBD" w:rsidP="00485BBD">
            <w:pPr>
              <w:spacing w:after="0" w:line="240" w:lineRule="auto"/>
              <w:rPr>
                <w:rFonts w:ascii="Calibri" w:eastAsia="Times New Roman" w:hAnsi="Calibri" w:cs="Calibri"/>
                <w:color w:val="000000"/>
                <w:sz w:val="18"/>
                <w:szCs w:val="18"/>
                <w:lang w:eastAsia="en-AU"/>
              </w:rPr>
            </w:pPr>
            <w:r w:rsidRPr="00180812">
              <w:rPr>
                <w:rFonts w:ascii="Calibri" w:eastAsia="Times New Roman" w:hAnsi="Calibri" w:cs="Calibri"/>
                <w:color w:val="000000"/>
                <w:sz w:val="18"/>
                <w:szCs w:val="18"/>
                <w:lang w:eastAsia="en-AU"/>
              </w:rPr>
              <w:t>Other Expenses **</w:t>
            </w:r>
          </w:p>
        </w:tc>
        <w:tc>
          <w:tcPr>
            <w:tcW w:w="1121" w:type="dxa"/>
            <w:tcBorders>
              <w:top w:val="nil"/>
              <w:left w:val="single" w:sz="4" w:space="0" w:color="auto"/>
              <w:bottom w:val="single" w:sz="4" w:space="0" w:color="auto"/>
              <w:right w:val="single" w:sz="4" w:space="0" w:color="auto"/>
            </w:tcBorders>
            <w:shd w:val="clear" w:color="auto" w:fill="auto"/>
            <w:noWrap/>
            <w:vAlign w:val="bottom"/>
            <w:hideMark/>
          </w:tcPr>
          <w:p w14:paraId="2FAB50AF" w14:textId="11840217"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10,355,58</w:t>
            </w:r>
            <w:r w:rsidR="00046A7A">
              <w:rPr>
                <w:rFonts w:ascii="Calibri" w:hAnsi="Calibri" w:cs="Calibri"/>
                <w:color w:val="000000"/>
                <w:sz w:val="18"/>
                <w:szCs w:val="18"/>
              </w:rPr>
              <w:t>8</w:t>
            </w:r>
          </w:p>
        </w:tc>
        <w:tc>
          <w:tcPr>
            <w:tcW w:w="1122" w:type="dxa"/>
            <w:tcBorders>
              <w:top w:val="nil"/>
              <w:left w:val="nil"/>
              <w:bottom w:val="single" w:sz="4" w:space="0" w:color="auto"/>
              <w:right w:val="single" w:sz="4" w:space="0" w:color="auto"/>
            </w:tcBorders>
            <w:shd w:val="clear" w:color="auto" w:fill="auto"/>
            <w:noWrap/>
            <w:vAlign w:val="bottom"/>
            <w:hideMark/>
          </w:tcPr>
          <w:p w14:paraId="5A430C69" w14:textId="02B512E2"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11,598,842</w:t>
            </w:r>
          </w:p>
        </w:tc>
        <w:tc>
          <w:tcPr>
            <w:tcW w:w="1122" w:type="dxa"/>
            <w:tcBorders>
              <w:top w:val="nil"/>
              <w:left w:val="nil"/>
              <w:bottom w:val="single" w:sz="4" w:space="0" w:color="auto"/>
              <w:right w:val="single" w:sz="4" w:space="0" w:color="auto"/>
            </w:tcBorders>
            <w:shd w:val="clear" w:color="auto" w:fill="auto"/>
            <w:noWrap/>
            <w:vAlign w:val="bottom"/>
            <w:hideMark/>
          </w:tcPr>
          <w:p w14:paraId="593FF2E2" w14:textId="095A238C"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FF0000"/>
                <w:sz w:val="18"/>
                <w:szCs w:val="18"/>
              </w:rPr>
              <w:t>(1,243,25</w:t>
            </w:r>
            <w:r w:rsidR="00046A7A">
              <w:rPr>
                <w:rFonts w:ascii="Calibri" w:hAnsi="Calibri" w:cs="Calibri"/>
                <w:color w:val="FF0000"/>
                <w:sz w:val="18"/>
                <w:szCs w:val="18"/>
              </w:rPr>
              <w:t>4</w:t>
            </w:r>
            <w:r>
              <w:rPr>
                <w:rFonts w:ascii="Calibri" w:hAnsi="Calibri" w:cs="Calibri"/>
                <w:color w:val="FF0000"/>
                <w:sz w:val="18"/>
                <w:szCs w:val="18"/>
              </w:rPr>
              <w:t>)</w:t>
            </w:r>
          </w:p>
        </w:tc>
        <w:tc>
          <w:tcPr>
            <w:tcW w:w="1122" w:type="dxa"/>
            <w:tcBorders>
              <w:top w:val="nil"/>
              <w:left w:val="nil"/>
              <w:bottom w:val="single" w:sz="4" w:space="0" w:color="auto"/>
              <w:right w:val="single" w:sz="4" w:space="0" w:color="auto"/>
            </w:tcBorders>
            <w:shd w:val="clear" w:color="auto" w:fill="auto"/>
            <w:noWrap/>
            <w:vAlign w:val="bottom"/>
            <w:hideMark/>
          </w:tcPr>
          <w:p w14:paraId="0555A0AC" w14:textId="4B6481C0" w:rsidR="00485BBD" w:rsidRPr="00180812" w:rsidRDefault="00485BBD" w:rsidP="00485BBD">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-10.7%</w:t>
            </w:r>
          </w:p>
        </w:tc>
      </w:tr>
      <w:tr w:rsidR="00485BBD" w:rsidRPr="00180812" w14:paraId="4FB1A9AF" w14:textId="77777777" w:rsidTr="005D73E9">
        <w:trPr>
          <w:trHeight w:val="300"/>
        </w:trPr>
        <w:tc>
          <w:tcPr>
            <w:tcW w:w="4529" w:type="dxa"/>
            <w:tcBorders>
              <w:top w:val="nil"/>
              <w:left w:val="single" w:sz="4" w:space="0" w:color="auto"/>
              <w:bottom w:val="single" w:sz="4" w:space="0" w:color="auto"/>
              <w:right w:val="single" w:sz="4" w:space="0" w:color="auto"/>
            </w:tcBorders>
            <w:shd w:val="clear" w:color="auto" w:fill="D5DBEF" w:themeFill="text2" w:themeFillTint="33"/>
            <w:noWrap/>
            <w:vAlign w:val="bottom"/>
            <w:hideMark/>
          </w:tcPr>
          <w:p w14:paraId="73C197F4" w14:textId="77777777" w:rsidR="00485BBD" w:rsidRPr="00180812" w:rsidRDefault="00485BBD" w:rsidP="00485BBD">
            <w:pPr>
              <w:spacing w:after="0" w:line="240" w:lineRule="auto"/>
              <w:rPr>
                <w:rFonts w:ascii="Calibri" w:eastAsia="Times New Roman" w:hAnsi="Calibri" w:cs="Calibri"/>
                <w:b/>
                <w:bCs/>
                <w:color w:val="000000"/>
                <w:sz w:val="18"/>
                <w:szCs w:val="18"/>
                <w:lang w:eastAsia="en-AU"/>
              </w:rPr>
            </w:pPr>
            <w:r w:rsidRPr="00180812">
              <w:rPr>
                <w:rFonts w:ascii="Calibri" w:eastAsia="Times New Roman" w:hAnsi="Calibri" w:cs="Calibri"/>
                <w:b/>
                <w:bCs/>
                <w:color w:val="000000"/>
                <w:sz w:val="18"/>
                <w:szCs w:val="18"/>
                <w:lang w:eastAsia="en-AU"/>
              </w:rPr>
              <w:t>Total Expenses from Continuing Operations</w:t>
            </w:r>
          </w:p>
        </w:tc>
        <w:tc>
          <w:tcPr>
            <w:tcW w:w="1121" w:type="dxa"/>
            <w:tcBorders>
              <w:top w:val="nil"/>
              <w:left w:val="single" w:sz="4" w:space="0" w:color="auto"/>
              <w:bottom w:val="single" w:sz="4" w:space="0" w:color="auto"/>
              <w:right w:val="single" w:sz="4" w:space="0" w:color="auto"/>
            </w:tcBorders>
            <w:shd w:val="clear" w:color="auto" w:fill="D5DBEF" w:themeFill="text2" w:themeFillTint="33"/>
            <w:noWrap/>
            <w:vAlign w:val="bottom"/>
            <w:hideMark/>
          </w:tcPr>
          <w:p w14:paraId="64EF59DC" w14:textId="040EAFE1" w:rsidR="00485BBD" w:rsidRPr="00180812" w:rsidRDefault="00485BBD" w:rsidP="00485BBD">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18"/>
                <w:szCs w:val="18"/>
              </w:rPr>
              <w:t>33,979,</w:t>
            </w:r>
            <w:r w:rsidR="00046A7A">
              <w:rPr>
                <w:rFonts w:ascii="Calibri" w:hAnsi="Calibri" w:cs="Calibri"/>
                <w:b/>
                <w:bCs/>
                <w:color w:val="000000"/>
                <w:sz w:val="18"/>
                <w:szCs w:val="18"/>
              </w:rPr>
              <w:t>400</w:t>
            </w:r>
          </w:p>
        </w:tc>
        <w:tc>
          <w:tcPr>
            <w:tcW w:w="1122" w:type="dxa"/>
            <w:tcBorders>
              <w:top w:val="nil"/>
              <w:left w:val="nil"/>
              <w:bottom w:val="single" w:sz="4" w:space="0" w:color="auto"/>
              <w:right w:val="single" w:sz="4" w:space="0" w:color="auto"/>
            </w:tcBorders>
            <w:shd w:val="clear" w:color="auto" w:fill="D5DBEF" w:themeFill="text2" w:themeFillTint="33"/>
            <w:noWrap/>
            <w:vAlign w:val="bottom"/>
            <w:hideMark/>
          </w:tcPr>
          <w:p w14:paraId="4D572E41" w14:textId="7AADD80A" w:rsidR="00485BBD" w:rsidRPr="00180812" w:rsidRDefault="00485BBD" w:rsidP="00485BBD">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18"/>
                <w:szCs w:val="18"/>
              </w:rPr>
              <w:t>34,234,477</w:t>
            </w:r>
          </w:p>
        </w:tc>
        <w:tc>
          <w:tcPr>
            <w:tcW w:w="1122" w:type="dxa"/>
            <w:tcBorders>
              <w:top w:val="nil"/>
              <w:left w:val="nil"/>
              <w:bottom w:val="single" w:sz="4" w:space="0" w:color="auto"/>
              <w:right w:val="single" w:sz="4" w:space="0" w:color="auto"/>
            </w:tcBorders>
            <w:shd w:val="clear" w:color="auto" w:fill="D5DBEF" w:themeFill="text2" w:themeFillTint="33"/>
            <w:noWrap/>
            <w:vAlign w:val="bottom"/>
            <w:hideMark/>
          </w:tcPr>
          <w:p w14:paraId="24964B95" w14:textId="29C75AA0" w:rsidR="00485BBD" w:rsidRPr="00180812" w:rsidRDefault="00485BBD" w:rsidP="00485BBD">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FF0000"/>
                <w:sz w:val="18"/>
                <w:szCs w:val="18"/>
              </w:rPr>
              <w:t>(255,0</w:t>
            </w:r>
            <w:r w:rsidR="00046A7A">
              <w:rPr>
                <w:rFonts w:ascii="Calibri" w:hAnsi="Calibri" w:cs="Calibri"/>
                <w:b/>
                <w:bCs/>
                <w:color w:val="FF0000"/>
                <w:sz w:val="18"/>
                <w:szCs w:val="18"/>
              </w:rPr>
              <w:t>77</w:t>
            </w:r>
            <w:r>
              <w:rPr>
                <w:rFonts w:ascii="Calibri" w:hAnsi="Calibri" w:cs="Calibri"/>
                <w:b/>
                <w:bCs/>
                <w:color w:val="FF0000"/>
                <w:sz w:val="18"/>
                <w:szCs w:val="18"/>
              </w:rPr>
              <w:t>)</w:t>
            </w:r>
          </w:p>
        </w:tc>
        <w:tc>
          <w:tcPr>
            <w:tcW w:w="1122" w:type="dxa"/>
            <w:tcBorders>
              <w:top w:val="nil"/>
              <w:left w:val="nil"/>
              <w:bottom w:val="single" w:sz="4" w:space="0" w:color="auto"/>
              <w:right w:val="single" w:sz="4" w:space="0" w:color="auto"/>
            </w:tcBorders>
            <w:shd w:val="clear" w:color="auto" w:fill="D5DBEF" w:themeFill="text2" w:themeFillTint="33"/>
            <w:noWrap/>
            <w:vAlign w:val="bottom"/>
            <w:hideMark/>
          </w:tcPr>
          <w:p w14:paraId="34DE500C" w14:textId="79EDE266" w:rsidR="00485BBD" w:rsidRPr="00180812" w:rsidRDefault="00485BBD" w:rsidP="00485BBD">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18"/>
                <w:szCs w:val="18"/>
              </w:rPr>
              <w:t>-0.7%</w:t>
            </w:r>
          </w:p>
        </w:tc>
      </w:tr>
    </w:tbl>
    <w:p w14:paraId="039237C9" w14:textId="77777777" w:rsidR="00930F30" w:rsidRPr="001C1E25" w:rsidRDefault="00930F30" w:rsidP="00930F30">
      <w:pPr>
        <w:spacing w:before="120" w:after="0" w:line="240" w:lineRule="auto"/>
        <w:rPr>
          <w:rFonts w:eastAsia="Times New Roman" w:cstheme="minorHAnsi"/>
          <w:color w:val="000000"/>
          <w:sz w:val="18"/>
          <w:szCs w:val="18"/>
          <w:lang w:eastAsia="en-AU"/>
        </w:rPr>
      </w:pPr>
      <w:r w:rsidRPr="001C1E25">
        <w:rPr>
          <w:rFonts w:eastAsia="Times New Roman" w:cstheme="minorHAnsi"/>
          <w:color w:val="000000"/>
          <w:sz w:val="18"/>
          <w:szCs w:val="18"/>
          <w:lang w:eastAsia="en-AU"/>
        </w:rPr>
        <w:t>*   Excluding payroll tax.</w:t>
      </w:r>
    </w:p>
    <w:p w14:paraId="1B72DA3C" w14:textId="4D18FFFA" w:rsidR="00930F30" w:rsidRPr="001C1E25" w:rsidRDefault="00930F30" w:rsidP="00930F30">
      <w:pPr>
        <w:spacing w:after="0" w:line="240" w:lineRule="auto"/>
        <w:rPr>
          <w:rFonts w:eastAsia="Times New Roman" w:cstheme="minorHAnsi"/>
          <w:color w:val="000000"/>
          <w:sz w:val="18"/>
          <w:szCs w:val="18"/>
          <w:lang w:eastAsia="en-AU"/>
        </w:rPr>
      </w:pPr>
      <w:r w:rsidRPr="001C1E25">
        <w:rPr>
          <w:rFonts w:eastAsia="Times New Roman" w:cstheme="minorHAnsi"/>
          <w:color w:val="000000"/>
          <w:sz w:val="18"/>
          <w:szCs w:val="18"/>
          <w:lang w:eastAsia="en-AU"/>
        </w:rPr>
        <w:t xml:space="preserve">** Other expenses </w:t>
      </w:r>
      <w:proofErr w:type="gramStart"/>
      <w:r w:rsidRPr="001C1E25">
        <w:rPr>
          <w:rFonts w:eastAsia="Times New Roman" w:cstheme="minorHAnsi"/>
          <w:color w:val="000000"/>
          <w:sz w:val="18"/>
          <w:szCs w:val="18"/>
          <w:lang w:eastAsia="en-AU"/>
        </w:rPr>
        <w:t>includes</w:t>
      </w:r>
      <w:proofErr w:type="gramEnd"/>
      <w:r w:rsidRPr="001C1E25">
        <w:rPr>
          <w:rFonts w:eastAsia="Times New Roman" w:cstheme="minorHAnsi"/>
          <w:color w:val="000000"/>
          <w:sz w:val="18"/>
          <w:szCs w:val="18"/>
          <w:lang w:eastAsia="en-AU"/>
        </w:rPr>
        <w:t xml:space="preserve"> defined benefits expense, bad and doubtful debts and borrowing costs.</w:t>
      </w:r>
    </w:p>
    <w:p w14:paraId="5320FE60" w14:textId="77777777" w:rsidR="00BC3EFB" w:rsidRPr="00183EB6" w:rsidRDefault="00BC3EFB" w:rsidP="00930F30">
      <w:pPr>
        <w:spacing w:after="0" w:line="240" w:lineRule="auto"/>
        <w:rPr>
          <w:rFonts w:eastAsia="Times New Roman" w:cstheme="minorHAnsi"/>
          <w:color w:val="000000"/>
          <w:sz w:val="18"/>
          <w:szCs w:val="18"/>
          <w:highlight w:val="yellow"/>
          <w:lang w:eastAsia="en-AU"/>
        </w:rPr>
      </w:pPr>
    </w:p>
    <w:bookmarkEnd w:id="13"/>
    <w:bookmarkEnd w:id="18"/>
    <w:bookmarkEnd w:id="19"/>
    <w:p w14:paraId="69CC706E" w14:textId="77777777" w:rsidR="00C7551A" w:rsidRPr="00183EB6" w:rsidRDefault="00C7551A" w:rsidP="00CA2C75">
      <w:pPr>
        <w:rPr>
          <w:rStyle w:val="Strong"/>
          <w:bCs w:val="0"/>
          <w:highlight w:val="yellow"/>
        </w:rPr>
      </w:pPr>
    </w:p>
    <w:p w14:paraId="2AD0155A" w14:textId="36BD8DC9" w:rsidR="00F33B55" w:rsidRDefault="00F33B55" w:rsidP="00CA2C75">
      <w:pPr>
        <w:rPr>
          <w:rStyle w:val="Strong"/>
          <w:bCs w:val="0"/>
        </w:rPr>
      </w:pPr>
      <w:r w:rsidRPr="00180812">
        <w:rPr>
          <w:rStyle w:val="Strong"/>
          <w:bCs w:val="0"/>
        </w:rPr>
        <w:t xml:space="preserve">Figure </w:t>
      </w:r>
      <w:r w:rsidR="006A5AE4">
        <w:rPr>
          <w:rStyle w:val="Strong"/>
          <w:bCs w:val="0"/>
        </w:rPr>
        <w:t>4</w:t>
      </w:r>
      <w:r w:rsidRPr="00180812">
        <w:rPr>
          <w:rStyle w:val="Strong"/>
          <w:bCs w:val="0"/>
        </w:rPr>
        <w:t xml:space="preserve">: </w:t>
      </w:r>
      <w:r w:rsidR="00F67E41" w:rsidRPr="00180812">
        <w:rPr>
          <w:rStyle w:val="Strong"/>
          <w:bCs w:val="0"/>
        </w:rPr>
        <w:t>2019</w:t>
      </w:r>
      <w:r w:rsidRPr="00180812">
        <w:rPr>
          <w:rStyle w:val="Strong"/>
          <w:bCs w:val="0"/>
        </w:rPr>
        <w:t xml:space="preserve"> and </w:t>
      </w:r>
      <w:r w:rsidR="00F67E41" w:rsidRPr="00180812">
        <w:rPr>
          <w:rStyle w:val="Strong"/>
          <w:bCs w:val="0"/>
        </w:rPr>
        <w:t>2020</w:t>
      </w:r>
      <w:r w:rsidRPr="00180812">
        <w:rPr>
          <w:rStyle w:val="Strong"/>
          <w:bCs w:val="0"/>
        </w:rPr>
        <w:t xml:space="preserve"> Expenses</w:t>
      </w:r>
      <w:r w:rsidR="00677740">
        <w:rPr>
          <w:rStyle w:val="Strong"/>
          <w:bCs w:val="0"/>
        </w:rPr>
        <w:t xml:space="preserve"> by Source</w:t>
      </w:r>
    </w:p>
    <w:p w14:paraId="20F523BD" w14:textId="40E20BC6" w:rsidR="004F6684" w:rsidRDefault="004F6684" w:rsidP="00CA2C75">
      <w:pPr>
        <w:rPr>
          <w:rStyle w:val="Strong"/>
          <w:bCs w:val="0"/>
        </w:rPr>
      </w:pPr>
      <w:r>
        <w:rPr>
          <w:noProof/>
        </w:rPr>
        <w:drawing>
          <wp:inline distT="0" distB="0" distL="0" distR="0" wp14:anchorId="3AEA8153" wp14:editId="6543D764">
            <wp:extent cx="5691116" cy="2893325"/>
            <wp:effectExtent l="0" t="0" r="5080" b="2540"/>
            <wp:docPr id="5" name="Chart 5">
              <a:extLst xmlns:a="http://schemas.openxmlformats.org/drawingml/2006/main">
                <a:ext uri="{FF2B5EF4-FFF2-40B4-BE49-F238E27FC236}">
                  <a16:creationId xmlns:a16="http://schemas.microsoft.com/office/drawing/2014/main" id="{5114B9F9-6D9B-436C-BE69-632ED2875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CDE95B6" w14:textId="3EF804E1" w:rsidR="00C7551A" w:rsidRPr="000F54FE" w:rsidRDefault="00C7551A" w:rsidP="00C7551A">
      <w:pPr>
        <w:pStyle w:val="ListParagraph"/>
        <w:numPr>
          <w:ilvl w:val="0"/>
          <w:numId w:val="25"/>
        </w:numPr>
      </w:pPr>
      <w:r w:rsidRPr="000F54FE">
        <w:t xml:space="preserve">Total operating expenses </w:t>
      </w:r>
      <w:r w:rsidR="000F54FE" w:rsidRPr="000F54FE">
        <w:t>de</w:t>
      </w:r>
      <w:r w:rsidRPr="000F54FE">
        <w:t xml:space="preserve">creased by </w:t>
      </w:r>
      <w:r w:rsidR="000F54FE" w:rsidRPr="000F54FE">
        <w:t>0.</w:t>
      </w:r>
      <w:r w:rsidR="00451DAC">
        <w:t>7</w:t>
      </w:r>
      <w:r w:rsidRPr="000F54FE">
        <w:t xml:space="preserve"> </w:t>
      </w:r>
      <w:r w:rsidR="00E43BD8">
        <w:t>per cent</w:t>
      </w:r>
      <w:r w:rsidRPr="000F54FE">
        <w:t xml:space="preserve"> from $3</w:t>
      </w:r>
      <w:r w:rsidR="000F54FE" w:rsidRPr="000F54FE">
        <w:t>4.2</w:t>
      </w:r>
      <w:r w:rsidRPr="000F54FE">
        <w:t xml:space="preserve"> billion in </w:t>
      </w:r>
      <w:r w:rsidR="00F67E41" w:rsidRPr="000F54FE">
        <w:t>2019</w:t>
      </w:r>
      <w:r w:rsidRPr="000F54FE">
        <w:t xml:space="preserve"> to $3</w:t>
      </w:r>
      <w:r w:rsidR="00451DAC">
        <w:t>4.0</w:t>
      </w:r>
      <w:r w:rsidRPr="000F54FE">
        <w:t xml:space="preserve"> billion in </w:t>
      </w:r>
      <w:r w:rsidR="00F67E41" w:rsidRPr="000F54FE">
        <w:t>2020</w:t>
      </w:r>
      <w:r w:rsidR="005C1F41">
        <w:t>,</w:t>
      </w:r>
      <w:r w:rsidR="00B53E2B">
        <w:t xml:space="preserve"> as universities worked to constrain costs in response to the effects of the pandemic.</w:t>
      </w:r>
    </w:p>
    <w:p w14:paraId="422235DE" w14:textId="6D3A0550" w:rsidR="00C7551A" w:rsidRDefault="00C7551A" w:rsidP="00C7551A">
      <w:pPr>
        <w:pStyle w:val="ListParagraph"/>
        <w:numPr>
          <w:ilvl w:val="0"/>
          <w:numId w:val="25"/>
        </w:numPr>
      </w:pPr>
      <w:r w:rsidRPr="000F54FE">
        <w:t>Employee expenses continue to be the most significant cost for universities with a total of $1</w:t>
      </w:r>
      <w:r w:rsidR="000F54FE" w:rsidRPr="000F54FE">
        <w:t>9</w:t>
      </w:r>
      <w:r w:rsidRPr="000F54FE">
        <w:t xml:space="preserve">.2 billion reported in </w:t>
      </w:r>
      <w:r w:rsidR="00F67E41" w:rsidRPr="000F54FE">
        <w:t>2020</w:t>
      </w:r>
      <w:r w:rsidRPr="000F54FE">
        <w:t>, excluding payroll tax. This represents a</w:t>
      </w:r>
      <w:r w:rsidR="000F54FE">
        <w:t xml:space="preserve"> substantial increase </w:t>
      </w:r>
      <w:r w:rsidR="000F54FE" w:rsidRPr="00F80415">
        <w:t>of</w:t>
      </w:r>
      <w:r w:rsidRPr="00F80415">
        <w:t xml:space="preserve"> </w:t>
      </w:r>
      <w:r w:rsidR="000F54FE" w:rsidRPr="00F80415">
        <w:t>5.</w:t>
      </w:r>
      <w:r w:rsidR="00451DAC" w:rsidRPr="00F80415">
        <w:t>4</w:t>
      </w:r>
      <w:r w:rsidRPr="00F80415">
        <w:t xml:space="preserve"> </w:t>
      </w:r>
      <w:r w:rsidR="00E43BD8">
        <w:t>per cent</w:t>
      </w:r>
      <w:r w:rsidRPr="00F80415">
        <w:t xml:space="preserve"> over</w:t>
      </w:r>
      <w:r w:rsidRPr="000F54FE">
        <w:t xml:space="preserve"> the $1</w:t>
      </w:r>
      <w:r w:rsidR="000F54FE" w:rsidRPr="000F54FE">
        <w:t>8.2</w:t>
      </w:r>
      <w:r w:rsidRPr="000F54FE">
        <w:t xml:space="preserve"> billion reported in </w:t>
      </w:r>
      <w:r w:rsidR="00B53E2B" w:rsidRPr="000F54FE">
        <w:t>2019</w:t>
      </w:r>
      <w:r w:rsidR="00B53E2B">
        <w:t xml:space="preserve"> and</w:t>
      </w:r>
      <w:r w:rsidR="008971B3">
        <w:t xml:space="preserve"> was driven by </w:t>
      </w:r>
      <w:r w:rsidR="00B53E2B">
        <w:t>termination payments made to staff as universities reduced the size of their workforce in response to the pandemic. It is expected that these efforts will result in reduced employee expenses going forward.</w:t>
      </w:r>
    </w:p>
    <w:p w14:paraId="1D50CDB7" w14:textId="009C1675" w:rsidR="00C452CC" w:rsidRDefault="00B53E2B" w:rsidP="00C7551A">
      <w:pPr>
        <w:pStyle w:val="ListParagraph"/>
        <w:numPr>
          <w:ilvl w:val="0"/>
          <w:numId w:val="25"/>
        </w:numPr>
      </w:pPr>
      <w:r>
        <w:t xml:space="preserve">Aggressive </w:t>
      </w:r>
      <w:r w:rsidRPr="001311B7">
        <w:t xml:space="preserve">costs reductions were noted across the sector in other expenditure, with universities actively constraining their discretionary </w:t>
      </w:r>
      <w:r w:rsidR="005C1F41">
        <w:t>spending</w:t>
      </w:r>
      <w:r w:rsidRPr="001311B7">
        <w:t xml:space="preserve">, particularly in areas such as travel, </w:t>
      </w:r>
      <w:r w:rsidR="00ED4B8E" w:rsidRPr="001311B7">
        <w:t>marketing and promotional, and consultants and contractors.</w:t>
      </w:r>
    </w:p>
    <w:p w14:paraId="5B01DCB0" w14:textId="77777777" w:rsidR="007D73EC" w:rsidRDefault="007D73EC">
      <w:pPr>
        <w:rPr>
          <w:rStyle w:val="Strong"/>
        </w:rPr>
      </w:pPr>
      <w:r>
        <w:rPr>
          <w:rStyle w:val="Strong"/>
        </w:rPr>
        <w:br w:type="page"/>
      </w:r>
    </w:p>
    <w:p w14:paraId="0F33BDA2" w14:textId="25DAAB13" w:rsidR="006A5AE4" w:rsidRDefault="006A5AE4" w:rsidP="00C7551A">
      <w:pPr>
        <w:rPr>
          <w:rStyle w:val="Strong"/>
        </w:rPr>
      </w:pPr>
      <w:r w:rsidRPr="0060723E">
        <w:rPr>
          <w:rStyle w:val="Strong"/>
        </w:rPr>
        <w:lastRenderedPageBreak/>
        <w:t xml:space="preserve">Figure </w:t>
      </w:r>
      <w:r>
        <w:rPr>
          <w:rStyle w:val="Strong"/>
        </w:rPr>
        <w:t>5</w:t>
      </w:r>
      <w:r w:rsidRPr="0060723E">
        <w:rPr>
          <w:rStyle w:val="Strong"/>
        </w:rPr>
        <w:t xml:space="preserve">: </w:t>
      </w:r>
      <w:r>
        <w:rPr>
          <w:rStyle w:val="Strong"/>
        </w:rPr>
        <w:t>Growth in Expenses</w:t>
      </w:r>
      <w:r w:rsidRPr="0060723E">
        <w:rPr>
          <w:rStyle w:val="Strong"/>
        </w:rPr>
        <w:t xml:space="preserve"> </w:t>
      </w:r>
      <w:r>
        <w:rPr>
          <w:rStyle w:val="Strong"/>
        </w:rPr>
        <w:t>over time</w:t>
      </w:r>
    </w:p>
    <w:p w14:paraId="50E1CB39" w14:textId="5DBE9898" w:rsidR="00C917F7" w:rsidRDefault="00C917F7" w:rsidP="00C7551A">
      <w:pPr>
        <w:rPr>
          <w:rStyle w:val="Strong"/>
        </w:rPr>
      </w:pPr>
      <w:r>
        <w:rPr>
          <w:noProof/>
        </w:rPr>
        <w:drawing>
          <wp:inline distT="0" distB="0" distL="0" distR="0" wp14:anchorId="73F0EC2A" wp14:editId="542D5B43">
            <wp:extent cx="5895975" cy="3633789"/>
            <wp:effectExtent l="0" t="0" r="9525" b="5080"/>
            <wp:docPr id="3" name="Chart 3">
              <a:extLst xmlns:a="http://schemas.openxmlformats.org/drawingml/2006/main">
                <a:ext uri="{FF2B5EF4-FFF2-40B4-BE49-F238E27FC236}">
                  <a16:creationId xmlns:a16="http://schemas.microsoft.com/office/drawing/2014/main" id="{5722DB24-A387-416D-8AB0-E295C946FE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DCBF033" w14:textId="6B12FF51" w:rsidR="00911384" w:rsidRPr="006A5AE4" w:rsidRDefault="00911384" w:rsidP="00C7551A">
      <w:pPr>
        <w:rPr>
          <w:color w:val="FF0000"/>
        </w:rPr>
      </w:pPr>
    </w:p>
    <w:p w14:paraId="46BA9FA4" w14:textId="26306B9E" w:rsidR="006A5AE4" w:rsidRDefault="006A5AE4" w:rsidP="00C7551A">
      <w:pPr>
        <w:sectPr w:rsidR="006A5AE4" w:rsidSect="00765D0C">
          <w:pgSz w:w="11906" w:h="16838" w:code="9"/>
          <w:pgMar w:top="720" w:right="720" w:bottom="720" w:left="720" w:header="709" w:footer="1009" w:gutter="0"/>
          <w:cols w:space="708"/>
          <w:titlePg/>
          <w:docGrid w:linePitch="360"/>
        </w:sectPr>
      </w:pPr>
    </w:p>
    <w:p w14:paraId="5C217F5E" w14:textId="61101289" w:rsidR="00C452CC" w:rsidRDefault="00C452CC" w:rsidP="00C452CC">
      <w:pPr>
        <w:pStyle w:val="Source"/>
        <w:spacing w:after="0" w:line="240" w:lineRule="auto"/>
        <w:rPr>
          <w:rStyle w:val="Strong"/>
          <w:b/>
          <w:sz w:val="22"/>
          <w:szCs w:val="22"/>
        </w:rPr>
      </w:pPr>
      <w:bookmarkStart w:id="20" w:name="_Toc31182558"/>
      <w:r w:rsidRPr="00F51503">
        <w:rPr>
          <w:rStyle w:val="Strong"/>
          <w:b/>
          <w:sz w:val="22"/>
          <w:szCs w:val="22"/>
        </w:rPr>
        <w:lastRenderedPageBreak/>
        <w:t xml:space="preserve">Table </w:t>
      </w:r>
      <w:r w:rsidR="00420FC1">
        <w:rPr>
          <w:rStyle w:val="Strong"/>
          <w:b/>
          <w:sz w:val="22"/>
          <w:szCs w:val="22"/>
        </w:rPr>
        <w:t>5</w:t>
      </w:r>
      <w:r w:rsidRPr="00F51503">
        <w:rPr>
          <w:rStyle w:val="Strong"/>
          <w:b/>
          <w:sz w:val="22"/>
          <w:szCs w:val="22"/>
        </w:rPr>
        <w:t xml:space="preserve">: 2019 and 2020 </w:t>
      </w:r>
      <w:r w:rsidR="00E724BF">
        <w:rPr>
          <w:rStyle w:val="Strong"/>
          <w:b/>
          <w:sz w:val="22"/>
          <w:szCs w:val="22"/>
        </w:rPr>
        <w:t>Expenses by University</w:t>
      </w:r>
    </w:p>
    <w:tbl>
      <w:tblPr>
        <w:tblW w:w="5000" w:type="pct"/>
        <w:tblLook w:val="04A0" w:firstRow="1" w:lastRow="0" w:firstColumn="1" w:lastColumn="0" w:noHBand="0" w:noVBand="1"/>
      </w:tblPr>
      <w:tblGrid>
        <w:gridCol w:w="3881"/>
        <w:gridCol w:w="1012"/>
        <w:gridCol w:w="1012"/>
        <w:gridCol w:w="1013"/>
        <w:gridCol w:w="1013"/>
        <w:gridCol w:w="958"/>
        <w:gridCol w:w="961"/>
        <w:gridCol w:w="958"/>
        <w:gridCol w:w="961"/>
        <w:gridCol w:w="948"/>
        <w:gridCol w:w="948"/>
        <w:gridCol w:w="916"/>
        <w:gridCol w:w="807"/>
      </w:tblGrid>
      <w:tr w:rsidR="0013387A" w:rsidRPr="0013387A" w14:paraId="299FC67F" w14:textId="77777777" w:rsidTr="0013387A">
        <w:trPr>
          <w:trHeight w:val="225"/>
        </w:trPr>
        <w:tc>
          <w:tcPr>
            <w:tcW w:w="1270" w:type="pct"/>
            <w:vMerge w:val="restart"/>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40900333"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 </w:t>
            </w:r>
          </w:p>
        </w:tc>
        <w:tc>
          <w:tcPr>
            <w:tcW w:w="675" w:type="pct"/>
            <w:gridSpan w:val="2"/>
            <w:tcBorders>
              <w:top w:val="single" w:sz="4" w:space="0" w:color="auto"/>
              <w:left w:val="nil"/>
              <w:bottom w:val="single" w:sz="4" w:space="0" w:color="auto"/>
              <w:right w:val="single" w:sz="4" w:space="0" w:color="000000"/>
            </w:tcBorders>
            <w:shd w:val="clear" w:color="000000" w:fill="4F81BD"/>
            <w:vAlign w:val="bottom"/>
            <w:hideMark/>
          </w:tcPr>
          <w:p w14:paraId="6FD7A1A7" w14:textId="05AF0C9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Total Expenses</w:t>
            </w:r>
            <w:r w:rsidR="00D021FF">
              <w:rPr>
                <w:rFonts w:eastAsia="Times New Roman" w:cstheme="minorHAnsi"/>
                <w:b/>
                <w:bCs/>
                <w:color w:val="FFFFFF"/>
                <w:sz w:val="16"/>
                <w:szCs w:val="16"/>
                <w:lang w:eastAsia="en-AU"/>
              </w:rPr>
              <w:t xml:space="preserve"> ($’000)</w:t>
            </w:r>
          </w:p>
        </w:tc>
        <w:tc>
          <w:tcPr>
            <w:tcW w:w="675" w:type="pct"/>
            <w:gridSpan w:val="2"/>
            <w:tcBorders>
              <w:top w:val="single" w:sz="4" w:space="0" w:color="auto"/>
              <w:left w:val="nil"/>
              <w:bottom w:val="single" w:sz="4" w:space="0" w:color="auto"/>
              <w:right w:val="single" w:sz="4" w:space="0" w:color="auto"/>
            </w:tcBorders>
            <w:shd w:val="clear" w:color="000000" w:fill="4F81BD"/>
            <w:vAlign w:val="bottom"/>
            <w:hideMark/>
          </w:tcPr>
          <w:p w14:paraId="3E61739C"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Increase / Decrease</w:t>
            </w:r>
          </w:p>
        </w:tc>
        <w:tc>
          <w:tcPr>
            <w:tcW w:w="641" w:type="pct"/>
            <w:gridSpan w:val="2"/>
            <w:tcBorders>
              <w:top w:val="single" w:sz="4" w:space="0" w:color="auto"/>
              <w:left w:val="nil"/>
              <w:bottom w:val="single" w:sz="4" w:space="0" w:color="auto"/>
              <w:right w:val="single" w:sz="4" w:space="0" w:color="000000"/>
            </w:tcBorders>
            <w:shd w:val="clear" w:color="000000" w:fill="4F81BD"/>
            <w:vAlign w:val="bottom"/>
            <w:hideMark/>
          </w:tcPr>
          <w:p w14:paraId="3B9D0FE6" w14:textId="788CE4A8"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Employee Benefits</w:t>
            </w:r>
            <w:r w:rsidR="00D021FF">
              <w:rPr>
                <w:rFonts w:eastAsia="Times New Roman" w:cstheme="minorHAnsi"/>
                <w:b/>
                <w:bCs/>
                <w:color w:val="FFFFFF"/>
                <w:sz w:val="16"/>
                <w:szCs w:val="16"/>
                <w:lang w:eastAsia="en-AU"/>
              </w:rPr>
              <w:t xml:space="preserve"> ($’000)</w:t>
            </w:r>
          </w:p>
        </w:tc>
        <w:tc>
          <w:tcPr>
            <w:tcW w:w="641" w:type="pct"/>
            <w:gridSpan w:val="2"/>
            <w:tcBorders>
              <w:top w:val="single" w:sz="4" w:space="0" w:color="auto"/>
              <w:left w:val="nil"/>
              <w:bottom w:val="single" w:sz="4" w:space="0" w:color="auto"/>
              <w:right w:val="single" w:sz="4" w:space="0" w:color="auto"/>
            </w:tcBorders>
            <w:shd w:val="clear" w:color="000000" w:fill="4F81BD"/>
            <w:vAlign w:val="bottom"/>
            <w:hideMark/>
          </w:tcPr>
          <w:p w14:paraId="1377B76F"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Increase / Decrease</w:t>
            </w:r>
          </w:p>
        </w:tc>
        <w:tc>
          <w:tcPr>
            <w:tcW w:w="549" w:type="pct"/>
            <w:gridSpan w:val="2"/>
            <w:tcBorders>
              <w:top w:val="single" w:sz="4" w:space="0" w:color="auto"/>
              <w:left w:val="nil"/>
              <w:bottom w:val="single" w:sz="4" w:space="0" w:color="auto"/>
              <w:right w:val="single" w:sz="4" w:space="0" w:color="000000"/>
            </w:tcBorders>
            <w:shd w:val="clear" w:color="000000" w:fill="4F81BD"/>
            <w:vAlign w:val="bottom"/>
            <w:hideMark/>
          </w:tcPr>
          <w:p w14:paraId="72C4DEBC" w14:textId="208E20A1"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Other Expenses</w:t>
            </w:r>
            <w:r w:rsidR="00D021FF">
              <w:rPr>
                <w:rFonts w:eastAsia="Times New Roman" w:cstheme="minorHAnsi"/>
                <w:b/>
                <w:bCs/>
                <w:color w:val="FFFFFF"/>
                <w:sz w:val="16"/>
                <w:szCs w:val="16"/>
                <w:lang w:eastAsia="en-AU"/>
              </w:rPr>
              <w:t xml:space="preserve"> ($’000)</w:t>
            </w:r>
          </w:p>
        </w:tc>
        <w:tc>
          <w:tcPr>
            <w:tcW w:w="549" w:type="pct"/>
            <w:gridSpan w:val="2"/>
            <w:tcBorders>
              <w:top w:val="single" w:sz="4" w:space="0" w:color="auto"/>
              <w:left w:val="nil"/>
              <w:bottom w:val="single" w:sz="4" w:space="0" w:color="auto"/>
              <w:right w:val="single" w:sz="4" w:space="0" w:color="auto"/>
            </w:tcBorders>
            <w:shd w:val="clear" w:color="000000" w:fill="4F81BD"/>
            <w:vAlign w:val="bottom"/>
            <w:hideMark/>
          </w:tcPr>
          <w:p w14:paraId="05A1C218"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Increase / Decrease</w:t>
            </w:r>
          </w:p>
        </w:tc>
      </w:tr>
      <w:tr w:rsidR="0013387A" w:rsidRPr="0013387A" w14:paraId="5BDCAB5F" w14:textId="77777777" w:rsidTr="0013387A">
        <w:trPr>
          <w:trHeight w:val="225"/>
        </w:trPr>
        <w:tc>
          <w:tcPr>
            <w:tcW w:w="1270" w:type="pct"/>
            <w:vMerge/>
            <w:tcBorders>
              <w:top w:val="single" w:sz="4" w:space="0" w:color="auto"/>
              <w:left w:val="single" w:sz="4" w:space="0" w:color="auto"/>
              <w:bottom w:val="single" w:sz="4" w:space="0" w:color="auto"/>
              <w:right w:val="single" w:sz="4" w:space="0" w:color="auto"/>
            </w:tcBorders>
            <w:vAlign w:val="center"/>
            <w:hideMark/>
          </w:tcPr>
          <w:p w14:paraId="718EBD51" w14:textId="77777777" w:rsidR="0013387A" w:rsidRPr="0013387A" w:rsidRDefault="0013387A" w:rsidP="0013387A">
            <w:pPr>
              <w:spacing w:after="0" w:line="240" w:lineRule="auto"/>
              <w:rPr>
                <w:rFonts w:eastAsia="Times New Roman" w:cstheme="minorHAnsi"/>
                <w:b/>
                <w:bCs/>
                <w:color w:val="FFFFFF"/>
                <w:sz w:val="16"/>
                <w:szCs w:val="16"/>
                <w:lang w:eastAsia="en-AU"/>
              </w:rPr>
            </w:pPr>
          </w:p>
        </w:tc>
        <w:tc>
          <w:tcPr>
            <w:tcW w:w="338" w:type="pct"/>
            <w:tcBorders>
              <w:top w:val="nil"/>
              <w:left w:val="nil"/>
              <w:bottom w:val="single" w:sz="4" w:space="0" w:color="auto"/>
              <w:right w:val="single" w:sz="4" w:space="0" w:color="auto"/>
            </w:tcBorders>
            <w:shd w:val="clear" w:color="000000" w:fill="4F81BD"/>
            <w:noWrap/>
            <w:vAlign w:val="bottom"/>
            <w:hideMark/>
          </w:tcPr>
          <w:p w14:paraId="0C01BBB3"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2020</w:t>
            </w:r>
          </w:p>
        </w:tc>
        <w:tc>
          <w:tcPr>
            <w:tcW w:w="338" w:type="pct"/>
            <w:tcBorders>
              <w:top w:val="nil"/>
              <w:left w:val="nil"/>
              <w:bottom w:val="single" w:sz="4" w:space="0" w:color="auto"/>
              <w:right w:val="single" w:sz="4" w:space="0" w:color="auto"/>
            </w:tcBorders>
            <w:shd w:val="clear" w:color="000000" w:fill="4F81BD"/>
            <w:noWrap/>
            <w:vAlign w:val="bottom"/>
            <w:hideMark/>
          </w:tcPr>
          <w:p w14:paraId="398A6B77"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2019</w:t>
            </w:r>
          </w:p>
        </w:tc>
        <w:tc>
          <w:tcPr>
            <w:tcW w:w="338" w:type="pct"/>
            <w:tcBorders>
              <w:top w:val="nil"/>
              <w:left w:val="nil"/>
              <w:bottom w:val="single" w:sz="4" w:space="0" w:color="auto"/>
              <w:right w:val="single" w:sz="4" w:space="0" w:color="auto"/>
            </w:tcBorders>
            <w:shd w:val="clear" w:color="00FF00" w:fill="4F81BD"/>
            <w:vAlign w:val="bottom"/>
            <w:hideMark/>
          </w:tcPr>
          <w:p w14:paraId="0E4978DE"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$'000</w:t>
            </w:r>
          </w:p>
        </w:tc>
        <w:tc>
          <w:tcPr>
            <w:tcW w:w="338" w:type="pct"/>
            <w:tcBorders>
              <w:top w:val="nil"/>
              <w:left w:val="nil"/>
              <w:bottom w:val="single" w:sz="4" w:space="0" w:color="auto"/>
              <w:right w:val="single" w:sz="4" w:space="0" w:color="auto"/>
            </w:tcBorders>
            <w:shd w:val="clear" w:color="00FF00" w:fill="4F81BD"/>
            <w:vAlign w:val="bottom"/>
            <w:hideMark/>
          </w:tcPr>
          <w:p w14:paraId="33AE9ED0"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w:t>
            </w:r>
          </w:p>
        </w:tc>
        <w:tc>
          <w:tcPr>
            <w:tcW w:w="320" w:type="pct"/>
            <w:tcBorders>
              <w:top w:val="nil"/>
              <w:left w:val="nil"/>
              <w:bottom w:val="single" w:sz="4" w:space="0" w:color="auto"/>
              <w:right w:val="single" w:sz="4" w:space="0" w:color="auto"/>
            </w:tcBorders>
            <w:shd w:val="clear" w:color="000000" w:fill="4F81BD"/>
            <w:noWrap/>
            <w:vAlign w:val="bottom"/>
            <w:hideMark/>
          </w:tcPr>
          <w:p w14:paraId="4D0F53F3"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2020</w:t>
            </w:r>
          </w:p>
        </w:tc>
        <w:tc>
          <w:tcPr>
            <w:tcW w:w="320" w:type="pct"/>
            <w:tcBorders>
              <w:top w:val="nil"/>
              <w:left w:val="nil"/>
              <w:bottom w:val="single" w:sz="4" w:space="0" w:color="auto"/>
              <w:right w:val="single" w:sz="4" w:space="0" w:color="auto"/>
            </w:tcBorders>
            <w:shd w:val="clear" w:color="000000" w:fill="4F81BD"/>
            <w:noWrap/>
            <w:vAlign w:val="bottom"/>
            <w:hideMark/>
          </w:tcPr>
          <w:p w14:paraId="60146891"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2019</w:t>
            </w:r>
          </w:p>
        </w:tc>
        <w:tc>
          <w:tcPr>
            <w:tcW w:w="320" w:type="pct"/>
            <w:tcBorders>
              <w:top w:val="nil"/>
              <w:left w:val="nil"/>
              <w:bottom w:val="single" w:sz="4" w:space="0" w:color="auto"/>
              <w:right w:val="single" w:sz="4" w:space="0" w:color="auto"/>
            </w:tcBorders>
            <w:shd w:val="clear" w:color="00FF00" w:fill="4F81BD"/>
            <w:vAlign w:val="bottom"/>
            <w:hideMark/>
          </w:tcPr>
          <w:p w14:paraId="09FC73F9"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$'000</w:t>
            </w:r>
          </w:p>
        </w:tc>
        <w:tc>
          <w:tcPr>
            <w:tcW w:w="320" w:type="pct"/>
            <w:tcBorders>
              <w:top w:val="nil"/>
              <w:left w:val="nil"/>
              <w:bottom w:val="single" w:sz="4" w:space="0" w:color="auto"/>
              <w:right w:val="single" w:sz="4" w:space="0" w:color="auto"/>
            </w:tcBorders>
            <w:shd w:val="clear" w:color="00FF00" w:fill="4F81BD"/>
            <w:vAlign w:val="bottom"/>
            <w:hideMark/>
          </w:tcPr>
          <w:p w14:paraId="34F9BD26"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w:t>
            </w:r>
          </w:p>
        </w:tc>
        <w:tc>
          <w:tcPr>
            <w:tcW w:w="275" w:type="pct"/>
            <w:tcBorders>
              <w:top w:val="nil"/>
              <w:left w:val="nil"/>
              <w:bottom w:val="single" w:sz="4" w:space="0" w:color="auto"/>
              <w:right w:val="single" w:sz="4" w:space="0" w:color="auto"/>
            </w:tcBorders>
            <w:shd w:val="clear" w:color="000000" w:fill="4F81BD"/>
            <w:noWrap/>
            <w:vAlign w:val="bottom"/>
            <w:hideMark/>
          </w:tcPr>
          <w:p w14:paraId="6BDA1C4A"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2020</w:t>
            </w:r>
          </w:p>
        </w:tc>
        <w:tc>
          <w:tcPr>
            <w:tcW w:w="275" w:type="pct"/>
            <w:tcBorders>
              <w:top w:val="nil"/>
              <w:left w:val="nil"/>
              <w:bottom w:val="single" w:sz="4" w:space="0" w:color="auto"/>
              <w:right w:val="single" w:sz="4" w:space="0" w:color="auto"/>
            </w:tcBorders>
            <w:shd w:val="clear" w:color="000000" w:fill="4F81BD"/>
            <w:noWrap/>
            <w:vAlign w:val="bottom"/>
            <w:hideMark/>
          </w:tcPr>
          <w:p w14:paraId="297C39A5"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2019</w:t>
            </w:r>
          </w:p>
        </w:tc>
        <w:tc>
          <w:tcPr>
            <w:tcW w:w="275" w:type="pct"/>
            <w:tcBorders>
              <w:top w:val="nil"/>
              <w:left w:val="nil"/>
              <w:bottom w:val="single" w:sz="4" w:space="0" w:color="auto"/>
              <w:right w:val="single" w:sz="4" w:space="0" w:color="auto"/>
            </w:tcBorders>
            <w:shd w:val="clear" w:color="00FF00" w:fill="4F81BD"/>
            <w:vAlign w:val="bottom"/>
            <w:hideMark/>
          </w:tcPr>
          <w:p w14:paraId="1DBC4509"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$'000</w:t>
            </w:r>
          </w:p>
        </w:tc>
        <w:tc>
          <w:tcPr>
            <w:tcW w:w="275" w:type="pct"/>
            <w:tcBorders>
              <w:top w:val="nil"/>
              <w:left w:val="nil"/>
              <w:bottom w:val="single" w:sz="4" w:space="0" w:color="auto"/>
              <w:right w:val="single" w:sz="4" w:space="0" w:color="auto"/>
            </w:tcBorders>
            <w:shd w:val="clear" w:color="00FF00" w:fill="4F81BD"/>
            <w:vAlign w:val="bottom"/>
            <w:hideMark/>
          </w:tcPr>
          <w:p w14:paraId="5AB138CB" w14:textId="77777777" w:rsidR="0013387A" w:rsidRPr="0013387A" w:rsidRDefault="0013387A" w:rsidP="0013387A">
            <w:pPr>
              <w:spacing w:after="0" w:line="240" w:lineRule="auto"/>
              <w:jc w:val="center"/>
              <w:rPr>
                <w:rFonts w:eastAsia="Times New Roman" w:cstheme="minorHAnsi"/>
                <w:b/>
                <w:bCs/>
                <w:color w:val="FFFFFF"/>
                <w:sz w:val="16"/>
                <w:szCs w:val="16"/>
                <w:lang w:eastAsia="en-AU"/>
              </w:rPr>
            </w:pPr>
            <w:r w:rsidRPr="0013387A">
              <w:rPr>
                <w:rFonts w:eastAsia="Times New Roman" w:cstheme="minorHAnsi"/>
                <w:b/>
                <w:bCs/>
                <w:color w:val="FFFFFF"/>
                <w:sz w:val="16"/>
                <w:szCs w:val="16"/>
                <w:lang w:eastAsia="en-AU"/>
              </w:rPr>
              <w:t>%</w:t>
            </w:r>
          </w:p>
        </w:tc>
      </w:tr>
      <w:tr w:rsidR="0013387A" w:rsidRPr="0013387A" w14:paraId="21DB8C28"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BA73D5E"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The University of Sydney</w:t>
            </w:r>
          </w:p>
        </w:tc>
        <w:tc>
          <w:tcPr>
            <w:tcW w:w="338" w:type="pct"/>
            <w:tcBorders>
              <w:top w:val="nil"/>
              <w:left w:val="nil"/>
              <w:bottom w:val="single" w:sz="4" w:space="0" w:color="auto"/>
              <w:right w:val="single" w:sz="4" w:space="0" w:color="auto"/>
            </w:tcBorders>
            <w:shd w:val="clear" w:color="auto" w:fill="auto"/>
            <w:noWrap/>
            <w:vAlign w:val="bottom"/>
            <w:hideMark/>
          </w:tcPr>
          <w:p w14:paraId="19EA218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2,537,867 </w:t>
            </w:r>
          </w:p>
        </w:tc>
        <w:tc>
          <w:tcPr>
            <w:tcW w:w="338" w:type="pct"/>
            <w:tcBorders>
              <w:top w:val="nil"/>
              <w:left w:val="nil"/>
              <w:bottom w:val="single" w:sz="4" w:space="0" w:color="auto"/>
              <w:right w:val="single" w:sz="4" w:space="0" w:color="auto"/>
            </w:tcBorders>
            <w:shd w:val="clear" w:color="auto" w:fill="auto"/>
            <w:noWrap/>
            <w:vAlign w:val="bottom"/>
            <w:hideMark/>
          </w:tcPr>
          <w:p w14:paraId="461524D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2,562,464 </w:t>
            </w:r>
          </w:p>
        </w:tc>
        <w:tc>
          <w:tcPr>
            <w:tcW w:w="338" w:type="pct"/>
            <w:tcBorders>
              <w:top w:val="nil"/>
              <w:left w:val="nil"/>
              <w:bottom w:val="single" w:sz="4" w:space="0" w:color="auto"/>
              <w:right w:val="single" w:sz="4" w:space="0" w:color="auto"/>
            </w:tcBorders>
            <w:shd w:val="clear" w:color="000000" w:fill="D9D9D9"/>
            <w:noWrap/>
            <w:vAlign w:val="bottom"/>
            <w:hideMark/>
          </w:tcPr>
          <w:p w14:paraId="34331C0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-24,597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C817A9"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-1.0%</w:t>
            </w:r>
          </w:p>
        </w:tc>
        <w:tc>
          <w:tcPr>
            <w:tcW w:w="320" w:type="pct"/>
            <w:tcBorders>
              <w:top w:val="nil"/>
              <w:left w:val="nil"/>
              <w:bottom w:val="single" w:sz="4" w:space="0" w:color="auto"/>
              <w:right w:val="single" w:sz="4" w:space="0" w:color="auto"/>
            </w:tcBorders>
            <w:shd w:val="clear" w:color="auto" w:fill="auto"/>
            <w:noWrap/>
            <w:vAlign w:val="bottom"/>
            <w:hideMark/>
          </w:tcPr>
          <w:p w14:paraId="4240685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1,509,630 </w:t>
            </w:r>
          </w:p>
        </w:tc>
        <w:tc>
          <w:tcPr>
            <w:tcW w:w="320" w:type="pct"/>
            <w:tcBorders>
              <w:top w:val="nil"/>
              <w:left w:val="nil"/>
              <w:bottom w:val="single" w:sz="4" w:space="0" w:color="auto"/>
              <w:right w:val="single" w:sz="4" w:space="0" w:color="auto"/>
            </w:tcBorders>
            <w:shd w:val="clear" w:color="auto" w:fill="auto"/>
            <w:noWrap/>
            <w:vAlign w:val="bottom"/>
            <w:hideMark/>
          </w:tcPr>
          <w:p w14:paraId="3BEEAE9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1,435,179 </w:t>
            </w:r>
          </w:p>
        </w:tc>
        <w:tc>
          <w:tcPr>
            <w:tcW w:w="320" w:type="pct"/>
            <w:tcBorders>
              <w:top w:val="nil"/>
              <w:left w:val="nil"/>
              <w:bottom w:val="single" w:sz="4" w:space="0" w:color="auto"/>
              <w:right w:val="single" w:sz="4" w:space="0" w:color="auto"/>
            </w:tcBorders>
            <w:shd w:val="clear" w:color="000000" w:fill="D9D9D9"/>
            <w:noWrap/>
            <w:vAlign w:val="bottom"/>
            <w:hideMark/>
          </w:tcPr>
          <w:p w14:paraId="4EAB9A8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74,451 </w:t>
            </w:r>
          </w:p>
        </w:tc>
        <w:tc>
          <w:tcPr>
            <w:tcW w:w="320" w:type="pct"/>
            <w:tcBorders>
              <w:top w:val="nil"/>
              <w:left w:val="nil"/>
              <w:bottom w:val="single" w:sz="4" w:space="0" w:color="auto"/>
              <w:right w:val="single" w:sz="4" w:space="0" w:color="auto"/>
            </w:tcBorders>
            <w:shd w:val="clear" w:color="000000" w:fill="D9D9D9"/>
            <w:noWrap/>
            <w:vAlign w:val="bottom"/>
            <w:hideMark/>
          </w:tcPr>
          <w:p w14:paraId="28554E65"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5.2%</w:t>
            </w:r>
          </w:p>
        </w:tc>
        <w:tc>
          <w:tcPr>
            <w:tcW w:w="275" w:type="pct"/>
            <w:tcBorders>
              <w:top w:val="nil"/>
              <w:left w:val="nil"/>
              <w:bottom w:val="single" w:sz="4" w:space="0" w:color="auto"/>
              <w:right w:val="single" w:sz="4" w:space="0" w:color="auto"/>
            </w:tcBorders>
            <w:shd w:val="clear" w:color="auto" w:fill="auto"/>
            <w:noWrap/>
            <w:vAlign w:val="bottom"/>
            <w:hideMark/>
          </w:tcPr>
          <w:p w14:paraId="6BAD487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1,028,237 </w:t>
            </w:r>
          </w:p>
        </w:tc>
        <w:tc>
          <w:tcPr>
            <w:tcW w:w="275" w:type="pct"/>
            <w:tcBorders>
              <w:top w:val="nil"/>
              <w:left w:val="nil"/>
              <w:bottom w:val="single" w:sz="4" w:space="0" w:color="auto"/>
              <w:right w:val="single" w:sz="4" w:space="0" w:color="auto"/>
            </w:tcBorders>
            <w:shd w:val="clear" w:color="auto" w:fill="auto"/>
            <w:noWrap/>
            <w:vAlign w:val="bottom"/>
            <w:hideMark/>
          </w:tcPr>
          <w:p w14:paraId="71C2CE6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1,127,285 </w:t>
            </w:r>
          </w:p>
        </w:tc>
        <w:tc>
          <w:tcPr>
            <w:tcW w:w="275" w:type="pct"/>
            <w:tcBorders>
              <w:top w:val="nil"/>
              <w:left w:val="nil"/>
              <w:bottom w:val="single" w:sz="4" w:space="0" w:color="auto"/>
              <w:right w:val="single" w:sz="4" w:space="0" w:color="auto"/>
            </w:tcBorders>
            <w:shd w:val="clear" w:color="000000" w:fill="D9D9D9"/>
            <w:noWrap/>
            <w:vAlign w:val="bottom"/>
            <w:hideMark/>
          </w:tcPr>
          <w:p w14:paraId="5975544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-99,048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301D2A"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-8.8%</w:t>
            </w:r>
          </w:p>
        </w:tc>
      </w:tr>
      <w:tr w:rsidR="0013387A" w:rsidRPr="0013387A" w14:paraId="305C299C"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E9CA156"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The University of Melbourne</w:t>
            </w:r>
          </w:p>
        </w:tc>
        <w:tc>
          <w:tcPr>
            <w:tcW w:w="338" w:type="pct"/>
            <w:tcBorders>
              <w:top w:val="nil"/>
              <w:left w:val="nil"/>
              <w:bottom w:val="single" w:sz="4" w:space="0" w:color="auto"/>
              <w:right w:val="single" w:sz="4" w:space="0" w:color="auto"/>
            </w:tcBorders>
            <w:shd w:val="clear" w:color="auto" w:fill="auto"/>
            <w:noWrap/>
            <w:vAlign w:val="bottom"/>
            <w:hideMark/>
          </w:tcPr>
          <w:p w14:paraId="59E6530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2,479,489 </w:t>
            </w:r>
          </w:p>
        </w:tc>
        <w:tc>
          <w:tcPr>
            <w:tcW w:w="338" w:type="pct"/>
            <w:tcBorders>
              <w:top w:val="nil"/>
              <w:left w:val="nil"/>
              <w:bottom w:val="single" w:sz="4" w:space="0" w:color="auto"/>
              <w:right w:val="single" w:sz="4" w:space="0" w:color="auto"/>
            </w:tcBorders>
            <w:shd w:val="clear" w:color="auto" w:fill="auto"/>
            <w:noWrap/>
            <w:vAlign w:val="bottom"/>
            <w:hideMark/>
          </w:tcPr>
          <w:p w14:paraId="740C3E3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2,521,701 </w:t>
            </w:r>
          </w:p>
        </w:tc>
        <w:tc>
          <w:tcPr>
            <w:tcW w:w="338" w:type="pct"/>
            <w:tcBorders>
              <w:top w:val="nil"/>
              <w:left w:val="nil"/>
              <w:bottom w:val="single" w:sz="4" w:space="0" w:color="auto"/>
              <w:right w:val="single" w:sz="4" w:space="0" w:color="auto"/>
            </w:tcBorders>
            <w:shd w:val="clear" w:color="000000" w:fill="D9D9D9"/>
            <w:noWrap/>
            <w:vAlign w:val="bottom"/>
            <w:hideMark/>
          </w:tcPr>
          <w:p w14:paraId="14BC65F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-42,212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AA019AF"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-1.7%</w:t>
            </w:r>
          </w:p>
        </w:tc>
        <w:tc>
          <w:tcPr>
            <w:tcW w:w="320" w:type="pct"/>
            <w:tcBorders>
              <w:top w:val="nil"/>
              <w:left w:val="nil"/>
              <w:bottom w:val="single" w:sz="4" w:space="0" w:color="auto"/>
              <w:right w:val="single" w:sz="4" w:space="0" w:color="auto"/>
            </w:tcBorders>
            <w:shd w:val="clear" w:color="auto" w:fill="auto"/>
            <w:noWrap/>
            <w:vAlign w:val="bottom"/>
            <w:hideMark/>
          </w:tcPr>
          <w:p w14:paraId="0B06127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1,488,473 </w:t>
            </w:r>
          </w:p>
        </w:tc>
        <w:tc>
          <w:tcPr>
            <w:tcW w:w="320" w:type="pct"/>
            <w:tcBorders>
              <w:top w:val="nil"/>
              <w:left w:val="nil"/>
              <w:bottom w:val="single" w:sz="4" w:space="0" w:color="auto"/>
              <w:right w:val="single" w:sz="4" w:space="0" w:color="auto"/>
            </w:tcBorders>
            <w:shd w:val="clear" w:color="auto" w:fill="auto"/>
            <w:noWrap/>
            <w:vAlign w:val="bottom"/>
            <w:hideMark/>
          </w:tcPr>
          <w:p w14:paraId="02FF021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1,380,482 </w:t>
            </w:r>
          </w:p>
        </w:tc>
        <w:tc>
          <w:tcPr>
            <w:tcW w:w="320" w:type="pct"/>
            <w:tcBorders>
              <w:top w:val="nil"/>
              <w:left w:val="nil"/>
              <w:bottom w:val="single" w:sz="4" w:space="0" w:color="auto"/>
              <w:right w:val="single" w:sz="4" w:space="0" w:color="auto"/>
            </w:tcBorders>
            <w:shd w:val="clear" w:color="000000" w:fill="D9D9D9"/>
            <w:noWrap/>
            <w:vAlign w:val="bottom"/>
            <w:hideMark/>
          </w:tcPr>
          <w:p w14:paraId="0BFF582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107,991 </w:t>
            </w:r>
          </w:p>
        </w:tc>
        <w:tc>
          <w:tcPr>
            <w:tcW w:w="320" w:type="pct"/>
            <w:tcBorders>
              <w:top w:val="nil"/>
              <w:left w:val="nil"/>
              <w:bottom w:val="single" w:sz="4" w:space="0" w:color="auto"/>
              <w:right w:val="single" w:sz="4" w:space="0" w:color="auto"/>
            </w:tcBorders>
            <w:shd w:val="clear" w:color="000000" w:fill="D9D9D9"/>
            <w:noWrap/>
            <w:vAlign w:val="bottom"/>
            <w:hideMark/>
          </w:tcPr>
          <w:p w14:paraId="5DE50A43"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7.8%</w:t>
            </w:r>
          </w:p>
        </w:tc>
        <w:tc>
          <w:tcPr>
            <w:tcW w:w="275" w:type="pct"/>
            <w:tcBorders>
              <w:top w:val="nil"/>
              <w:left w:val="nil"/>
              <w:bottom w:val="single" w:sz="4" w:space="0" w:color="auto"/>
              <w:right w:val="single" w:sz="4" w:space="0" w:color="auto"/>
            </w:tcBorders>
            <w:shd w:val="clear" w:color="auto" w:fill="auto"/>
            <w:noWrap/>
            <w:vAlign w:val="bottom"/>
            <w:hideMark/>
          </w:tcPr>
          <w:p w14:paraId="36C78B1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991,016 </w:t>
            </w:r>
          </w:p>
        </w:tc>
        <w:tc>
          <w:tcPr>
            <w:tcW w:w="275" w:type="pct"/>
            <w:tcBorders>
              <w:top w:val="nil"/>
              <w:left w:val="nil"/>
              <w:bottom w:val="single" w:sz="4" w:space="0" w:color="auto"/>
              <w:right w:val="single" w:sz="4" w:space="0" w:color="auto"/>
            </w:tcBorders>
            <w:shd w:val="clear" w:color="auto" w:fill="auto"/>
            <w:noWrap/>
            <w:vAlign w:val="bottom"/>
            <w:hideMark/>
          </w:tcPr>
          <w:p w14:paraId="2030BFD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1,141,219 </w:t>
            </w:r>
          </w:p>
        </w:tc>
        <w:tc>
          <w:tcPr>
            <w:tcW w:w="275" w:type="pct"/>
            <w:tcBorders>
              <w:top w:val="nil"/>
              <w:left w:val="nil"/>
              <w:bottom w:val="single" w:sz="4" w:space="0" w:color="auto"/>
              <w:right w:val="single" w:sz="4" w:space="0" w:color="auto"/>
            </w:tcBorders>
            <w:shd w:val="clear" w:color="000000" w:fill="D9D9D9"/>
            <w:noWrap/>
            <w:vAlign w:val="bottom"/>
            <w:hideMark/>
          </w:tcPr>
          <w:p w14:paraId="093C489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-150,203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8B98625"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-13.2%</w:t>
            </w:r>
          </w:p>
        </w:tc>
      </w:tr>
      <w:tr w:rsidR="0013387A" w:rsidRPr="0013387A" w14:paraId="555A3BF4"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AB51C4A"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Monash University</w:t>
            </w:r>
          </w:p>
        </w:tc>
        <w:tc>
          <w:tcPr>
            <w:tcW w:w="338" w:type="pct"/>
            <w:tcBorders>
              <w:top w:val="nil"/>
              <w:left w:val="nil"/>
              <w:bottom w:val="single" w:sz="4" w:space="0" w:color="auto"/>
              <w:right w:val="single" w:sz="4" w:space="0" w:color="auto"/>
            </w:tcBorders>
            <w:shd w:val="clear" w:color="auto" w:fill="auto"/>
            <w:noWrap/>
            <w:vAlign w:val="bottom"/>
            <w:hideMark/>
          </w:tcPr>
          <w:p w14:paraId="710B1BD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2,429,741 </w:t>
            </w:r>
          </w:p>
        </w:tc>
        <w:tc>
          <w:tcPr>
            <w:tcW w:w="338" w:type="pct"/>
            <w:tcBorders>
              <w:top w:val="nil"/>
              <w:left w:val="nil"/>
              <w:bottom w:val="single" w:sz="4" w:space="0" w:color="auto"/>
              <w:right w:val="single" w:sz="4" w:space="0" w:color="auto"/>
            </w:tcBorders>
            <w:shd w:val="clear" w:color="auto" w:fill="auto"/>
            <w:noWrap/>
            <w:vAlign w:val="bottom"/>
            <w:hideMark/>
          </w:tcPr>
          <w:p w14:paraId="5237386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2,557,411 </w:t>
            </w:r>
          </w:p>
        </w:tc>
        <w:tc>
          <w:tcPr>
            <w:tcW w:w="338" w:type="pct"/>
            <w:tcBorders>
              <w:top w:val="nil"/>
              <w:left w:val="nil"/>
              <w:bottom w:val="single" w:sz="4" w:space="0" w:color="auto"/>
              <w:right w:val="single" w:sz="4" w:space="0" w:color="auto"/>
            </w:tcBorders>
            <w:shd w:val="clear" w:color="000000" w:fill="D9D9D9"/>
            <w:noWrap/>
            <w:vAlign w:val="bottom"/>
            <w:hideMark/>
          </w:tcPr>
          <w:p w14:paraId="2B7CB89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-127,670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C25085"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-5.0%</w:t>
            </w:r>
          </w:p>
        </w:tc>
        <w:tc>
          <w:tcPr>
            <w:tcW w:w="320" w:type="pct"/>
            <w:tcBorders>
              <w:top w:val="nil"/>
              <w:left w:val="nil"/>
              <w:bottom w:val="single" w:sz="4" w:space="0" w:color="auto"/>
              <w:right w:val="single" w:sz="4" w:space="0" w:color="auto"/>
            </w:tcBorders>
            <w:shd w:val="clear" w:color="auto" w:fill="auto"/>
            <w:noWrap/>
            <w:vAlign w:val="bottom"/>
            <w:hideMark/>
          </w:tcPr>
          <w:p w14:paraId="3B97EC1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1,310,305 </w:t>
            </w:r>
          </w:p>
        </w:tc>
        <w:tc>
          <w:tcPr>
            <w:tcW w:w="320" w:type="pct"/>
            <w:tcBorders>
              <w:top w:val="nil"/>
              <w:left w:val="nil"/>
              <w:bottom w:val="single" w:sz="4" w:space="0" w:color="auto"/>
              <w:right w:val="single" w:sz="4" w:space="0" w:color="auto"/>
            </w:tcBorders>
            <w:shd w:val="clear" w:color="auto" w:fill="auto"/>
            <w:noWrap/>
            <w:vAlign w:val="bottom"/>
            <w:hideMark/>
          </w:tcPr>
          <w:p w14:paraId="4E48E5C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1,240,755 </w:t>
            </w:r>
          </w:p>
        </w:tc>
        <w:tc>
          <w:tcPr>
            <w:tcW w:w="320" w:type="pct"/>
            <w:tcBorders>
              <w:top w:val="nil"/>
              <w:left w:val="nil"/>
              <w:bottom w:val="single" w:sz="4" w:space="0" w:color="auto"/>
              <w:right w:val="single" w:sz="4" w:space="0" w:color="auto"/>
            </w:tcBorders>
            <w:shd w:val="clear" w:color="000000" w:fill="D9D9D9"/>
            <w:noWrap/>
            <w:vAlign w:val="bottom"/>
            <w:hideMark/>
          </w:tcPr>
          <w:p w14:paraId="5DA4D33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69,550 </w:t>
            </w:r>
          </w:p>
        </w:tc>
        <w:tc>
          <w:tcPr>
            <w:tcW w:w="320" w:type="pct"/>
            <w:tcBorders>
              <w:top w:val="nil"/>
              <w:left w:val="nil"/>
              <w:bottom w:val="single" w:sz="4" w:space="0" w:color="auto"/>
              <w:right w:val="single" w:sz="4" w:space="0" w:color="auto"/>
            </w:tcBorders>
            <w:shd w:val="clear" w:color="000000" w:fill="D9D9D9"/>
            <w:noWrap/>
            <w:vAlign w:val="bottom"/>
            <w:hideMark/>
          </w:tcPr>
          <w:p w14:paraId="17470A52"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5.6%</w:t>
            </w:r>
          </w:p>
        </w:tc>
        <w:tc>
          <w:tcPr>
            <w:tcW w:w="275" w:type="pct"/>
            <w:tcBorders>
              <w:top w:val="nil"/>
              <w:left w:val="nil"/>
              <w:bottom w:val="single" w:sz="4" w:space="0" w:color="auto"/>
              <w:right w:val="single" w:sz="4" w:space="0" w:color="auto"/>
            </w:tcBorders>
            <w:shd w:val="clear" w:color="auto" w:fill="auto"/>
            <w:noWrap/>
            <w:vAlign w:val="bottom"/>
            <w:hideMark/>
          </w:tcPr>
          <w:p w14:paraId="1B63A78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1,119,436 </w:t>
            </w:r>
          </w:p>
        </w:tc>
        <w:tc>
          <w:tcPr>
            <w:tcW w:w="275" w:type="pct"/>
            <w:tcBorders>
              <w:top w:val="nil"/>
              <w:left w:val="nil"/>
              <w:bottom w:val="single" w:sz="4" w:space="0" w:color="auto"/>
              <w:right w:val="single" w:sz="4" w:space="0" w:color="auto"/>
            </w:tcBorders>
            <w:shd w:val="clear" w:color="auto" w:fill="auto"/>
            <w:noWrap/>
            <w:vAlign w:val="bottom"/>
            <w:hideMark/>
          </w:tcPr>
          <w:p w14:paraId="591DF72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1,316,656 </w:t>
            </w:r>
          </w:p>
        </w:tc>
        <w:tc>
          <w:tcPr>
            <w:tcW w:w="275" w:type="pct"/>
            <w:tcBorders>
              <w:top w:val="nil"/>
              <w:left w:val="nil"/>
              <w:bottom w:val="single" w:sz="4" w:space="0" w:color="auto"/>
              <w:right w:val="single" w:sz="4" w:space="0" w:color="auto"/>
            </w:tcBorders>
            <w:shd w:val="clear" w:color="000000" w:fill="D9D9D9"/>
            <w:noWrap/>
            <w:vAlign w:val="bottom"/>
            <w:hideMark/>
          </w:tcPr>
          <w:p w14:paraId="6D9F4D3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-197,220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362EE3C"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-15.0%</w:t>
            </w:r>
          </w:p>
        </w:tc>
      </w:tr>
      <w:tr w:rsidR="0013387A" w:rsidRPr="0013387A" w14:paraId="4768373E"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01BAD669"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The University of New South Wales</w:t>
            </w:r>
          </w:p>
        </w:tc>
        <w:tc>
          <w:tcPr>
            <w:tcW w:w="338" w:type="pct"/>
            <w:tcBorders>
              <w:top w:val="nil"/>
              <w:left w:val="nil"/>
              <w:bottom w:val="single" w:sz="4" w:space="0" w:color="auto"/>
              <w:right w:val="single" w:sz="4" w:space="0" w:color="auto"/>
            </w:tcBorders>
            <w:shd w:val="clear" w:color="auto" w:fill="auto"/>
            <w:noWrap/>
            <w:vAlign w:val="bottom"/>
            <w:hideMark/>
          </w:tcPr>
          <w:p w14:paraId="77C03AA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2,186,832 </w:t>
            </w:r>
          </w:p>
        </w:tc>
        <w:tc>
          <w:tcPr>
            <w:tcW w:w="338" w:type="pct"/>
            <w:tcBorders>
              <w:top w:val="nil"/>
              <w:left w:val="nil"/>
              <w:bottom w:val="single" w:sz="4" w:space="0" w:color="auto"/>
              <w:right w:val="single" w:sz="4" w:space="0" w:color="auto"/>
            </w:tcBorders>
            <w:shd w:val="clear" w:color="auto" w:fill="auto"/>
            <w:noWrap/>
            <w:vAlign w:val="bottom"/>
            <w:hideMark/>
          </w:tcPr>
          <w:p w14:paraId="249727E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2,302,783 </w:t>
            </w:r>
          </w:p>
        </w:tc>
        <w:tc>
          <w:tcPr>
            <w:tcW w:w="338" w:type="pct"/>
            <w:tcBorders>
              <w:top w:val="nil"/>
              <w:left w:val="nil"/>
              <w:bottom w:val="single" w:sz="4" w:space="0" w:color="auto"/>
              <w:right w:val="single" w:sz="4" w:space="0" w:color="auto"/>
            </w:tcBorders>
            <w:shd w:val="clear" w:color="000000" w:fill="D9D9D9"/>
            <w:noWrap/>
            <w:vAlign w:val="bottom"/>
            <w:hideMark/>
          </w:tcPr>
          <w:p w14:paraId="55E3D1C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-115,951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FF33328"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-5.0%</w:t>
            </w:r>
          </w:p>
        </w:tc>
        <w:tc>
          <w:tcPr>
            <w:tcW w:w="320" w:type="pct"/>
            <w:tcBorders>
              <w:top w:val="nil"/>
              <w:left w:val="nil"/>
              <w:bottom w:val="single" w:sz="4" w:space="0" w:color="auto"/>
              <w:right w:val="single" w:sz="4" w:space="0" w:color="auto"/>
            </w:tcBorders>
            <w:shd w:val="clear" w:color="auto" w:fill="auto"/>
            <w:noWrap/>
            <w:vAlign w:val="bottom"/>
            <w:hideMark/>
          </w:tcPr>
          <w:p w14:paraId="4FFE4F0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1,283,224 </w:t>
            </w:r>
          </w:p>
        </w:tc>
        <w:tc>
          <w:tcPr>
            <w:tcW w:w="320" w:type="pct"/>
            <w:tcBorders>
              <w:top w:val="nil"/>
              <w:left w:val="nil"/>
              <w:bottom w:val="single" w:sz="4" w:space="0" w:color="auto"/>
              <w:right w:val="single" w:sz="4" w:space="0" w:color="auto"/>
            </w:tcBorders>
            <w:shd w:val="clear" w:color="auto" w:fill="auto"/>
            <w:noWrap/>
            <w:vAlign w:val="bottom"/>
            <w:hideMark/>
          </w:tcPr>
          <w:p w14:paraId="6A2AED6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1,266,157 </w:t>
            </w:r>
          </w:p>
        </w:tc>
        <w:tc>
          <w:tcPr>
            <w:tcW w:w="320" w:type="pct"/>
            <w:tcBorders>
              <w:top w:val="nil"/>
              <w:left w:val="nil"/>
              <w:bottom w:val="single" w:sz="4" w:space="0" w:color="auto"/>
              <w:right w:val="single" w:sz="4" w:space="0" w:color="auto"/>
            </w:tcBorders>
            <w:shd w:val="clear" w:color="000000" w:fill="D9D9D9"/>
            <w:noWrap/>
            <w:vAlign w:val="bottom"/>
            <w:hideMark/>
          </w:tcPr>
          <w:p w14:paraId="0BE1654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17,067 </w:t>
            </w:r>
          </w:p>
        </w:tc>
        <w:tc>
          <w:tcPr>
            <w:tcW w:w="320" w:type="pct"/>
            <w:tcBorders>
              <w:top w:val="nil"/>
              <w:left w:val="nil"/>
              <w:bottom w:val="single" w:sz="4" w:space="0" w:color="auto"/>
              <w:right w:val="single" w:sz="4" w:space="0" w:color="auto"/>
            </w:tcBorders>
            <w:shd w:val="clear" w:color="000000" w:fill="D9D9D9"/>
            <w:noWrap/>
            <w:vAlign w:val="bottom"/>
            <w:hideMark/>
          </w:tcPr>
          <w:p w14:paraId="60F80440"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1.3%</w:t>
            </w:r>
          </w:p>
        </w:tc>
        <w:tc>
          <w:tcPr>
            <w:tcW w:w="275" w:type="pct"/>
            <w:tcBorders>
              <w:top w:val="nil"/>
              <w:left w:val="nil"/>
              <w:bottom w:val="single" w:sz="4" w:space="0" w:color="auto"/>
              <w:right w:val="single" w:sz="4" w:space="0" w:color="auto"/>
            </w:tcBorders>
            <w:shd w:val="clear" w:color="auto" w:fill="auto"/>
            <w:noWrap/>
            <w:vAlign w:val="bottom"/>
            <w:hideMark/>
          </w:tcPr>
          <w:p w14:paraId="25C7FDD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903,608 </w:t>
            </w:r>
          </w:p>
        </w:tc>
        <w:tc>
          <w:tcPr>
            <w:tcW w:w="275" w:type="pct"/>
            <w:tcBorders>
              <w:top w:val="nil"/>
              <w:left w:val="nil"/>
              <w:bottom w:val="single" w:sz="4" w:space="0" w:color="auto"/>
              <w:right w:val="single" w:sz="4" w:space="0" w:color="auto"/>
            </w:tcBorders>
            <w:shd w:val="clear" w:color="auto" w:fill="auto"/>
            <w:noWrap/>
            <w:vAlign w:val="bottom"/>
            <w:hideMark/>
          </w:tcPr>
          <w:p w14:paraId="04610A5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1,036,626 </w:t>
            </w:r>
          </w:p>
        </w:tc>
        <w:tc>
          <w:tcPr>
            <w:tcW w:w="275" w:type="pct"/>
            <w:tcBorders>
              <w:top w:val="nil"/>
              <w:left w:val="nil"/>
              <w:bottom w:val="single" w:sz="4" w:space="0" w:color="auto"/>
              <w:right w:val="single" w:sz="4" w:space="0" w:color="auto"/>
            </w:tcBorders>
            <w:shd w:val="clear" w:color="000000" w:fill="D9D9D9"/>
            <w:noWrap/>
            <w:vAlign w:val="bottom"/>
            <w:hideMark/>
          </w:tcPr>
          <w:p w14:paraId="19D6E6D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-133,018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4630FF6"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-12.8%</w:t>
            </w:r>
          </w:p>
        </w:tc>
      </w:tr>
      <w:tr w:rsidR="0013387A" w:rsidRPr="0013387A" w14:paraId="087B5CD4"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041C2E6D"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The University of Queensland</w:t>
            </w:r>
          </w:p>
        </w:tc>
        <w:tc>
          <w:tcPr>
            <w:tcW w:w="338" w:type="pct"/>
            <w:tcBorders>
              <w:top w:val="nil"/>
              <w:left w:val="nil"/>
              <w:bottom w:val="single" w:sz="4" w:space="0" w:color="auto"/>
              <w:right w:val="single" w:sz="4" w:space="0" w:color="auto"/>
            </w:tcBorders>
            <w:shd w:val="clear" w:color="auto" w:fill="auto"/>
            <w:noWrap/>
            <w:vAlign w:val="bottom"/>
            <w:hideMark/>
          </w:tcPr>
          <w:p w14:paraId="482DCA7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2,036,707 </w:t>
            </w:r>
          </w:p>
        </w:tc>
        <w:tc>
          <w:tcPr>
            <w:tcW w:w="338" w:type="pct"/>
            <w:tcBorders>
              <w:top w:val="nil"/>
              <w:left w:val="nil"/>
              <w:bottom w:val="single" w:sz="4" w:space="0" w:color="auto"/>
              <w:right w:val="single" w:sz="4" w:space="0" w:color="auto"/>
            </w:tcBorders>
            <w:shd w:val="clear" w:color="auto" w:fill="auto"/>
            <w:noWrap/>
            <w:vAlign w:val="bottom"/>
            <w:hideMark/>
          </w:tcPr>
          <w:p w14:paraId="1FBCF9E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2,062,346 </w:t>
            </w:r>
          </w:p>
        </w:tc>
        <w:tc>
          <w:tcPr>
            <w:tcW w:w="338" w:type="pct"/>
            <w:tcBorders>
              <w:top w:val="nil"/>
              <w:left w:val="nil"/>
              <w:bottom w:val="single" w:sz="4" w:space="0" w:color="auto"/>
              <w:right w:val="single" w:sz="4" w:space="0" w:color="auto"/>
            </w:tcBorders>
            <w:shd w:val="clear" w:color="000000" w:fill="D9D9D9"/>
            <w:noWrap/>
            <w:vAlign w:val="bottom"/>
            <w:hideMark/>
          </w:tcPr>
          <w:p w14:paraId="2FCC792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-25,639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516DCA"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-1.2%</w:t>
            </w:r>
          </w:p>
        </w:tc>
        <w:tc>
          <w:tcPr>
            <w:tcW w:w="320" w:type="pct"/>
            <w:tcBorders>
              <w:top w:val="nil"/>
              <w:left w:val="nil"/>
              <w:bottom w:val="single" w:sz="4" w:space="0" w:color="auto"/>
              <w:right w:val="single" w:sz="4" w:space="0" w:color="auto"/>
            </w:tcBorders>
            <w:shd w:val="clear" w:color="auto" w:fill="auto"/>
            <w:noWrap/>
            <w:vAlign w:val="bottom"/>
            <w:hideMark/>
          </w:tcPr>
          <w:p w14:paraId="18EDD24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1,189,293 </w:t>
            </w:r>
          </w:p>
        </w:tc>
        <w:tc>
          <w:tcPr>
            <w:tcW w:w="320" w:type="pct"/>
            <w:tcBorders>
              <w:top w:val="nil"/>
              <w:left w:val="nil"/>
              <w:bottom w:val="single" w:sz="4" w:space="0" w:color="auto"/>
              <w:right w:val="single" w:sz="4" w:space="0" w:color="auto"/>
            </w:tcBorders>
            <w:shd w:val="clear" w:color="auto" w:fill="auto"/>
            <w:noWrap/>
            <w:vAlign w:val="bottom"/>
            <w:hideMark/>
          </w:tcPr>
          <w:p w14:paraId="76A9875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1,104,320 </w:t>
            </w:r>
          </w:p>
        </w:tc>
        <w:tc>
          <w:tcPr>
            <w:tcW w:w="320" w:type="pct"/>
            <w:tcBorders>
              <w:top w:val="nil"/>
              <w:left w:val="nil"/>
              <w:bottom w:val="single" w:sz="4" w:space="0" w:color="auto"/>
              <w:right w:val="single" w:sz="4" w:space="0" w:color="auto"/>
            </w:tcBorders>
            <w:shd w:val="clear" w:color="000000" w:fill="D9D9D9"/>
            <w:noWrap/>
            <w:vAlign w:val="bottom"/>
            <w:hideMark/>
          </w:tcPr>
          <w:p w14:paraId="60BB389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84,973 </w:t>
            </w:r>
          </w:p>
        </w:tc>
        <w:tc>
          <w:tcPr>
            <w:tcW w:w="320" w:type="pct"/>
            <w:tcBorders>
              <w:top w:val="nil"/>
              <w:left w:val="nil"/>
              <w:bottom w:val="single" w:sz="4" w:space="0" w:color="auto"/>
              <w:right w:val="single" w:sz="4" w:space="0" w:color="auto"/>
            </w:tcBorders>
            <w:shd w:val="clear" w:color="000000" w:fill="D9D9D9"/>
            <w:noWrap/>
            <w:vAlign w:val="bottom"/>
            <w:hideMark/>
          </w:tcPr>
          <w:p w14:paraId="0976635B"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7.7%</w:t>
            </w:r>
          </w:p>
        </w:tc>
        <w:tc>
          <w:tcPr>
            <w:tcW w:w="275" w:type="pct"/>
            <w:tcBorders>
              <w:top w:val="nil"/>
              <w:left w:val="nil"/>
              <w:bottom w:val="single" w:sz="4" w:space="0" w:color="auto"/>
              <w:right w:val="single" w:sz="4" w:space="0" w:color="auto"/>
            </w:tcBorders>
            <w:shd w:val="clear" w:color="auto" w:fill="auto"/>
            <w:noWrap/>
            <w:vAlign w:val="bottom"/>
            <w:hideMark/>
          </w:tcPr>
          <w:p w14:paraId="1DCE488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847,414 </w:t>
            </w:r>
          </w:p>
        </w:tc>
        <w:tc>
          <w:tcPr>
            <w:tcW w:w="275" w:type="pct"/>
            <w:tcBorders>
              <w:top w:val="nil"/>
              <w:left w:val="nil"/>
              <w:bottom w:val="single" w:sz="4" w:space="0" w:color="auto"/>
              <w:right w:val="single" w:sz="4" w:space="0" w:color="auto"/>
            </w:tcBorders>
            <w:shd w:val="clear" w:color="auto" w:fill="auto"/>
            <w:noWrap/>
            <w:vAlign w:val="bottom"/>
            <w:hideMark/>
          </w:tcPr>
          <w:p w14:paraId="0DC0BB1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958,026 </w:t>
            </w:r>
          </w:p>
        </w:tc>
        <w:tc>
          <w:tcPr>
            <w:tcW w:w="275" w:type="pct"/>
            <w:tcBorders>
              <w:top w:val="nil"/>
              <w:left w:val="nil"/>
              <w:bottom w:val="single" w:sz="4" w:space="0" w:color="auto"/>
              <w:right w:val="single" w:sz="4" w:space="0" w:color="auto"/>
            </w:tcBorders>
            <w:shd w:val="clear" w:color="000000" w:fill="D9D9D9"/>
            <w:noWrap/>
            <w:vAlign w:val="bottom"/>
            <w:hideMark/>
          </w:tcPr>
          <w:p w14:paraId="35D6DBC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-110,612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B9C9B2"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-11.5%</w:t>
            </w:r>
          </w:p>
        </w:tc>
      </w:tr>
      <w:tr w:rsidR="0013387A" w:rsidRPr="0013387A" w14:paraId="2B42FDBE"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FA4D61A"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RMIT University</w:t>
            </w:r>
          </w:p>
        </w:tc>
        <w:tc>
          <w:tcPr>
            <w:tcW w:w="338" w:type="pct"/>
            <w:tcBorders>
              <w:top w:val="nil"/>
              <w:left w:val="nil"/>
              <w:bottom w:val="single" w:sz="4" w:space="0" w:color="auto"/>
              <w:right w:val="single" w:sz="4" w:space="0" w:color="auto"/>
            </w:tcBorders>
            <w:shd w:val="clear" w:color="auto" w:fill="auto"/>
            <w:noWrap/>
            <w:vAlign w:val="bottom"/>
            <w:hideMark/>
          </w:tcPr>
          <w:p w14:paraId="71B6A04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1,367,673 </w:t>
            </w:r>
          </w:p>
        </w:tc>
        <w:tc>
          <w:tcPr>
            <w:tcW w:w="338" w:type="pct"/>
            <w:tcBorders>
              <w:top w:val="nil"/>
              <w:left w:val="nil"/>
              <w:bottom w:val="single" w:sz="4" w:space="0" w:color="auto"/>
              <w:right w:val="single" w:sz="4" w:space="0" w:color="auto"/>
            </w:tcBorders>
            <w:shd w:val="clear" w:color="auto" w:fill="auto"/>
            <w:noWrap/>
            <w:vAlign w:val="bottom"/>
            <w:hideMark/>
          </w:tcPr>
          <w:p w14:paraId="062F8EF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1,317,134 </w:t>
            </w:r>
          </w:p>
        </w:tc>
        <w:tc>
          <w:tcPr>
            <w:tcW w:w="338" w:type="pct"/>
            <w:tcBorders>
              <w:top w:val="nil"/>
              <w:left w:val="nil"/>
              <w:bottom w:val="single" w:sz="4" w:space="0" w:color="auto"/>
              <w:right w:val="single" w:sz="4" w:space="0" w:color="auto"/>
            </w:tcBorders>
            <w:shd w:val="clear" w:color="000000" w:fill="D9D9D9"/>
            <w:noWrap/>
            <w:vAlign w:val="bottom"/>
            <w:hideMark/>
          </w:tcPr>
          <w:p w14:paraId="698BBAF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50,539 </w:t>
            </w:r>
          </w:p>
        </w:tc>
        <w:tc>
          <w:tcPr>
            <w:tcW w:w="338" w:type="pct"/>
            <w:tcBorders>
              <w:top w:val="nil"/>
              <w:left w:val="nil"/>
              <w:bottom w:val="single" w:sz="4" w:space="0" w:color="auto"/>
              <w:right w:val="single" w:sz="4" w:space="0" w:color="auto"/>
            </w:tcBorders>
            <w:shd w:val="clear" w:color="000000" w:fill="D9D9D9"/>
            <w:noWrap/>
            <w:vAlign w:val="bottom"/>
            <w:hideMark/>
          </w:tcPr>
          <w:p w14:paraId="308FB85F"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3.8%</w:t>
            </w:r>
          </w:p>
        </w:tc>
        <w:tc>
          <w:tcPr>
            <w:tcW w:w="320" w:type="pct"/>
            <w:tcBorders>
              <w:top w:val="nil"/>
              <w:left w:val="nil"/>
              <w:bottom w:val="single" w:sz="4" w:space="0" w:color="auto"/>
              <w:right w:val="single" w:sz="4" w:space="0" w:color="auto"/>
            </w:tcBorders>
            <w:shd w:val="clear" w:color="auto" w:fill="auto"/>
            <w:noWrap/>
            <w:vAlign w:val="bottom"/>
            <w:hideMark/>
          </w:tcPr>
          <w:p w14:paraId="14A0E1E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854,912 </w:t>
            </w:r>
          </w:p>
        </w:tc>
        <w:tc>
          <w:tcPr>
            <w:tcW w:w="320" w:type="pct"/>
            <w:tcBorders>
              <w:top w:val="nil"/>
              <w:left w:val="nil"/>
              <w:bottom w:val="single" w:sz="4" w:space="0" w:color="auto"/>
              <w:right w:val="single" w:sz="4" w:space="0" w:color="auto"/>
            </w:tcBorders>
            <w:shd w:val="clear" w:color="auto" w:fill="auto"/>
            <w:noWrap/>
            <w:vAlign w:val="bottom"/>
            <w:hideMark/>
          </w:tcPr>
          <w:p w14:paraId="7B0799D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761,355 </w:t>
            </w:r>
          </w:p>
        </w:tc>
        <w:tc>
          <w:tcPr>
            <w:tcW w:w="320" w:type="pct"/>
            <w:tcBorders>
              <w:top w:val="nil"/>
              <w:left w:val="nil"/>
              <w:bottom w:val="single" w:sz="4" w:space="0" w:color="auto"/>
              <w:right w:val="single" w:sz="4" w:space="0" w:color="auto"/>
            </w:tcBorders>
            <w:shd w:val="clear" w:color="000000" w:fill="D9D9D9"/>
            <w:noWrap/>
            <w:vAlign w:val="bottom"/>
            <w:hideMark/>
          </w:tcPr>
          <w:p w14:paraId="6DA579A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93,557 </w:t>
            </w:r>
          </w:p>
        </w:tc>
        <w:tc>
          <w:tcPr>
            <w:tcW w:w="320" w:type="pct"/>
            <w:tcBorders>
              <w:top w:val="nil"/>
              <w:left w:val="nil"/>
              <w:bottom w:val="single" w:sz="4" w:space="0" w:color="auto"/>
              <w:right w:val="single" w:sz="4" w:space="0" w:color="auto"/>
            </w:tcBorders>
            <w:shd w:val="clear" w:color="000000" w:fill="D9D9D9"/>
            <w:noWrap/>
            <w:vAlign w:val="bottom"/>
            <w:hideMark/>
          </w:tcPr>
          <w:p w14:paraId="003A31C7"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12.3%</w:t>
            </w:r>
          </w:p>
        </w:tc>
        <w:tc>
          <w:tcPr>
            <w:tcW w:w="275" w:type="pct"/>
            <w:tcBorders>
              <w:top w:val="nil"/>
              <w:left w:val="nil"/>
              <w:bottom w:val="single" w:sz="4" w:space="0" w:color="auto"/>
              <w:right w:val="single" w:sz="4" w:space="0" w:color="auto"/>
            </w:tcBorders>
            <w:shd w:val="clear" w:color="auto" w:fill="auto"/>
            <w:noWrap/>
            <w:vAlign w:val="bottom"/>
            <w:hideMark/>
          </w:tcPr>
          <w:p w14:paraId="539454D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512,761 </w:t>
            </w:r>
          </w:p>
        </w:tc>
        <w:tc>
          <w:tcPr>
            <w:tcW w:w="275" w:type="pct"/>
            <w:tcBorders>
              <w:top w:val="nil"/>
              <w:left w:val="nil"/>
              <w:bottom w:val="single" w:sz="4" w:space="0" w:color="auto"/>
              <w:right w:val="single" w:sz="4" w:space="0" w:color="auto"/>
            </w:tcBorders>
            <w:shd w:val="clear" w:color="auto" w:fill="auto"/>
            <w:noWrap/>
            <w:vAlign w:val="bottom"/>
            <w:hideMark/>
          </w:tcPr>
          <w:p w14:paraId="7C889D9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555,779 </w:t>
            </w:r>
          </w:p>
        </w:tc>
        <w:tc>
          <w:tcPr>
            <w:tcW w:w="275" w:type="pct"/>
            <w:tcBorders>
              <w:top w:val="nil"/>
              <w:left w:val="nil"/>
              <w:bottom w:val="single" w:sz="4" w:space="0" w:color="auto"/>
              <w:right w:val="single" w:sz="4" w:space="0" w:color="auto"/>
            </w:tcBorders>
            <w:shd w:val="clear" w:color="000000" w:fill="D9D9D9"/>
            <w:noWrap/>
            <w:vAlign w:val="bottom"/>
            <w:hideMark/>
          </w:tcPr>
          <w:p w14:paraId="20139DE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-43,018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B9C6E5F"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-7.7%</w:t>
            </w:r>
          </w:p>
        </w:tc>
      </w:tr>
      <w:tr w:rsidR="0013387A" w:rsidRPr="0013387A" w14:paraId="1286815D"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40D2396"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Australian National University</w:t>
            </w:r>
          </w:p>
        </w:tc>
        <w:tc>
          <w:tcPr>
            <w:tcW w:w="338" w:type="pct"/>
            <w:tcBorders>
              <w:top w:val="nil"/>
              <w:left w:val="nil"/>
              <w:bottom w:val="single" w:sz="4" w:space="0" w:color="auto"/>
              <w:right w:val="single" w:sz="4" w:space="0" w:color="auto"/>
            </w:tcBorders>
            <w:shd w:val="clear" w:color="auto" w:fill="auto"/>
            <w:noWrap/>
            <w:vAlign w:val="bottom"/>
            <w:hideMark/>
          </w:tcPr>
          <w:p w14:paraId="471B08D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1,315,213 </w:t>
            </w:r>
          </w:p>
        </w:tc>
        <w:tc>
          <w:tcPr>
            <w:tcW w:w="338" w:type="pct"/>
            <w:tcBorders>
              <w:top w:val="nil"/>
              <w:left w:val="nil"/>
              <w:bottom w:val="single" w:sz="4" w:space="0" w:color="auto"/>
              <w:right w:val="single" w:sz="4" w:space="0" w:color="auto"/>
            </w:tcBorders>
            <w:shd w:val="clear" w:color="auto" w:fill="auto"/>
            <w:noWrap/>
            <w:vAlign w:val="bottom"/>
            <w:hideMark/>
          </w:tcPr>
          <w:p w14:paraId="732FB1D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1,206,196 </w:t>
            </w:r>
          </w:p>
        </w:tc>
        <w:tc>
          <w:tcPr>
            <w:tcW w:w="338" w:type="pct"/>
            <w:tcBorders>
              <w:top w:val="nil"/>
              <w:left w:val="nil"/>
              <w:bottom w:val="single" w:sz="4" w:space="0" w:color="auto"/>
              <w:right w:val="single" w:sz="4" w:space="0" w:color="auto"/>
            </w:tcBorders>
            <w:shd w:val="clear" w:color="000000" w:fill="D9D9D9"/>
            <w:noWrap/>
            <w:vAlign w:val="bottom"/>
            <w:hideMark/>
          </w:tcPr>
          <w:p w14:paraId="07C58D3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109,017 </w:t>
            </w:r>
          </w:p>
        </w:tc>
        <w:tc>
          <w:tcPr>
            <w:tcW w:w="338" w:type="pct"/>
            <w:tcBorders>
              <w:top w:val="nil"/>
              <w:left w:val="nil"/>
              <w:bottom w:val="single" w:sz="4" w:space="0" w:color="auto"/>
              <w:right w:val="single" w:sz="4" w:space="0" w:color="auto"/>
            </w:tcBorders>
            <w:shd w:val="clear" w:color="000000" w:fill="D9D9D9"/>
            <w:noWrap/>
            <w:vAlign w:val="bottom"/>
            <w:hideMark/>
          </w:tcPr>
          <w:p w14:paraId="40C78592"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9.0%</w:t>
            </w:r>
          </w:p>
        </w:tc>
        <w:tc>
          <w:tcPr>
            <w:tcW w:w="320" w:type="pct"/>
            <w:tcBorders>
              <w:top w:val="nil"/>
              <w:left w:val="nil"/>
              <w:bottom w:val="single" w:sz="4" w:space="0" w:color="auto"/>
              <w:right w:val="single" w:sz="4" w:space="0" w:color="auto"/>
            </w:tcBorders>
            <w:shd w:val="clear" w:color="auto" w:fill="auto"/>
            <w:noWrap/>
            <w:vAlign w:val="bottom"/>
            <w:hideMark/>
          </w:tcPr>
          <w:p w14:paraId="415BFEE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757,859 </w:t>
            </w:r>
          </w:p>
        </w:tc>
        <w:tc>
          <w:tcPr>
            <w:tcW w:w="320" w:type="pct"/>
            <w:tcBorders>
              <w:top w:val="nil"/>
              <w:left w:val="nil"/>
              <w:bottom w:val="single" w:sz="4" w:space="0" w:color="auto"/>
              <w:right w:val="single" w:sz="4" w:space="0" w:color="auto"/>
            </w:tcBorders>
            <w:shd w:val="clear" w:color="auto" w:fill="auto"/>
            <w:noWrap/>
            <w:vAlign w:val="bottom"/>
            <w:hideMark/>
          </w:tcPr>
          <w:p w14:paraId="014F3EC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654,356 </w:t>
            </w:r>
          </w:p>
        </w:tc>
        <w:tc>
          <w:tcPr>
            <w:tcW w:w="320" w:type="pct"/>
            <w:tcBorders>
              <w:top w:val="nil"/>
              <w:left w:val="nil"/>
              <w:bottom w:val="single" w:sz="4" w:space="0" w:color="auto"/>
              <w:right w:val="single" w:sz="4" w:space="0" w:color="auto"/>
            </w:tcBorders>
            <w:shd w:val="clear" w:color="000000" w:fill="D9D9D9"/>
            <w:noWrap/>
            <w:vAlign w:val="bottom"/>
            <w:hideMark/>
          </w:tcPr>
          <w:p w14:paraId="58286E7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103,503 </w:t>
            </w:r>
          </w:p>
        </w:tc>
        <w:tc>
          <w:tcPr>
            <w:tcW w:w="320" w:type="pct"/>
            <w:tcBorders>
              <w:top w:val="nil"/>
              <w:left w:val="nil"/>
              <w:bottom w:val="single" w:sz="4" w:space="0" w:color="auto"/>
              <w:right w:val="single" w:sz="4" w:space="0" w:color="auto"/>
            </w:tcBorders>
            <w:shd w:val="clear" w:color="000000" w:fill="D9D9D9"/>
            <w:noWrap/>
            <w:vAlign w:val="bottom"/>
            <w:hideMark/>
          </w:tcPr>
          <w:p w14:paraId="22220BEB"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15.8%</w:t>
            </w:r>
          </w:p>
        </w:tc>
        <w:tc>
          <w:tcPr>
            <w:tcW w:w="275" w:type="pct"/>
            <w:tcBorders>
              <w:top w:val="nil"/>
              <w:left w:val="nil"/>
              <w:bottom w:val="single" w:sz="4" w:space="0" w:color="auto"/>
              <w:right w:val="single" w:sz="4" w:space="0" w:color="auto"/>
            </w:tcBorders>
            <w:shd w:val="clear" w:color="auto" w:fill="auto"/>
            <w:noWrap/>
            <w:vAlign w:val="bottom"/>
            <w:hideMark/>
          </w:tcPr>
          <w:p w14:paraId="0F30090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557,354 </w:t>
            </w:r>
          </w:p>
        </w:tc>
        <w:tc>
          <w:tcPr>
            <w:tcW w:w="275" w:type="pct"/>
            <w:tcBorders>
              <w:top w:val="nil"/>
              <w:left w:val="nil"/>
              <w:bottom w:val="single" w:sz="4" w:space="0" w:color="auto"/>
              <w:right w:val="single" w:sz="4" w:space="0" w:color="auto"/>
            </w:tcBorders>
            <w:shd w:val="clear" w:color="auto" w:fill="auto"/>
            <w:noWrap/>
            <w:vAlign w:val="bottom"/>
            <w:hideMark/>
          </w:tcPr>
          <w:p w14:paraId="40D6C5B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551,840 </w:t>
            </w:r>
          </w:p>
        </w:tc>
        <w:tc>
          <w:tcPr>
            <w:tcW w:w="275" w:type="pct"/>
            <w:tcBorders>
              <w:top w:val="nil"/>
              <w:left w:val="nil"/>
              <w:bottom w:val="single" w:sz="4" w:space="0" w:color="auto"/>
              <w:right w:val="single" w:sz="4" w:space="0" w:color="auto"/>
            </w:tcBorders>
            <w:shd w:val="clear" w:color="000000" w:fill="D9D9D9"/>
            <w:noWrap/>
            <w:vAlign w:val="bottom"/>
            <w:hideMark/>
          </w:tcPr>
          <w:p w14:paraId="0A6B6FC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5,514 </w:t>
            </w:r>
          </w:p>
        </w:tc>
        <w:tc>
          <w:tcPr>
            <w:tcW w:w="275" w:type="pct"/>
            <w:tcBorders>
              <w:top w:val="nil"/>
              <w:left w:val="nil"/>
              <w:bottom w:val="single" w:sz="4" w:space="0" w:color="auto"/>
              <w:right w:val="single" w:sz="4" w:space="0" w:color="auto"/>
            </w:tcBorders>
            <w:shd w:val="clear" w:color="000000" w:fill="D9D9D9"/>
            <w:noWrap/>
            <w:vAlign w:val="bottom"/>
            <w:hideMark/>
          </w:tcPr>
          <w:p w14:paraId="56ABA930"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1.0%</w:t>
            </w:r>
          </w:p>
        </w:tc>
      </w:tr>
      <w:tr w:rsidR="0013387A" w:rsidRPr="0013387A" w14:paraId="6AB64A27"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D1D87FA"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Deakin University</w:t>
            </w:r>
          </w:p>
        </w:tc>
        <w:tc>
          <w:tcPr>
            <w:tcW w:w="338" w:type="pct"/>
            <w:tcBorders>
              <w:top w:val="nil"/>
              <w:left w:val="nil"/>
              <w:bottom w:val="single" w:sz="4" w:space="0" w:color="auto"/>
              <w:right w:val="single" w:sz="4" w:space="0" w:color="auto"/>
            </w:tcBorders>
            <w:shd w:val="clear" w:color="auto" w:fill="auto"/>
            <w:noWrap/>
            <w:vAlign w:val="bottom"/>
            <w:hideMark/>
          </w:tcPr>
          <w:p w14:paraId="00F66EB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1,191,891 </w:t>
            </w:r>
          </w:p>
        </w:tc>
        <w:tc>
          <w:tcPr>
            <w:tcW w:w="338" w:type="pct"/>
            <w:tcBorders>
              <w:top w:val="nil"/>
              <w:left w:val="nil"/>
              <w:bottom w:val="single" w:sz="4" w:space="0" w:color="auto"/>
              <w:right w:val="single" w:sz="4" w:space="0" w:color="auto"/>
            </w:tcBorders>
            <w:shd w:val="clear" w:color="auto" w:fill="auto"/>
            <w:noWrap/>
            <w:vAlign w:val="bottom"/>
            <w:hideMark/>
          </w:tcPr>
          <w:p w14:paraId="0901533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1,213,166 </w:t>
            </w:r>
          </w:p>
        </w:tc>
        <w:tc>
          <w:tcPr>
            <w:tcW w:w="338" w:type="pct"/>
            <w:tcBorders>
              <w:top w:val="nil"/>
              <w:left w:val="nil"/>
              <w:bottom w:val="single" w:sz="4" w:space="0" w:color="auto"/>
              <w:right w:val="single" w:sz="4" w:space="0" w:color="auto"/>
            </w:tcBorders>
            <w:shd w:val="clear" w:color="000000" w:fill="D9D9D9"/>
            <w:noWrap/>
            <w:vAlign w:val="bottom"/>
            <w:hideMark/>
          </w:tcPr>
          <w:p w14:paraId="12E259C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-21,275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09BACE9"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-1.8%</w:t>
            </w:r>
          </w:p>
        </w:tc>
        <w:tc>
          <w:tcPr>
            <w:tcW w:w="320" w:type="pct"/>
            <w:tcBorders>
              <w:top w:val="nil"/>
              <w:left w:val="nil"/>
              <w:bottom w:val="single" w:sz="4" w:space="0" w:color="auto"/>
              <w:right w:val="single" w:sz="4" w:space="0" w:color="auto"/>
            </w:tcBorders>
            <w:shd w:val="clear" w:color="auto" w:fill="auto"/>
            <w:noWrap/>
            <w:vAlign w:val="bottom"/>
            <w:hideMark/>
          </w:tcPr>
          <w:p w14:paraId="3F450E8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733,996 </w:t>
            </w:r>
          </w:p>
        </w:tc>
        <w:tc>
          <w:tcPr>
            <w:tcW w:w="320" w:type="pct"/>
            <w:tcBorders>
              <w:top w:val="nil"/>
              <w:left w:val="nil"/>
              <w:bottom w:val="single" w:sz="4" w:space="0" w:color="auto"/>
              <w:right w:val="single" w:sz="4" w:space="0" w:color="auto"/>
            </w:tcBorders>
            <w:shd w:val="clear" w:color="auto" w:fill="auto"/>
            <w:noWrap/>
            <w:vAlign w:val="bottom"/>
            <w:hideMark/>
          </w:tcPr>
          <w:p w14:paraId="574BCCE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724,575 </w:t>
            </w:r>
          </w:p>
        </w:tc>
        <w:tc>
          <w:tcPr>
            <w:tcW w:w="320" w:type="pct"/>
            <w:tcBorders>
              <w:top w:val="nil"/>
              <w:left w:val="nil"/>
              <w:bottom w:val="single" w:sz="4" w:space="0" w:color="auto"/>
              <w:right w:val="single" w:sz="4" w:space="0" w:color="auto"/>
            </w:tcBorders>
            <w:shd w:val="clear" w:color="000000" w:fill="D9D9D9"/>
            <w:noWrap/>
            <w:vAlign w:val="bottom"/>
            <w:hideMark/>
          </w:tcPr>
          <w:p w14:paraId="12010A1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9,421 </w:t>
            </w:r>
          </w:p>
        </w:tc>
        <w:tc>
          <w:tcPr>
            <w:tcW w:w="320" w:type="pct"/>
            <w:tcBorders>
              <w:top w:val="nil"/>
              <w:left w:val="nil"/>
              <w:bottom w:val="single" w:sz="4" w:space="0" w:color="auto"/>
              <w:right w:val="single" w:sz="4" w:space="0" w:color="auto"/>
            </w:tcBorders>
            <w:shd w:val="clear" w:color="000000" w:fill="D9D9D9"/>
            <w:noWrap/>
            <w:vAlign w:val="bottom"/>
            <w:hideMark/>
          </w:tcPr>
          <w:p w14:paraId="4CEC1EF1"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1.3%</w:t>
            </w:r>
          </w:p>
        </w:tc>
        <w:tc>
          <w:tcPr>
            <w:tcW w:w="275" w:type="pct"/>
            <w:tcBorders>
              <w:top w:val="nil"/>
              <w:left w:val="nil"/>
              <w:bottom w:val="single" w:sz="4" w:space="0" w:color="auto"/>
              <w:right w:val="single" w:sz="4" w:space="0" w:color="auto"/>
            </w:tcBorders>
            <w:shd w:val="clear" w:color="auto" w:fill="auto"/>
            <w:noWrap/>
            <w:vAlign w:val="bottom"/>
            <w:hideMark/>
          </w:tcPr>
          <w:p w14:paraId="196BEB8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457,895 </w:t>
            </w:r>
          </w:p>
        </w:tc>
        <w:tc>
          <w:tcPr>
            <w:tcW w:w="275" w:type="pct"/>
            <w:tcBorders>
              <w:top w:val="nil"/>
              <w:left w:val="nil"/>
              <w:bottom w:val="single" w:sz="4" w:space="0" w:color="auto"/>
              <w:right w:val="single" w:sz="4" w:space="0" w:color="auto"/>
            </w:tcBorders>
            <w:shd w:val="clear" w:color="auto" w:fill="auto"/>
            <w:noWrap/>
            <w:vAlign w:val="bottom"/>
            <w:hideMark/>
          </w:tcPr>
          <w:p w14:paraId="5C385E8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488,591 </w:t>
            </w:r>
          </w:p>
        </w:tc>
        <w:tc>
          <w:tcPr>
            <w:tcW w:w="275" w:type="pct"/>
            <w:tcBorders>
              <w:top w:val="nil"/>
              <w:left w:val="nil"/>
              <w:bottom w:val="single" w:sz="4" w:space="0" w:color="auto"/>
              <w:right w:val="single" w:sz="4" w:space="0" w:color="auto"/>
            </w:tcBorders>
            <w:shd w:val="clear" w:color="000000" w:fill="D9D9D9"/>
            <w:noWrap/>
            <w:vAlign w:val="bottom"/>
            <w:hideMark/>
          </w:tcPr>
          <w:p w14:paraId="799061B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-30,696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01E4E1"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-6.3%</w:t>
            </w:r>
          </w:p>
        </w:tc>
      </w:tr>
      <w:tr w:rsidR="0013387A" w:rsidRPr="0013387A" w14:paraId="42F47111"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6E479FC5"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University of Technology, Sydney</w:t>
            </w:r>
          </w:p>
        </w:tc>
        <w:tc>
          <w:tcPr>
            <w:tcW w:w="338" w:type="pct"/>
            <w:tcBorders>
              <w:top w:val="nil"/>
              <w:left w:val="nil"/>
              <w:bottom w:val="single" w:sz="4" w:space="0" w:color="auto"/>
              <w:right w:val="single" w:sz="4" w:space="0" w:color="auto"/>
            </w:tcBorders>
            <w:shd w:val="clear" w:color="auto" w:fill="auto"/>
            <w:noWrap/>
            <w:vAlign w:val="bottom"/>
            <w:hideMark/>
          </w:tcPr>
          <w:p w14:paraId="4CC92E1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1,101,842 </w:t>
            </w:r>
          </w:p>
        </w:tc>
        <w:tc>
          <w:tcPr>
            <w:tcW w:w="338" w:type="pct"/>
            <w:tcBorders>
              <w:top w:val="nil"/>
              <w:left w:val="nil"/>
              <w:bottom w:val="single" w:sz="4" w:space="0" w:color="auto"/>
              <w:right w:val="single" w:sz="4" w:space="0" w:color="auto"/>
            </w:tcBorders>
            <w:shd w:val="clear" w:color="auto" w:fill="auto"/>
            <w:noWrap/>
            <w:vAlign w:val="bottom"/>
            <w:hideMark/>
          </w:tcPr>
          <w:p w14:paraId="5CFA2D5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1,070,167 </w:t>
            </w:r>
          </w:p>
        </w:tc>
        <w:tc>
          <w:tcPr>
            <w:tcW w:w="338" w:type="pct"/>
            <w:tcBorders>
              <w:top w:val="nil"/>
              <w:left w:val="nil"/>
              <w:bottom w:val="single" w:sz="4" w:space="0" w:color="auto"/>
              <w:right w:val="single" w:sz="4" w:space="0" w:color="auto"/>
            </w:tcBorders>
            <w:shd w:val="clear" w:color="000000" w:fill="D9D9D9"/>
            <w:noWrap/>
            <w:vAlign w:val="bottom"/>
            <w:hideMark/>
          </w:tcPr>
          <w:p w14:paraId="04AABF5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31,675 </w:t>
            </w:r>
          </w:p>
        </w:tc>
        <w:tc>
          <w:tcPr>
            <w:tcW w:w="338" w:type="pct"/>
            <w:tcBorders>
              <w:top w:val="nil"/>
              <w:left w:val="nil"/>
              <w:bottom w:val="single" w:sz="4" w:space="0" w:color="auto"/>
              <w:right w:val="single" w:sz="4" w:space="0" w:color="auto"/>
            </w:tcBorders>
            <w:shd w:val="clear" w:color="000000" w:fill="D9D9D9"/>
            <w:noWrap/>
            <w:vAlign w:val="bottom"/>
            <w:hideMark/>
          </w:tcPr>
          <w:p w14:paraId="257B7128"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3.0%</w:t>
            </w:r>
          </w:p>
        </w:tc>
        <w:tc>
          <w:tcPr>
            <w:tcW w:w="320" w:type="pct"/>
            <w:tcBorders>
              <w:top w:val="nil"/>
              <w:left w:val="nil"/>
              <w:bottom w:val="single" w:sz="4" w:space="0" w:color="auto"/>
              <w:right w:val="single" w:sz="4" w:space="0" w:color="auto"/>
            </w:tcBorders>
            <w:shd w:val="clear" w:color="auto" w:fill="auto"/>
            <w:noWrap/>
            <w:vAlign w:val="bottom"/>
            <w:hideMark/>
          </w:tcPr>
          <w:p w14:paraId="0BB0CB6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670,876 </w:t>
            </w:r>
          </w:p>
        </w:tc>
        <w:tc>
          <w:tcPr>
            <w:tcW w:w="320" w:type="pct"/>
            <w:tcBorders>
              <w:top w:val="nil"/>
              <w:left w:val="nil"/>
              <w:bottom w:val="single" w:sz="4" w:space="0" w:color="auto"/>
              <w:right w:val="single" w:sz="4" w:space="0" w:color="auto"/>
            </w:tcBorders>
            <w:shd w:val="clear" w:color="auto" w:fill="auto"/>
            <w:noWrap/>
            <w:vAlign w:val="bottom"/>
            <w:hideMark/>
          </w:tcPr>
          <w:p w14:paraId="1876CC1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623,100 </w:t>
            </w:r>
          </w:p>
        </w:tc>
        <w:tc>
          <w:tcPr>
            <w:tcW w:w="320" w:type="pct"/>
            <w:tcBorders>
              <w:top w:val="nil"/>
              <w:left w:val="nil"/>
              <w:bottom w:val="single" w:sz="4" w:space="0" w:color="auto"/>
              <w:right w:val="single" w:sz="4" w:space="0" w:color="auto"/>
            </w:tcBorders>
            <w:shd w:val="clear" w:color="000000" w:fill="D9D9D9"/>
            <w:noWrap/>
            <w:vAlign w:val="bottom"/>
            <w:hideMark/>
          </w:tcPr>
          <w:p w14:paraId="207F3F6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47,776 </w:t>
            </w:r>
          </w:p>
        </w:tc>
        <w:tc>
          <w:tcPr>
            <w:tcW w:w="320" w:type="pct"/>
            <w:tcBorders>
              <w:top w:val="nil"/>
              <w:left w:val="nil"/>
              <w:bottom w:val="single" w:sz="4" w:space="0" w:color="auto"/>
              <w:right w:val="single" w:sz="4" w:space="0" w:color="auto"/>
            </w:tcBorders>
            <w:shd w:val="clear" w:color="000000" w:fill="D9D9D9"/>
            <w:noWrap/>
            <w:vAlign w:val="bottom"/>
            <w:hideMark/>
          </w:tcPr>
          <w:p w14:paraId="4CB03818"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7.7%</w:t>
            </w:r>
          </w:p>
        </w:tc>
        <w:tc>
          <w:tcPr>
            <w:tcW w:w="275" w:type="pct"/>
            <w:tcBorders>
              <w:top w:val="nil"/>
              <w:left w:val="nil"/>
              <w:bottom w:val="single" w:sz="4" w:space="0" w:color="auto"/>
              <w:right w:val="single" w:sz="4" w:space="0" w:color="auto"/>
            </w:tcBorders>
            <w:shd w:val="clear" w:color="auto" w:fill="auto"/>
            <w:noWrap/>
            <w:vAlign w:val="bottom"/>
            <w:hideMark/>
          </w:tcPr>
          <w:p w14:paraId="1F64DD3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430,966 </w:t>
            </w:r>
          </w:p>
        </w:tc>
        <w:tc>
          <w:tcPr>
            <w:tcW w:w="275" w:type="pct"/>
            <w:tcBorders>
              <w:top w:val="nil"/>
              <w:left w:val="nil"/>
              <w:bottom w:val="single" w:sz="4" w:space="0" w:color="auto"/>
              <w:right w:val="single" w:sz="4" w:space="0" w:color="auto"/>
            </w:tcBorders>
            <w:shd w:val="clear" w:color="auto" w:fill="auto"/>
            <w:noWrap/>
            <w:vAlign w:val="bottom"/>
            <w:hideMark/>
          </w:tcPr>
          <w:p w14:paraId="7B87616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447,067 </w:t>
            </w:r>
          </w:p>
        </w:tc>
        <w:tc>
          <w:tcPr>
            <w:tcW w:w="275" w:type="pct"/>
            <w:tcBorders>
              <w:top w:val="nil"/>
              <w:left w:val="nil"/>
              <w:bottom w:val="single" w:sz="4" w:space="0" w:color="auto"/>
              <w:right w:val="single" w:sz="4" w:space="0" w:color="auto"/>
            </w:tcBorders>
            <w:shd w:val="clear" w:color="000000" w:fill="D9D9D9"/>
            <w:noWrap/>
            <w:vAlign w:val="bottom"/>
            <w:hideMark/>
          </w:tcPr>
          <w:p w14:paraId="13B128E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-16,101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7BEB09"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-3.6%</w:t>
            </w:r>
          </w:p>
        </w:tc>
      </w:tr>
      <w:tr w:rsidR="0013387A" w:rsidRPr="0013387A" w14:paraId="69780143"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6A266E1"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Queensland University of Technology</w:t>
            </w:r>
          </w:p>
        </w:tc>
        <w:tc>
          <w:tcPr>
            <w:tcW w:w="338" w:type="pct"/>
            <w:tcBorders>
              <w:top w:val="nil"/>
              <w:left w:val="nil"/>
              <w:bottom w:val="single" w:sz="4" w:space="0" w:color="auto"/>
              <w:right w:val="single" w:sz="4" w:space="0" w:color="auto"/>
            </w:tcBorders>
            <w:shd w:val="clear" w:color="auto" w:fill="auto"/>
            <w:noWrap/>
            <w:vAlign w:val="bottom"/>
            <w:hideMark/>
          </w:tcPr>
          <w:p w14:paraId="0F51871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1,028,946 </w:t>
            </w:r>
          </w:p>
        </w:tc>
        <w:tc>
          <w:tcPr>
            <w:tcW w:w="338" w:type="pct"/>
            <w:tcBorders>
              <w:top w:val="nil"/>
              <w:left w:val="nil"/>
              <w:bottom w:val="single" w:sz="4" w:space="0" w:color="auto"/>
              <w:right w:val="single" w:sz="4" w:space="0" w:color="auto"/>
            </w:tcBorders>
            <w:shd w:val="clear" w:color="auto" w:fill="auto"/>
            <w:noWrap/>
            <w:vAlign w:val="bottom"/>
            <w:hideMark/>
          </w:tcPr>
          <w:p w14:paraId="45B7CCB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1,072,372 </w:t>
            </w:r>
          </w:p>
        </w:tc>
        <w:tc>
          <w:tcPr>
            <w:tcW w:w="338" w:type="pct"/>
            <w:tcBorders>
              <w:top w:val="nil"/>
              <w:left w:val="nil"/>
              <w:bottom w:val="single" w:sz="4" w:space="0" w:color="auto"/>
              <w:right w:val="single" w:sz="4" w:space="0" w:color="auto"/>
            </w:tcBorders>
            <w:shd w:val="clear" w:color="000000" w:fill="D9D9D9"/>
            <w:noWrap/>
            <w:vAlign w:val="bottom"/>
            <w:hideMark/>
          </w:tcPr>
          <w:p w14:paraId="3735D9D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-43,426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F28730"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-4.0%</w:t>
            </w:r>
          </w:p>
        </w:tc>
        <w:tc>
          <w:tcPr>
            <w:tcW w:w="320" w:type="pct"/>
            <w:tcBorders>
              <w:top w:val="nil"/>
              <w:left w:val="nil"/>
              <w:bottom w:val="single" w:sz="4" w:space="0" w:color="auto"/>
              <w:right w:val="single" w:sz="4" w:space="0" w:color="auto"/>
            </w:tcBorders>
            <w:shd w:val="clear" w:color="auto" w:fill="auto"/>
            <w:noWrap/>
            <w:vAlign w:val="bottom"/>
            <w:hideMark/>
          </w:tcPr>
          <w:p w14:paraId="1E3908D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623,156 </w:t>
            </w:r>
          </w:p>
        </w:tc>
        <w:tc>
          <w:tcPr>
            <w:tcW w:w="320" w:type="pct"/>
            <w:tcBorders>
              <w:top w:val="nil"/>
              <w:left w:val="nil"/>
              <w:bottom w:val="single" w:sz="4" w:space="0" w:color="auto"/>
              <w:right w:val="single" w:sz="4" w:space="0" w:color="auto"/>
            </w:tcBorders>
            <w:shd w:val="clear" w:color="auto" w:fill="auto"/>
            <w:noWrap/>
            <w:vAlign w:val="bottom"/>
            <w:hideMark/>
          </w:tcPr>
          <w:p w14:paraId="0D15EA9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621,298 </w:t>
            </w:r>
          </w:p>
        </w:tc>
        <w:tc>
          <w:tcPr>
            <w:tcW w:w="320" w:type="pct"/>
            <w:tcBorders>
              <w:top w:val="nil"/>
              <w:left w:val="nil"/>
              <w:bottom w:val="single" w:sz="4" w:space="0" w:color="auto"/>
              <w:right w:val="single" w:sz="4" w:space="0" w:color="auto"/>
            </w:tcBorders>
            <w:shd w:val="clear" w:color="000000" w:fill="D9D9D9"/>
            <w:noWrap/>
            <w:vAlign w:val="bottom"/>
            <w:hideMark/>
          </w:tcPr>
          <w:p w14:paraId="1CD66B3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1,858 </w:t>
            </w:r>
          </w:p>
        </w:tc>
        <w:tc>
          <w:tcPr>
            <w:tcW w:w="320" w:type="pct"/>
            <w:tcBorders>
              <w:top w:val="nil"/>
              <w:left w:val="nil"/>
              <w:bottom w:val="single" w:sz="4" w:space="0" w:color="auto"/>
              <w:right w:val="single" w:sz="4" w:space="0" w:color="auto"/>
            </w:tcBorders>
            <w:shd w:val="clear" w:color="000000" w:fill="D9D9D9"/>
            <w:noWrap/>
            <w:vAlign w:val="bottom"/>
            <w:hideMark/>
          </w:tcPr>
          <w:p w14:paraId="68DB0EB1"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0.3%</w:t>
            </w:r>
          </w:p>
        </w:tc>
        <w:tc>
          <w:tcPr>
            <w:tcW w:w="275" w:type="pct"/>
            <w:tcBorders>
              <w:top w:val="nil"/>
              <w:left w:val="nil"/>
              <w:bottom w:val="single" w:sz="4" w:space="0" w:color="auto"/>
              <w:right w:val="single" w:sz="4" w:space="0" w:color="auto"/>
            </w:tcBorders>
            <w:shd w:val="clear" w:color="auto" w:fill="auto"/>
            <w:noWrap/>
            <w:vAlign w:val="bottom"/>
            <w:hideMark/>
          </w:tcPr>
          <w:p w14:paraId="36CF789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405,790 </w:t>
            </w:r>
          </w:p>
        </w:tc>
        <w:tc>
          <w:tcPr>
            <w:tcW w:w="275" w:type="pct"/>
            <w:tcBorders>
              <w:top w:val="nil"/>
              <w:left w:val="nil"/>
              <w:bottom w:val="single" w:sz="4" w:space="0" w:color="auto"/>
              <w:right w:val="single" w:sz="4" w:space="0" w:color="auto"/>
            </w:tcBorders>
            <w:shd w:val="clear" w:color="auto" w:fill="auto"/>
            <w:noWrap/>
            <w:vAlign w:val="bottom"/>
            <w:hideMark/>
          </w:tcPr>
          <w:p w14:paraId="5052F07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451,074 </w:t>
            </w:r>
          </w:p>
        </w:tc>
        <w:tc>
          <w:tcPr>
            <w:tcW w:w="275" w:type="pct"/>
            <w:tcBorders>
              <w:top w:val="nil"/>
              <w:left w:val="nil"/>
              <w:bottom w:val="single" w:sz="4" w:space="0" w:color="auto"/>
              <w:right w:val="single" w:sz="4" w:space="0" w:color="auto"/>
            </w:tcBorders>
            <w:shd w:val="clear" w:color="000000" w:fill="D9D9D9"/>
            <w:noWrap/>
            <w:vAlign w:val="bottom"/>
            <w:hideMark/>
          </w:tcPr>
          <w:p w14:paraId="18E0898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-45,284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90900FE"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-10.0%</w:t>
            </w:r>
          </w:p>
        </w:tc>
      </w:tr>
      <w:tr w:rsidR="0013387A" w:rsidRPr="0013387A" w14:paraId="29D91D10"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BD5643F"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Macquarie University</w:t>
            </w:r>
          </w:p>
        </w:tc>
        <w:tc>
          <w:tcPr>
            <w:tcW w:w="338" w:type="pct"/>
            <w:tcBorders>
              <w:top w:val="nil"/>
              <w:left w:val="nil"/>
              <w:bottom w:val="single" w:sz="4" w:space="0" w:color="auto"/>
              <w:right w:val="single" w:sz="4" w:space="0" w:color="auto"/>
            </w:tcBorders>
            <w:shd w:val="clear" w:color="auto" w:fill="auto"/>
            <w:noWrap/>
            <w:vAlign w:val="bottom"/>
            <w:hideMark/>
          </w:tcPr>
          <w:p w14:paraId="047396D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1,026,811 </w:t>
            </w:r>
          </w:p>
        </w:tc>
        <w:tc>
          <w:tcPr>
            <w:tcW w:w="338" w:type="pct"/>
            <w:tcBorders>
              <w:top w:val="nil"/>
              <w:left w:val="nil"/>
              <w:bottom w:val="single" w:sz="4" w:space="0" w:color="auto"/>
              <w:right w:val="single" w:sz="4" w:space="0" w:color="auto"/>
            </w:tcBorders>
            <w:shd w:val="clear" w:color="auto" w:fill="auto"/>
            <w:noWrap/>
            <w:vAlign w:val="bottom"/>
            <w:hideMark/>
          </w:tcPr>
          <w:p w14:paraId="616F44D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1,023,477 </w:t>
            </w:r>
          </w:p>
        </w:tc>
        <w:tc>
          <w:tcPr>
            <w:tcW w:w="338" w:type="pct"/>
            <w:tcBorders>
              <w:top w:val="nil"/>
              <w:left w:val="nil"/>
              <w:bottom w:val="single" w:sz="4" w:space="0" w:color="auto"/>
              <w:right w:val="single" w:sz="4" w:space="0" w:color="auto"/>
            </w:tcBorders>
            <w:shd w:val="clear" w:color="000000" w:fill="D9D9D9"/>
            <w:noWrap/>
            <w:vAlign w:val="bottom"/>
            <w:hideMark/>
          </w:tcPr>
          <w:p w14:paraId="04B0106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3,334 </w:t>
            </w:r>
          </w:p>
        </w:tc>
        <w:tc>
          <w:tcPr>
            <w:tcW w:w="338" w:type="pct"/>
            <w:tcBorders>
              <w:top w:val="nil"/>
              <w:left w:val="nil"/>
              <w:bottom w:val="single" w:sz="4" w:space="0" w:color="auto"/>
              <w:right w:val="single" w:sz="4" w:space="0" w:color="auto"/>
            </w:tcBorders>
            <w:shd w:val="clear" w:color="000000" w:fill="D9D9D9"/>
            <w:noWrap/>
            <w:vAlign w:val="bottom"/>
            <w:hideMark/>
          </w:tcPr>
          <w:p w14:paraId="7171BFF1"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0.3%</w:t>
            </w:r>
          </w:p>
        </w:tc>
        <w:tc>
          <w:tcPr>
            <w:tcW w:w="320" w:type="pct"/>
            <w:tcBorders>
              <w:top w:val="nil"/>
              <w:left w:val="nil"/>
              <w:bottom w:val="single" w:sz="4" w:space="0" w:color="auto"/>
              <w:right w:val="single" w:sz="4" w:space="0" w:color="auto"/>
            </w:tcBorders>
            <w:shd w:val="clear" w:color="auto" w:fill="auto"/>
            <w:noWrap/>
            <w:vAlign w:val="bottom"/>
            <w:hideMark/>
          </w:tcPr>
          <w:p w14:paraId="33DD64C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606,271 </w:t>
            </w:r>
          </w:p>
        </w:tc>
        <w:tc>
          <w:tcPr>
            <w:tcW w:w="320" w:type="pct"/>
            <w:tcBorders>
              <w:top w:val="nil"/>
              <w:left w:val="nil"/>
              <w:bottom w:val="single" w:sz="4" w:space="0" w:color="auto"/>
              <w:right w:val="single" w:sz="4" w:space="0" w:color="auto"/>
            </w:tcBorders>
            <w:shd w:val="clear" w:color="auto" w:fill="auto"/>
            <w:noWrap/>
            <w:vAlign w:val="bottom"/>
            <w:hideMark/>
          </w:tcPr>
          <w:p w14:paraId="4F710E2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577,099 </w:t>
            </w:r>
          </w:p>
        </w:tc>
        <w:tc>
          <w:tcPr>
            <w:tcW w:w="320" w:type="pct"/>
            <w:tcBorders>
              <w:top w:val="nil"/>
              <w:left w:val="nil"/>
              <w:bottom w:val="single" w:sz="4" w:space="0" w:color="auto"/>
              <w:right w:val="single" w:sz="4" w:space="0" w:color="auto"/>
            </w:tcBorders>
            <w:shd w:val="clear" w:color="000000" w:fill="D9D9D9"/>
            <w:noWrap/>
            <w:vAlign w:val="bottom"/>
            <w:hideMark/>
          </w:tcPr>
          <w:p w14:paraId="3F3997E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29,172 </w:t>
            </w:r>
          </w:p>
        </w:tc>
        <w:tc>
          <w:tcPr>
            <w:tcW w:w="320" w:type="pct"/>
            <w:tcBorders>
              <w:top w:val="nil"/>
              <w:left w:val="nil"/>
              <w:bottom w:val="single" w:sz="4" w:space="0" w:color="auto"/>
              <w:right w:val="single" w:sz="4" w:space="0" w:color="auto"/>
            </w:tcBorders>
            <w:shd w:val="clear" w:color="000000" w:fill="D9D9D9"/>
            <w:noWrap/>
            <w:vAlign w:val="bottom"/>
            <w:hideMark/>
          </w:tcPr>
          <w:p w14:paraId="1F867F85"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5.1%</w:t>
            </w:r>
          </w:p>
        </w:tc>
        <w:tc>
          <w:tcPr>
            <w:tcW w:w="275" w:type="pct"/>
            <w:tcBorders>
              <w:top w:val="nil"/>
              <w:left w:val="nil"/>
              <w:bottom w:val="single" w:sz="4" w:space="0" w:color="auto"/>
              <w:right w:val="single" w:sz="4" w:space="0" w:color="auto"/>
            </w:tcBorders>
            <w:shd w:val="clear" w:color="auto" w:fill="auto"/>
            <w:noWrap/>
            <w:vAlign w:val="bottom"/>
            <w:hideMark/>
          </w:tcPr>
          <w:p w14:paraId="05D6E70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420,540 </w:t>
            </w:r>
          </w:p>
        </w:tc>
        <w:tc>
          <w:tcPr>
            <w:tcW w:w="275" w:type="pct"/>
            <w:tcBorders>
              <w:top w:val="nil"/>
              <w:left w:val="nil"/>
              <w:bottom w:val="single" w:sz="4" w:space="0" w:color="auto"/>
              <w:right w:val="single" w:sz="4" w:space="0" w:color="auto"/>
            </w:tcBorders>
            <w:shd w:val="clear" w:color="auto" w:fill="auto"/>
            <w:noWrap/>
            <w:vAlign w:val="bottom"/>
            <w:hideMark/>
          </w:tcPr>
          <w:p w14:paraId="206A165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446,378 </w:t>
            </w:r>
          </w:p>
        </w:tc>
        <w:tc>
          <w:tcPr>
            <w:tcW w:w="275" w:type="pct"/>
            <w:tcBorders>
              <w:top w:val="nil"/>
              <w:left w:val="nil"/>
              <w:bottom w:val="single" w:sz="4" w:space="0" w:color="auto"/>
              <w:right w:val="single" w:sz="4" w:space="0" w:color="auto"/>
            </w:tcBorders>
            <w:shd w:val="clear" w:color="000000" w:fill="D9D9D9"/>
            <w:noWrap/>
            <w:vAlign w:val="bottom"/>
            <w:hideMark/>
          </w:tcPr>
          <w:p w14:paraId="20E6F74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-25,838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A9D83A"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-5.8%</w:t>
            </w:r>
          </w:p>
        </w:tc>
      </w:tr>
      <w:tr w:rsidR="0013387A" w:rsidRPr="0013387A" w14:paraId="214F98CF"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093CA92F"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Griffith University</w:t>
            </w:r>
          </w:p>
        </w:tc>
        <w:tc>
          <w:tcPr>
            <w:tcW w:w="338" w:type="pct"/>
            <w:tcBorders>
              <w:top w:val="nil"/>
              <w:left w:val="nil"/>
              <w:bottom w:val="single" w:sz="4" w:space="0" w:color="auto"/>
              <w:right w:val="single" w:sz="4" w:space="0" w:color="auto"/>
            </w:tcBorders>
            <w:shd w:val="clear" w:color="auto" w:fill="auto"/>
            <w:noWrap/>
            <w:vAlign w:val="bottom"/>
            <w:hideMark/>
          </w:tcPr>
          <w:p w14:paraId="773336A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972,642 </w:t>
            </w:r>
          </w:p>
        </w:tc>
        <w:tc>
          <w:tcPr>
            <w:tcW w:w="338" w:type="pct"/>
            <w:tcBorders>
              <w:top w:val="nil"/>
              <w:left w:val="nil"/>
              <w:bottom w:val="single" w:sz="4" w:space="0" w:color="auto"/>
              <w:right w:val="single" w:sz="4" w:space="0" w:color="auto"/>
            </w:tcBorders>
            <w:shd w:val="clear" w:color="auto" w:fill="auto"/>
            <w:noWrap/>
            <w:vAlign w:val="bottom"/>
            <w:hideMark/>
          </w:tcPr>
          <w:p w14:paraId="02C4A8E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977,824 </w:t>
            </w:r>
          </w:p>
        </w:tc>
        <w:tc>
          <w:tcPr>
            <w:tcW w:w="338" w:type="pct"/>
            <w:tcBorders>
              <w:top w:val="nil"/>
              <w:left w:val="nil"/>
              <w:bottom w:val="single" w:sz="4" w:space="0" w:color="auto"/>
              <w:right w:val="single" w:sz="4" w:space="0" w:color="auto"/>
            </w:tcBorders>
            <w:shd w:val="clear" w:color="000000" w:fill="D9D9D9"/>
            <w:noWrap/>
            <w:vAlign w:val="bottom"/>
            <w:hideMark/>
          </w:tcPr>
          <w:p w14:paraId="4D9109C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-5,182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30D8EF"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-0.5%</w:t>
            </w:r>
          </w:p>
        </w:tc>
        <w:tc>
          <w:tcPr>
            <w:tcW w:w="320" w:type="pct"/>
            <w:tcBorders>
              <w:top w:val="nil"/>
              <w:left w:val="nil"/>
              <w:bottom w:val="single" w:sz="4" w:space="0" w:color="auto"/>
              <w:right w:val="single" w:sz="4" w:space="0" w:color="auto"/>
            </w:tcBorders>
            <w:shd w:val="clear" w:color="auto" w:fill="auto"/>
            <w:noWrap/>
            <w:vAlign w:val="bottom"/>
            <w:hideMark/>
          </w:tcPr>
          <w:p w14:paraId="7CFF17C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604,396 </w:t>
            </w:r>
          </w:p>
        </w:tc>
        <w:tc>
          <w:tcPr>
            <w:tcW w:w="320" w:type="pct"/>
            <w:tcBorders>
              <w:top w:val="nil"/>
              <w:left w:val="nil"/>
              <w:bottom w:val="single" w:sz="4" w:space="0" w:color="auto"/>
              <w:right w:val="single" w:sz="4" w:space="0" w:color="auto"/>
            </w:tcBorders>
            <w:shd w:val="clear" w:color="auto" w:fill="auto"/>
            <w:noWrap/>
            <w:vAlign w:val="bottom"/>
            <w:hideMark/>
          </w:tcPr>
          <w:p w14:paraId="6140D82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587,515 </w:t>
            </w:r>
          </w:p>
        </w:tc>
        <w:tc>
          <w:tcPr>
            <w:tcW w:w="320" w:type="pct"/>
            <w:tcBorders>
              <w:top w:val="nil"/>
              <w:left w:val="nil"/>
              <w:bottom w:val="single" w:sz="4" w:space="0" w:color="auto"/>
              <w:right w:val="single" w:sz="4" w:space="0" w:color="auto"/>
            </w:tcBorders>
            <w:shd w:val="clear" w:color="000000" w:fill="D9D9D9"/>
            <w:noWrap/>
            <w:vAlign w:val="bottom"/>
            <w:hideMark/>
          </w:tcPr>
          <w:p w14:paraId="0FB24C4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16,881 </w:t>
            </w:r>
          </w:p>
        </w:tc>
        <w:tc>
          <w:tcPr>
            <w:tcW w:w="320" w:type="pct"/>
            <w:tcBorders>
              <w:top w:val="nil"/>
              <w:left w:val="nil"/>
              <w:bottom w:val="single" w:sz="4" w:space="0" w:color="auto"/>
              <w:right w:val="single" w:sz="4" w:space="0" w:color="auto"/>
            </w:tcBorders>
            <w:shd w:val="clear" w:color="000000" w:fill="D9D9D9"/>
            <w:noWrap/>
            <w:vAlign w:val="bottom"/>
            <w:hideMark/>
          </w:tcPr>
          <w:p w14:paraId="46252B64"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2.9%</w:t>
            </w:r>
          </w:p>
        </w:tc>
        <w:tc>
          <w:tcPr>
            <w:tcW w:w="275" w:type="pct"/>
            <w:tcBorders>
              <w:top w:val="nil"/>
              <w:left w:val="nil"/>
              <w:bottom w:val="single" w:sz="4" w:space="0" w:color="auto"/>
              <w:right w:val="single" w:sz="4" w:space="0" w:color="auto"/>
            </w:tcBorders>
            <w:shd w:val="clear" w:color="auto" w:fill="auto"/>
            <w:noWrap/>
            <w:vAlign w:val="bottom"/>
            <w:hideMark/>
          </w:tcPr>
          <w:p w14:paraId="1AFE6EE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368,246 </w:t>
            </w:r>
          </w:p>
        </w:tc>
        <w:tc>
          <w:tcPr>
            <w:tcW w:w="275" w:type="pct"/>
            <w:tcBorders>
              <w:top w:val="nil"/>
              <w:left w:val="nil"/>
              <w:bottom w:val="single" w:sz="4" w:space="0" w:color="auto"/>
              <w:right w:val="single" w:sz="4" w:space="0" w:color="auto"/>
            </w:tcBorders>
            <w:shd w:val="clear" w:color="auto" w:fill="auto"/>
            <w:noWrap/>
            <w:vAlign w:val="bottom"/>
            <w:hideMark/>
          </w:tcPr>
          <w:p w14:paraId="2DF04F2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390,309 </w:t>
            </w:r>
          </w:p>
        </w:tc>
        <w:tc>
          <w:tcPr>
            <w:tcW w:w="275" w:type="pct"/>
            <w:tcBorders>
              <w:top w:val="nil"/>
              <w:left w:val="nil"/>
              <w:bottom w:val="single" w:sz="4" w:space="0" w:color="auto"/>
              <w:right w:val="single" w:sz="4" w:space="0" w:color="auto"/>
            </w:tcBorders>
            <w:shd w:val="clear" w:color="000000" w:fill="D9D9D9"/>
            <w:noWrap/>
            <w:vAlign w:val="bottom"/>
            <w:hideMark/>
          </w:tcPr>
          <w:p w14:paraId="77198BD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-22,063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15CC69"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-5.7%</w:t>
            </w:r>
          </w:p>
        </w:tc>
      </w:tr>
      <w:tr w:rsidR="0013387A" w:rsidRPr="0013387A" w14:paraId="1343F652"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05A60DAD"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University of Adelaide</w:t>
            </w:r>
          </w:p>
        </w:tc>
        <w:tc>
          <w:tcPr>
            <w:tcW w:w="338" w:type="pct"/>
            <w:tcBorders>
              <w:top w:val="nil"/>
              <w:left w:val="nil"/>
              <w:bottom w:val="single" w:sz="4" w:space="0" w:color="auto"/>
              <w:right w:val="single" w:sz="4" w:space="0" w:color="auto"/>
            </w:tcBorders>
            <w:shd w:val="clear" w:color="auto" w:fill="auto"/>
            <w:noWrap/>
            <w:vAlign w:val="bottom"/>
            <w:hideMark/>
          </w:tcPr>
          <w:p w14:paraId="4E675C7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936,090 </w:t>
            </w:r>
          </w:p>
        </w:tc>
        <w:tc>
          <w:tcPr>
            <w:tcW w:w="338" w:type="pct"/>
            <w:tcBorders>
              <w:top w:val="nil"/>
              <w:left w:val="nil"/>
              <w:bottom w:val="single" w:sz="4" w:space="0" w:color="auto"/>
              <w:right w:val="single" w:sz="4" w:space="0" w:color="auto"/>
            </w:tcBorders>
            <w:shd w:val="clear" w:color="auto" w:fill="auto"/>
            <w:noWrap/>
            <w:vAlign w:val="bottom"/>
            <w:hideMark/>
          </w:tcPr>
          <w:p w14:paraId="6E53516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929,743 </w:t>
            </w:r>
          </w:p>
        </w:tc>
        <w:tc>
          <w:tcPr>
            <w:tcW w:w="338" w:type="pct"/>
            <w:tcBorders>
              <w:top w:val="nil"/>
              <w:left w:val="nil"/>
              <w:bottom w:val="single" w:sz="4" w:space="0" w:color="auto"/>
              <w:right w:val="single" w:sz="4" w:space="0" w:color="auto"/>
            </w:tcBorders>
            <w:shd w:val="clear" w:color="000000" w:fill="D9D9D9"/>
            <w:noWrap/>
            <w:vAlign w:val="bottom"/>
            <w:hideMark/>
          </w:tcPr>
          <w:p w14:paraId="0D66557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6,347 </w:t>
            </w:r>
          </w:p>
        </w:tc>
        <w:tc>
          <w:tcPr>
            <w:tcW w:w="338" w:type="pct"/>
            <w:tcBorders>
              <w:top w:val="nil"/>
              <w:left w:val="nil"/>
              <w:bottom w:val="single" w:sz="4" w:space="0" w:color="auto"/>
              <w:right w:val="single" w:sz="4" w:space="0" w:color="auto"/>
            </w:tcBorders>
            <w:shd w:val="clear" w:color="000000" w:fill="D9D9D9"/>
            <w:noWrap/>
            <w:vAlign w:val="bottom"/>
            <w:hideMark/>
          </w:tcPr>
          <w:p w14:paraId="29E8FAD0"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0.7%</w:t>
            </w:r>
          </w:p>
        </w:tc>
        <w:tc>
          <w:tcPr>
            <w:tcW w:w="320" w:type="pct"/>
            <w:tcBorders>
              <w:top w:val="nil"/>
              <w:left w:val="nil"/>
              <w:bottom w:val="single" w:sz="4" w:space="0" w:color="auto"/>
              <w:right w:val="single" w:sz="4" w:space="0" w:color="auto"/>
            </w:tcBorders>
            <w:shd w:val="clear" w:color="auto" w:fill="auto"/>
            <w:noWrap/>
            <w:vAlign w:val="bottom"/>
            <w:hideMark/>
          </w:tcPr>
          <w:p w14:paraId="69EAD5D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552,895 </w:t>
            </w:r>
          </w:p>
        </w:tc>
        <w:tc>
          <w:tcPr>
            <w:tcW w:w="320" w:type="pct"/>
            <w:tcBorders>
              <w:top w:val="nil"/>
              <w:left w:val="nil"/>
              <w:bottom w:val="single" w:sz="4" w:space="0" w:color="auto"/>
              <w:right w:val="single" w:sz="4" w:space="0" w:color="auto"/>
            </w:tcBorders>
            <w:shd w:val="clear" w:color="auto" w:fill="auto"/>
            <w:noWrap/>
            <w:vAlign w:val="bottom"/>
            <w:hideMark/>
          </w:tcPr>
          <w:p w14:paraId="7119FEC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534,368 </w:t>
            </w:r>
          </w:p>
        </w:tc>
        <w:tc>
          <w:tcPr>
            <w:tcW w:w="320" w:type="pct"/>
            <w:tcBorders>
              <w:top w:val="nil"/>
              <w:left w:val="nil"/>
              <w:bottom w:val="single" w:sz="4" w:space="0" w:color="auto"/>
              <w:right w:val="single" w:sz="4" w:space="0" w:color="auto"/>
            </w:tcBorders>
            <w:shd w:val="clear" w:color="000000" w:fill="D9D9D9"/>
            <w:noWrap/>
            <w:vAlign w:val="bottom"/>
            <w:hideMark/>
          </w:tcPr>
          <w:p w14:paraId="0D51080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18,527 </w:t>
            </w:r>
          </w:p>
        </w:tc>
        <w:tc>
          <w:tcPr>
            <w:tcW w:w="320" w:type="pct"/>
            <w:tcBorders>
              <w:top w:val="nil"/>
              <w:left w:val="nil"/>
              <w:bottom w:val="single" w:sz="4" w:space="0" w:color="auto"/>
              <w:right w:val="single" w:sz="4" w:space="0" w:color="auto"/>
            </w:tcBorders>
            <w:shd w:val="clear" w:color="000000" w:fill="D9D9D9"/>
            <w:noWrap/>
            <w:vAlign w:val="bottom"/>
            <w:hideMark/>
          </w:tcPr>
          <w:p w14:paraId="78AE545A"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3.5%</w:t>
            </w:r>
          </w:p>
        </w:tc>
        <w:tc>
          <w:tcPr>
            <w:tcW w:w="275" w:type="pct"/>
            <w:tcBorders>
              <w:top w:val="nil"/>
              <w:left w:val="nil"/>
              <w:bottom w:val="single" w:sz="4" w:space="0" w:color="auto"/>
              <w:right w:val="single" w:sz="4" w:space="0" w:color="auto"/>
            </w:tcBorders>
            <w:shd w:val="clear" w:color="auto" w:fill="auto"/>
            <w:noWrap/>
            <w:vAlign w:val="bottom"/>
            <w:hideMark/>
          </w:tcPr>
          <w:p w14:paraId="52E6F00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383,195 </w:t>
            </w:r>
          </w:p>
        </w:tc>
        <w:tc>
          <w:tcPr>
            <w:tcW w:w="275" w:type="pct"/>
            <w:tcBorders>
              <w:top w:val="nil"/>
              <w:left w:val="nil"/>
              <w:bottom w:val="single" w:sz="4" w:space="0" w:color="auto"/>
              <w:right w:val="single" w:sz="4" w:space="0" w:color="auto"/>
            </w:tcBorders>
            <w:shd w:val="clear" w:color="auto" w:fill="auto"/>
            <w:noWrap/>
            <w:vAlign w:val="bottom"/>
            <w:hideMark/>
          </w:tcPr>
          <w:p w14:paraId="0093867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395,375 </w:t>
            </w:r>
          </w:p>
        </w:tc>
        <w:tc>
          <w:tcPr>
            <w:tcW w:w="275" w:type="pct"/>
            <w:tcBorders>
              <w:top w:val="nil"/>
              <w:left w:val="nil"/>
              <w:bottom w:val="single" w:sz="4" w:space="0" w:color="auto"/>
              <w:right w:val="single" w:sz="4" w:space="0" w:color="auto"/>
            </w:tcBorders>
            <w:shd w:val="clear" w:color="000000" w:fill="D9D9D9"/>
            <w:noWrap/>
            <w:vAlign w:val="bottom"/>
            <w:hideMark/>
          </w:tcPr>
          <w:p w14:paraId="369ABDC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-12,180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704640"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-3.1%</w:t>
            </w:r>
          </w:p>
        </w:tc>
      </w:tr>
      <w:tr w:rsidR="0013387A" w:rsidRPr="0013387A" w14:paraId="79A2B9B0"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14D5EF0"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The University of Western Australia</w:t>
            </w:r>
          </w:p>
        </w:tc>
        <w:tc>
          <w:tcPr>
            <w:tcW w:w="338" w:type="pct"/>
            <w:tcBorders>
              <w:top w:val="nil"/>
              <w:left w:val="nil"/>
              <w:bottom w:val="single" w:sz="4" w:space="0" w:color="auto"/>
              <w:right w:val="single" w:sz="4" w:space="0" w:color="auto"/>
            </w:tcBorders>
            <w:shd w:val="clear" w:color="auto" w:fill="auto"/>
            <w:noWrap/>
            <w:vAlign w:val="bottom"/>
            <w:hideMark/>
          </w:tcPr>
          <w:p w14:paraId="003FEB0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910,781 </w:t>
            </w:r>
          </w:p>
        </w:tc>
        <w:tc>
          <w:tcPr>
            <w:tcW w:w="338" w:type="pct"/>
            <w:tcBorders>
              <w:top w:val="nil"/>
              <w:left w:val="nil"/>
              <w:bottom w:val="single" w:sz="4" w:space="0" w:color="auto"/>
              <w:right w:val="single" w:sz="4" w:space="0" w:color="auto"/>
            </w:tcBorders>
            <w:shd w:val="clear" w:color="auto" w:fill="auto"/>
            <w:noWrap/>
            <w:vAlign w:val="bottom"/>
            <w:hideMark/>
          </w:tcPr>
          <w:p w14:paraId="2F28ADE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942,203 </w:t>
            </w:r>
          </w:p>
        </w:tc>
        <w:tc>
          <w:tcPr>
            <w:tcW w:w="338" w:type="pct"/>
            <w:tcBorders>
              <w:top w:val="nil"/>
              <w:left w:val="nil"/>
              <w:bottom w:val="single" w:sz="4" w:space="0" w:color="auto"/>
              <w:right w:val="single" w:sz="4" w:space="0" w:color="auto"/>
            </w:tcBorders>
            <w:shd w:val="clear" w:color="000000" w:fill="D9D9D9"/>
            <w:noWrap/>
            <w:vAlign w:val="bottom"/>
            <w:hideMark/>
          </w:tcPr>
          <w:p w14:paraId="46A47DD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-31,422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7D74AF"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-3.3%</w:t>
            </w:r>
          </w:p>
        </w:tc>
        <w:tc>
          <w:tcPr>
            <w:tcW w:w="320" w:type="pct"/>
            <w:tcBorders>
              <w:top w:val="nil"/>
              <w:left w:val="nil"/>
              <w:bottom w:val="single" w:sz="4" w:space="0" w:color="auto"/>
              <w:right w:val="single" w:sz="4" w:space="0" w:color="auto"/>
            </w:tcBorders>
            <w:shd w:val="clear" w:color="auto" w:fill="auto"/>
            <w:noWrap/>
            <w:vAlign w:val="bottom"/>
            <w:hideMark/>
          </w:tcPr>
          <w:p w14:paraId="7AF2188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539,140 </w:t>
            </w:r>
          </w:p>
        </w:tc>
        <w:tc>
          <w:tcPr>
            <w:tcW w:w="320" w:type="pct"/>
            <w:tcBorders>
              <w:top w:val="nil"/>
              <w:left w:val="nil"/>
              <w:bottom w:val="single" w:sz="4" w:space="0" w:color="auto"/>
              <w:right w:val="single" w:sz="4" w:space="0" w:color="auto"/>
            </w:tcBorders>
            <w:shd w:val="clear" w:color="auto" w:fill="auto"/>
            <w:noWrap/>
            <w:vAlign w:val="bottom"/>
            <w:hideMark/>
          </w:tcPr>
          <w:p w14:paraId="34A4647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541,076 </w:t>
            </w:r>
          </w:p>
        </w:tc>
        <w:tc>
          <w:tcPr>
            <w:tcW w:w="320" w:type="pct"/>
            <w:tcBorders>
              <w:top w:val="nil"/>
              <w:left w:val="nil"/>
              <w:bottom w:val="single" w:sz="4" w:space="0" w:color="auto"/>
              <w:right w:val="single" w:sz="4" w:space="0" w:color="auto"/>
            </w:tcBorders>
            <w:shd w:val="clear" w:color="000000" w:fill="D9D9D9"/>
            <w:noWrap/>
            <w:vAlign w:val="bottom"/>
            <w:hideMark/>
          </w:tcPr>
          <w:p w14:paraId="21AEE64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-1,936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DC5CCDF"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-0.4%</w:t>
            </w:r>
          </w:p>
        </w:tc>
        <w:tc>
          <w:tcPr>
            <w:tcW w:w="275" w:type="pct"/>
            <w:tcBorders>
              <w:top w:val="nil"/>
              <w:left w:val="nil"/>
              <w:bottom w:val="single" w:sz="4" w:space="0" w:color="auto"/>
              <w:right w:val="single" w:sz="4" w:space="0" w:color="auto"/>
            </w:tcBorders>
            <w:shd w:val="clear" w:color="auto" w:fill="auto"/>
            <w:noWrap/>
            <w:vAlign w:val="bottom"/>
            <w:hideMark/>
          </w:tcPr>
          <w:p w14:paraId="385169F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371,641 </w:t>
            </w:r>
          </w:p>
        </w:tc>
        <w:tc>
          <w:tcPr>
            <w:tcW w:w="275" w:type="pct"/>
            <w:tcBorders>
              <w:top w:val="nil"/>
              <w:left w:val="nil"/>
              <w:bottom w:val="single" w:sz="4" w:space="0" w:color="auto"/>
              <w:right w:val="single" w:sz="4" w:space="0" w:color="auto"/>
            </w:tcBorders>
            <w:shd w:val="clear" w:color="auto" w:fill="auto"/>
            <w:noWrap/>
            <w:vAlign w:val="bottom"/>
            <w:hideMark/>
          </w:tcPr>
          <w:p w14:paraId="265C0D1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401,127 </w:t>
            </w:r>
          </w:p>
        </w:tc>
        <w:tc>
          <w:tcPr>
            <w:tcW w:w="275" w:type="pct"/>
            <w:tcBorders>
              <w:top w:val="nil"/>
              <w:left w:val="nil"/>
              <w:bottom w:val="single" w:sz="4" w:space="0" w:color="auto"/>
              <w:right w:val="single" w:sz="4" w:space="0" w:color="auto"/>
            </w:tcBorders>
            <w:shd w:val="clear" w:color="000000" w:fill="D9D9D9"/>
            <w:noWrap/>
            <w:vAlign w:val="bottom"/>
            <w:hideMark/>
          </w:tcPr>
          <w:p w14:paraId="346F00B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-29,486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17AA899"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-7.4%</w:t>
            </w:r>
          </w:p>
        </w:tc>
      </w:tr>
      <w:tr w:rsidR="0013387A" w:rsidRPr="0013387A" w14:paraId="5B2E308B"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2BA9968"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Curtin University of Technology</w:t>
            </w:r>
          </w:p>
        </w:tc>
        <w:tc>
          <w:tcPr>
            <w:tcW w:w="338" w:type="pct"/>
            <w:tcBorders>
              <w:top w:val="nil"/>
              <w:left w:val="nil"/>
              <w:bottom w:val="single" w:sz="4" w:space="0" w:color="auto"/>
              <w:right w:val="single" w:sz="4" w:space="0" w:color="auto"/>
            </w:tcBorders>
            <w:shd w:val="clear" w:color="auto" w:fill="auto"/>
            <w:noWrap/>
            <w:vAlign w:val="bottom"/>
            <w:hideMark/>
          </w:tcPr>
          <w:p w14:paraId="7B9C306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903,813 </w:t>
            </w:r>
          </w:p>
        </w:tc>
        <w:tc>
          <w:tcPr>
            <w:tcW w:w="338" w:type="pct"/>
            <w:tcBorders>
              <w:top w:val="nil"/>
              <w:left w:val="nil"/>
              <w:bottom w:val="single" w:sz="4" w:space="0" w:color="auto"/>
              <w:right w:val="single" w:sz="4" w:space="0" w:color="auto"/>
            </w:tcBorders>
            <w:shd w:val="clear" w:color="auto" w:fill="auto"/>
            <w:noWrap/>
            <w:vAlign w:val="bottom"/>
            <w:hideMark/>
          </w:tcPr>
          <w:p w14:paraId="31F8CDF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887,890 </w:t>
            </w:r>
          </w:p>
        </w:tc>
        <w:tc>
          <w:tcPr>
            <w:tcW w:w="338" w:type="pct"/>
            <w:tcBorders>
              <w:top w:val="nil"/>
              <w:left w:val="nil"/>
              <w:bottom w:val="single" w:sz="4" w:space="0" w:color="auto"/>
              <w:right w:val="single" w:sz="4" w:space="0" w:color="auto"/>
            </w:tcBorders>
            <w:shd w:val="clear" w:color="000000" w:fill="D9D9D9"/>
            <w:noWrap/>
            <w:vAlign w:val="bottom"/>
            <w:hideMark/>
          </w:tcPr>
          <w:p w14:paraId="310300C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15,923 </w:t>
            </w:r>
          </w:p>
        </w:tc>
        <w:tc>
          <w:tcPr>
            <w:tcW w:w="338" w:type="pct"/>
            <w:tcBorders>
              <w:top w:val="nil"/>
              <w:left w:val="nil"/>
              <w:bottom w:val="single" w:sz="4" w:space="0" w:color="auto"/>
              <w:right w:val="single" w:sz="4" w:space="0" w:color="auto"/>
            </w:tcBorders>
            <w:shd w:val="clear" w:color="000000" w:fill="D9D9D9"/>
            <w:noWrap/>
            <w:vAlign w:val="bottom"/>
            <w:hideMark/>
          </w:tcPr>
          <w:p w14:paraId="5B42CAE2"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1.8%</w:t>
            </w:r>
          </w:p>
        </w:tc>
        <w:tc>
          <w:tcPr>
            <w:tcW w:w="320" w:type="pct"/>
            <w:tcBorders>
              <w:top w:val="nil"/>
              <w:left w:val="nil"/>
              <w:bottom w:val="single" w:sz="4" w:space="0" w:color="auto"/>
              <w:right w:val="single" w:sz="4" w:space="0" w:color="auto"/>
            </w:tcBorders>
            <w:shd w:val="clear" w:color="auto" w:fill="auto"/>
            <w:noWrap/>
            <w:vAlign w:val="bottom"/>
            <w:hideMark/>
          </w:tcPr>
          <w:p w14:paraId="2C6E171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571,747 </w:t>
            </w:r>
          </w:p>
        </w:tc>
        <w:tc>
          <w:tcPr>
            <w:tcW w:w="320" w:type="pct"/>
            <w:tcBorders>
              <w:top w:val="nil"/>
              <w:left w:val="nil"/>
              <w:bottom w:val="single" w:sz="4" w:space="0" w:color="auto"/>
              <w:right w:val="single" w:sz="4" w:space="0" w:color="auto"/>
            </w:tcBorders>
            <w:shd w:val="clear" w:color="auto" w:fill="auto"/>
            <w:noWrap/>
            <w:vAlign w:val="bottom"/>
            <w:hideMark/>
          </w:tcPr>
          <w:p w14:paraId="1678C92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540,836 </w:t>
            </w:r>
          </w:p>
        </w:tc>
        <w:tc>
          <w:tcPr>
            <w:tcW w:w="320" w:type="pct"/>
            <w:tcBorders>
              <w:top w:val="nil"/>
              <w:left w:val="nil"/>
              <w:bottom w:val="single" w:sz="4" w:space="0" w:color="auto"/>
              <w:right w:val="single" w:sz="4" w:space="0" w:color="auto"/>
            </w:tcBorders>
            <w:shd w:val="clear" w:color="000000" w:fill="D9D9D9"/>
            <w:noWrap/>
            <w:vAlign w:val="bottom"/>
            <w:hideMark/>
          </w:tcPr>
          <w:p w14:paraId="32C9204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30,911 </w:t>
            </w:r>
          </w:p>
        </w:tc>
        <w:tc>
          <w:tcPr>
            <w:tcW w:w="320" w:type="pct"/>
            <w:tcBorders>
              <w:top w:val="nil"/>
              <w:left w:val="nil"/>
              <w:bottom w:val="single" w:sz="4" w:space="0" w:color="auto"/>
              <w:right w:val="single" w:sz="4" w:space="0" w:color="auto"/>
            </w:tcBorders>
            <w:shd w:val="clear" w:color="000000" w:fill="D9D9D9"/>
            <w:noWrap/>
            <w:vAlign w:val="bottom"/>
            <w:hideMark/>
          </w:tcPr>
          <w:p w14:paraId="68E71D9A"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5.7%</w:t>
            </w:r>
          </w:p>
        </w:tc>
        <w:tc>
          <w:tcPr>
            <w:tcW w:w="275" w:type="pct"/>
            <w:tcBorders>
              <w:top w:val="nil"/>
              <w:left w:val="nil"/>
              <w:bottom w:val="single" w:sz="4" w:space="0" w:color="auto"/>
              <w:right w:val="single" w:sz="4" w:space="0" w:color="auto"/>
            </w:tcBorders>
            <w:shd w:val="clear" w:color="auto" w:fill="auto"/>
            <w:noWrap/>
            <w:vAlign w:val="bottom"/>
            <w:hideMark/>
          </w:tcPr>
          <w:p w14:paraId="05677B6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332,066 </w:t>
            </w:r>
          </w:p>
        </w:tc>
        <w:tc>
          <w:tcPr>
            <w:tcW w:w="275" w:type="pct"/>
            <w:tcBorders>
              <w:top w:val="nil"/>
              <w:left w:val="nil"/>
              <w:bottom w:val="single" w:sz="4" w:space="0" w:color="auto"/>
              <w:right w:val="single" w:sz="4" w:space="0" w:color="auto"/>
            </w:tcBorders>
            <w:shd w:val="clear" w:color="auto" w:fill="auto"/>
            <w:noWrap/>
            <w:vAlign w:val="bottom"/>
            <w:hideMark/>
          </w:tcPr>
          <w:p w14:paraId="6DF706A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347,054 </w:t>
            </w:r>
          </w:p>
        </w:tc>
        <w:tc>
          <w:tcPr>
            <w:tcW w:w="275" w:type="pct"/>
            <w:tcBorders>
              <w:top w:val="nil"/>
              <w:left w:val="nil"/>
              <w:bottom w:val="single" w:sz="4" w:space="0" w:color="auto"/>
              <w:right w:val="single" w:sz="4" w:space="0" w:color="auto"/>
            </w:tcBorders>
            <w:shd w:val="clear" w:color="000000" w:fill="D9D9D9"/>
            <w:noWrap/>
            <w:vAlign w:val="bottom"/>
            <w:hideMark/>
          </w:tcPr>
          <w:p w14:paraId="38C7DAE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-14,988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626022C"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-4.3%</w:t>
            </w:r>
          </w:p>
        </w:tc>
      </w:tr>
      <w:tr w:rsidR="0013387A" w:rsidRPr="0013387A" w14:paraId="2CB873D9"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1609272E" w14:textId="6D6E9D30"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Western Sydney</w:t>
            </w:r>
            <w:r w:rsidR="00046A7A" w:rsidRPr="0013387A">
              <w:rPr>
                <w:rFonts w:eastAsia="Times New Roman" w:cstheme="minorHAnsi"/>
                <w:color w:val="000000"/>
                <w:sz w:val="16"/>
                <w:szCs w:val="16"/>
                <w:lang w:eastAsia="en-AU"/>
              </w:rPr>
              <w:t xml:space="preserve"> University</w:t>
            </w:r>
          </w:p>
        </w:tc>
        <w:tc>
          <w:tcPr>
            <w:tcW w:w="338" w:type="pct"/>
            <w:tcBorders>
              <w:top w:val="nil"/>
              <w:left w:val="nil"/>
              <w:bottom w:val="single" w:sz="4" w:space="0" w:color="auto"/>
              <w:right w:val="single" w:sz="4" w:space="0" w:color="auto"/>
            </w:tcBorders>
            <w:shd w:val="clear" w:color="auto" w:fill="auto"/>
            <w:noWrap/>
            <w:vAlign w:val="bottom"/>
            <w:hideMark/>
          </w:tcPr>
          <w:p w14:paraId="7830CBA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865,918 </w:t>
            </w:r>
          </w:p>
        </w:tc>
        <w:tc>
          <w:tcPr>
            <w:tcW w:w="338" w:type="pct"/>
            <w:tcBorders>
              <w:top w:val="nil"/>
              <w:left w:val="nil"/>
              <w:bottom w:val="single" w:sz="4" w:space="0" w:color="auto"/>
              <w:right w:val="single" w:sz="4" w:space="0" w:color="auto"/>
            </w:tcBorders>
            <w:shd w:val="clear" w:color="auto" w:fill="auto"/>
            <w:noWrap/>
            <w:vAlign w:val="bottom"/>
            <w:hideMark/>
          </w:tcPr>
          <w:p w14:paraId="0301AB8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890,151 </w:t>
            </w:r>
          </w:p>
        </w:tc>
        <w:tc>
          <w:tcPr>
            <w:tcW w:w="338" w:type="pct"/>
            <w:tcBorders>
              <w:top w:val="nil"/>
              <w:left w:val="nil"/>
              <w:bottom w:val="single" w:sz="4" w:space="0" w:color="auto"/>
              <w:right w:val="single" w:sz="4" w:space="0" w:color="auto"/>
            </w:tcBorders>
            <w:shd w:val="clear" w:color="000000" w:fill="D9D9D9"/>
            <w:noWrap/>
            <w:vAlign w:val="bottom"/>
            <w:hideMark/>
          </w:tcPr>
          <w:p w14:paraId="721CFB4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-24,233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E0D252"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-2.7%</w:t>
            </w:r>
          </w:p>
        </w:tc>
        <w:tc>
          <w:tcPr>
            <w:tcW w:w="320" w:type="pct"/>
            <w:tcBorders>
              <w:top w:val="nil"/>
              <w:left w:val="nil"/>
              <w:bottom w:val="single" w:sz="4" w:space="0" w:color="auto"/>
              <w:right w:val="single" w:sz="4" w:space="0" w:color="auto"/>
            </w:tcBorders>
            <w:shd w:val="clear" w:color="auto" w:fill="auto"/>
            <w:noWrap/>
            <w:vAlign w:val="bottom"/>
            <w:hideMark/>
          </w:tcPr>
          <w:p w14:paraId="37F18A8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460,703 </w:t>
            </w:r>
          </w:p>
        </w:tc>
        <w:tc>
          <w:tcPr>
            <w:tcW w:w="320" w:type="pct"/>
            <w:tcBorders>
              <w:top w:val="nil"/>
              <w:left w:val="nil"/>
              <w:bottom w:val="single" w:sz="4" w:space="0" w:color="auto"/>
              <w:right w:val="single" w:sz="4" w:space="0" w:color="auto"/>
            </w:tcBorders>
            <w:shd w:val="clear" w:color="auto" w:fill="auto"/>
            <w:noWrap/>
            <w:vAlign w:val="bottom"/>
            <w:hideMark/>
          </w:tcPr>
          <w:p w14:paraId="485D193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460,061 </w:t>
            </w:r>
          </w:p>
        </w:tc>
        <w:tc>
          <w:tcPr>
            <w:tcW w:w="320" w:type="pct"/>
            <w:tcBorders>
              <w:top w:val="nil"/>
              <w:left w:val="nil"/>
              <w:bottom w:val="single" w:sz="4" w:space="0" w:color="auto"/>
              <w:right w:val="single" w:sz="4" w:space="0" w:color="auto"/>
            </w:tcBorders>
            <w:shd w:val="clear" w:color="000000" w:fill="D9D9D9"/>
            <w:noWrap/>
            <w:vAlign w:val="bottom"/>
            <w:hideMark/>
          </w:tcPr>
          <w:p w14:paraId="369E271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642 </w:t>
            </w:r>
          </w:p>
        </w:tc>
        <w:tc>
          <w:tcPr>
            <w:tcW w:w="320" w:type="pct"/>
            <w:tcBorders>
              <w:top w:val="nil"/>
              <w:left w:val="nil"/>
              <w:bottom w:val="single" w:sz="4" w:space="0" w:color="auto"/>
              <w:right w:val="single" w:sz="4" w:space="0" w:color="auto"/>
            </w:tcBorders>
            <w:shd w:val="clear" w:color="000000" w:fill="D9D9D9"/>
            <w:noWrap/>
            <w:vAlign w:val="bottom"/>
            <w:hideMark/>
          </w:tcPr>
          <w:p w14:paraId="6C4E1603"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0.1%</w:t>
            </w:r>
          </w:p>
        </w:tc>
        <w:tc>
          <w:tcPr>
            <w:tcW w:w="275" w:type="pct"/>
            <w:tcBorders>
              <w:top w:val="nil"/>
              <w:left w:val="nil"/>
              <w:bottom w:val="single" w:sz="4" w:space="0" w:color="auto"/>
              <w:right w:val="single" w:sz="4" w:space="0" w:color="auto"/>
            </w:tcBorders>
            <w:shd w:val="clear" w:color="auto" w:fill="auto"/>
            <w:noWrap/>
            <w:vAlign w:val="bottom"/>
            <w:hideMark/>
          </w:tcPr>
          <w:p w14:paraId="0AAF529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405,215 </w:t>
            </w:r>
          </w:p>
        </w:tc>
        <w:tc>
          <w:tcPr>
            <w:tcW w:w="275" w:type="pct"/>
            <w:tcBorders>
              <w:top w:val="nil"/>
              <w:left w:val="nil"/>
              <w:bottom w:val="single" w:sz="4" w:space="0" w:color="auto"/>
              <w:right w:val="single" w:sz="4" w:space="0" w:color="auto"/>
            </w:tcBorders>
            <w:shd w:val="clear" w:color="auto" w:fill="auto"/>
            <w:noWrap/>
            <w:vAlign w:val="bottom"/>
            <w:hideMark/>
          </w:tcPr>
          <w:p w14:paraId="02FF910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430,090 </w:t>
            </w:r>
          </w:p>
        </w:tc>
        <w:tc>
          <w:tcPr>
            <w:tcW w:w="275" w:type="pct"/>
            <w:tcBorders>
              <w:top w:val="nil"/>
              <w:left w:val="nil"/>
              <w:bottom w:val="single" w:sz="4" w:space="0" w:color="auto"/>
              <w:right w:val="single" w:sz="4" w:space="0" w:color="auto"/>
            </w:tcBorders>
            <w:shd w:val="clear" w:color="000000" w:fill="D9D9D9"/>
            <w:noWrap/>
            <w:vAlign w:val="bottom"/>
            <w:hideMark/>
          </w:tcPr>
          <w:p w14:paraId="216B287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-24,875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6FC00D3"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-5.8%</w:t>
            </w:r>
          </w:p>
        </w:tc>
      </w:tr>
      <w:tr w:rsidR="0013387A" w:rsidRPr="0013387A" w14:paraId="136AD034"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B411377"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La Trobe University</w:t>
            </w:r>
          </w:p>
        </w:tc>
        <w:tc>
          <w:tcPr>
            <w:tcW w:w="338" w:type="pct"/>
            <w:tcBorders>
              <w:top w:val="nil"/>
              <w:left w:val="nil"/>
              <w:bottom w:val="single" w:sz="4" w:space="0" w:color="auto"/>
              <w:right w:val="single" w:sz="4" w:space="0" w:color="auto"/>
            </w:tcBorders>
            <w:shd w:val="clear" w:color="auto" w:fill="auto"/>
            <w:noWrap/>
            <w:vAlign w:val="bottom"/>
            <w:hideMark/>
          </w:tcPr>
          <w:p w14:paraId="4A94889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833,937 </w:t>
            </w:r>
          </w:p>
        </w:tc>
        <w:tc>
          <w:tcPr>
            <w:tcW w:w="338" w:type="pct"/>
            <w:tcBorders>
              <w:top w:val="nil"/>
              <w:left w:val="nil"/>
              <w:bottom w:val="single" w:sz="4" w:space="0" w:color="auto"/>
              <w:right w:val="single" w:sz="4" w:space="0" w:color="auto"/>
            </w:tcBorders>
            <w:shd w:val="clear" w:color="auto" w:fill="auto"/>
            <w:noWrap/>
            <w:vAlign w:val="bottom"/>
            <w:hideMark/>
          </w:tcPr>
          <w:p w14:paraId="3F48997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843,957 </w:t>
            </w:r>
          </w:p>
        </w:tc>
        <w:tc>
          <w:tcPr>
            <w:tcW w:w="338" w:type="pct"/>
            <w:tcBorders>
              <w:top w:val="nil"/>
              <w:left w:val="nil"/>
              <w:bottom w:val="single" w:sz="4" w:space="0" w:color="auto"/>
              <w:right w:val="single" w:sz="4" w:space="0" w:color="auto"/>
            </w:tcBorders>
            <w:shd w:val="clear" w:color="000000" w:fill="D9D9D9"/>
            <w:noWrap/>
            <w:vAlign w:val="bottom"/>
            <w:hideMark/>
          </w:tcPr>
          <w:p w14:paraId="5F3536B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-10,020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7FD575"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-1.2%</w:t>
            </w:r>
          </w:p>
        </w:tc>
        <w:tc>
          <w:tcPr>
            <w:tcW w:w="320" w:type="pct"/>
            <w:tcBorders>
              <w:top w:val="nil"/>
              <w:left w:val="nil"/>
              <w:bottom w:val="single" w:sz="4" w:space="0" w:color="auto"/>
              <w:right w:val="single" w:sz="4" w:space="0" w:color="auto"/>
            </w:tcBorders>
            <w:shd w:val="clear" w:color="auto" w:fill="auto"/>
            <w:noWrap/>
            <w:vAlign w:val="bottom"/>
            <w:hideMark/>
          </w:tcPr>
          <w:p w14:paraId="1E2CA2F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451,243 </w:t>
            </w:r>
          </w:p>
        </w:tc>
        <w:tc>
          <w:tcPr>
            <w:tcW w:w="320" w:type="pct"/>
            <w:tcBorders>
              <w:top w:val="nil"/>
              <w:left w:val="nil"/>
              <w:bottom w:val="single" w:sz="4" w:space="0" w:color="auto"/>
              <w:right w:val="single" w:sz="4" w:space="0" w:color="auto"/>
            </w:tcBorders>
            <w:shd w:val="clear" w:color="auto" w:fill="auto"/>
            <w:noWrap/>
            <w:vAlign w:val="bottom"/>
            <w:hideMark/>
          </w:tcPr>
          <w:p w14:paraId="3175108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453,222 </w:t>
            </w:r>
          </w:p>
        </w:tc>
        <w:tc>
          <w:tcPr>
            <w:tcW w:w="320" w:type="pct"/>
            <w:tcBorders>
              <w:top w:val="nil"/>
              <w:left w:val="nil"/>
              <w:bottom w:val="single" w:sz="4" w:space="0" w:color="auto"/>
              <w:right w:val="single" w:sz="4" w:space="0" w:color="auto"/>
            </w:tcBorders>
            <w:shd w:val="clear" w:color="000000" w:fill="D9D9D9"/>
            <w:noWrap/>
            <w:vAlign w:val="bottom"/>
            <w:hideMark/>
          </w:tcPr>
          <w:p w14:paraId="7307343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-1,979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66A74B9"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-0.4%</w:t>
            </w:r>
          </w:p>
        </w:tc>
        <w:tc>
          <w:tcPr>
            <w:tcW w:w="275" w:type="pct"/>
            <w:tcBorders>
              <w:top w:val="nil"/>
              <w:left w:val="nil"/>
              <w:bottom w:val="single" w:sz="4" w:space="0" w:color="auto"/>
              <w:right w:val="single" w:sz="4" w:space="0" w:color="auto"/>
            </w:tcBorders>
            <w:shd w:val="clear" w:color="auto" w:fill="auto"/>
            <w:noWrap/>
            <w:vAlign w:val="bottom"/>
            <w:hideMark/>
          </w:tcPr>
          <w:p w14:paraId="6D0CC22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382,694 </w:t>
            </w:r>
          </w:p>
        </w:tc>
        <w:tc>
          <w:tcPr>
            <w:tcW w:w="275" w:type="pct"/>
            <w:tcBorders>
              <w:top w:val="nil"/>
              <w:left w:val="nil"/>
              <w:bottom w:val="single" w:sz="4" w:space="0" w:color="auto"/>
              <w:right w:val="single" w:sz="4" w:space="0" w:color="auto"/>
            </w:tcBorders>
            <w:shd w:val="clear" w:color="auto" w:fill="auto"/>
            <w:noWrap/>
            <w:vAlign w:val="bottom"/>
            <w:hideMark/>
          </w:tcPr>
          <w:p w14:paraId="1D8085F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390,735 </w:t>
            </w:r>
          </w:p>
        </w:tc>
        <w:tc>
          <w:tcPr>
            <w:tcW w:w="275" w:type="pct"/>
            <w:tcBorders>
              <w:top w:val="nil"/>
              <w:left w:val="nil"/>
              <w:bottom w:val="single" w:sz="4" w:space="0" w:color="auto"/>
              <w:right w:val="single" w:sz="4" w:space="0" w:color="auto"/>
            </w:tcBorders>
            <w:shd w:val="clear" w:color="000000" w:fill="D9D9D9"/>
            <w:noWrap/>
            <w:vAlign w:val="bottom"/>
            <w:hideMark/>
          </w:tcPr>
          <w:p w14:paraId="66A0390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-8,041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BB9D69B"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-2.1%</w:t>
            </w:r>
          </w:p>
        </w:tc>
      </w:tr>
      <w:tr w:rsidR="0013387A" w:rsidRPr="0013387A" w14:paraId="50B44B11"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03C210D8"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The University of Newcastle</w:t>
            </w:r>
          </w:p>
        </w:tc>
        <w:tc>
          <w:tcPr>
            <w:tcW w:w="338" w:type="pct"/>
            <w:tcBorders>
              <w:top w:val="nil"/>
              <w:left w:val="nil"/>
              <w:bottom w:val="single" w:sz="4" w:space="0" w:color="auto"/>
              <w:right w:val="single" w:sz="4" w:space="0" w:color="auto"/>
            </w:tcBorders>
            <w:shd w:val="clear" w:color="auto" w:fill="auto"/>
            <w:noWrap/>
            <w:vAlign w:val="bottom"/>
            <w:hideMark/>
          </w:tcPr>
          <w:p w14:paraId="470CD98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789,063 </w:t>
            </w:r>
          </w:p>
        </w:tc>
        <w:tc>
          <w:tcPr>
            <w:tcW w:w="338" w:type="pct"/>
            <w:tcBorders>
              <w:top w:val="nil"/>
              <w:left w:val="nil"/>
              <w:bottom w:val="single" w:sz="4" w:space="0" w:color="auto"/>
              <w:right w:val="single" w:sz="4" w:space="0" w:color="auto"/>
            </w:tcBorders>
            <w:shd w:val="clear" w:color="auto" w:fill="auto"/>
            <w:noWrap/>
            <w:vAlign w:val="bottom"/>
            <w:hideMark/>
          </w:tcPr>
          <w:p w14:paraId="5302E11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768,968 </w:t>
            </w:r>
          </w:p>
        </w:tc>
        <w:tc>
          <w:tcPr>
            <w:tcW w:w="338" w:type="pct"/>
            <w:tcBorders>
              <w:top w:val="nil"/>
              <w:left w:val="nil"/>
              <w:bottom w:val="single" w:sz="4" w:space="0" w:color="auto"/>
              <w:right w:val="single" w:sz="4" w:space="0" w:color="auto"/>
            </w:tcBorders>
            <w:shd w:val="clear" w:color="000000" w:fill="D9D9D9"/>
            <w:noWrap/>
            <w:vAlign w:val="bottom"/>
            <w:hideMark/>
          </w:tcPr>
          <w:p w14:paraId="30814A2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20,095 </w:t>
            </w:r>
          </w:p>
        </w:tc>
        <w:tc>
          <w:tcPr>
            <w:tcW w:w="338" w:type="pct"/>
            <w:tcBorders>
              <w:top w:val="nil"/>
              <w:left w:val="nil"/>
              <w:bottom w:val="single" w:sz="4" w:space="0" w:color="auto"/>
              <w:right w:val="single" w:sz="4" w:space="0" w:color="auto"/>
            </w:tcBorders>
            <w:shd w:val="clear" w:color="000000" w:fill="D9D9D9"/>
            <w:noWrap/>
            <w:vAlign w:val="bottom"/>
            <w:hideMark/>
          </w:tcPr>
          <w:p w14:paraId="6B059E9D"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2.6%</w:t>
            </w:r>
          </w:p>
        </w:tc>
        <w:tc>
          <w:tcPr>
            <w:tcW w:w="320" w:type="pct"/>
            <w:tcBorders>
              <w:top w:val="nil"/>
              <w:left w:val="nil"/>
              <w:bottom w:val="single" w:sz="4" w:space="0" w:color="auto"/>
              <w:right w:val="single" w:sz="4" w:space="0" w:color="auto"/>
            </w:tcBorders>
            <w:shd w:val="clear" w:color="auto" w:fill="auto"/>
            <w:noWrap/>
            <w:vAlign w:val="bottom"/>
            <w:hideMark/>
          </w:tcPr>
          <w:p w14:paraId="51A2E9F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472,907 </w:t>
            </w:r>
          </w:p>
        </w:tc>
        <w:tc>
          <w:tcPr>
            <w:tcW w:w="320" w:type="pct"/>
            <w:tcBorders>
              <w:top w:val="nil"/>
              <w:left w:val="nil"/>
              <w:bottom w:val="single" w:sz="4" w:space="0" w:color="auto"/>
              <w:right w:val="single" w:sz="4" w:space="0" w:color="auto"/>
            </w:tcBorders>
            <w:shd w:val="clear" w:color="auto" w:fill="auto"/>
            <w:noWrap/>
            <w:vAlign w:val="bottom"/>
            <w:hideMark/>
          </w:tcPr>
          <w:p w14:paraId="71F5949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436,968 </w:t>
            </w:r>
          </w:p>
        </w:tc>
        <w:tc>
          <w:tcPr>
            <w:tcW w:w="320" w:type="pct"/>
            <w:tcBorders>
              <w:top w:val="nil"/>
              <w:left w:val="nil"/>
              <w:bottom w:val="single" w:sz="4" w:space="0" w:color="auto"/>
              <w:right w:val="single" w:sz="4" w:space="0" w:color="auto"/>
            </w:tcBorders>
            <w:shd w:val="clear" w:color="000000" w:fill="D9D9D9"/>
            <w:noWrap/>
            <w:vAlign w:val="bottom"/>
            <w:hideMark/>
          </w:tcPr>
          <w:p w14:paraId="7552877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35,939 </w:t>
            </w:r>
          </w:p>
        </w:tc>
        <w:tc>
          <w:tcPr>
            <w:tcW w:w="320" w:type="pct"/>
            <w:tcBorders>
              <w:top w:val="nil"/>
              <w:left w:val="nil"/>
              <w:bottom w:val="single" w:sz="4" w:space="0" w:color="auto"/>
              <w:right w:val="single" w:sz="4" w:space="0" w:color="auto"/>
            </w:tcBorders>
            <w:shd w:val="clear" w:color="000000" w:fill="D9D9D9"/>
            <w:noWrap/>
            <w:vAlign w:val="bottom"/>
            <w:hideMark/>
          </w:tcPr>
          <w:p w14:paraId="7A2326E8"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8.2%</w:t>
            </w:r>
          </w:p>
        </w:tc>
        <w:tc>
          <w:tcPr>
            <w:tcW w:w="275" w:type="pct"/>
            <w:tcBorders>
              <w:top w:val="nil"/>
              <w:left w:val="nil"/>
              <w:bottom w:val="single" w:sz="4" w:space="0" w:color="auto"/>
              <w:right w:val="single" w:sz="4" w:space="0" w:color="auto"/>
            </w:tcBorders>
            <w:shd w:val="clear" w:color="auto" w:fill="auto"/>
            <w:noWrap/>
            <w:vAlign w:val="bottom"/>
            <w:hideMark/>
          </w:tcPr>
          <w:p w14:paraId="3198944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316,156 </w:t>
            </w:r>
          </w:p>
        </w:tc>
        <w:tc>
          <w:tcPr>
            <w:tcW w:w="275" w:type="pct"/>
            <w:tcBorders>
              <w:top w:val="nil"/>
              <w:left w:val="nil"/>
              <w:bottom w:val="single" w:sz="4" w:space="0" w:color="auto"/>
              <w:right w:val="single" w:sz="4" w:space="0" w:color="auto"/>
            </w:tcBorders>
            <w:shd w:val="clear" w:color="auto" w:fill="auto"/>
            <w:noWrap/>
            <w:vAlign w:val="bottom"/>
            <w:hideMark/>
          </w:tcPr>
          <w:p w14:paraId="457D6DB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332,000 </w:t>
            </w:r>
          </w:p>
        </w:tc>
        <w:tc>
          <w:tcPr>
            <w:tcW w:w="275" w:type="pct"/>
            <w:tcBorders>
              <w:top w:val="nil"/>
              <w:left w:val="nil"/>
              <w:bottom w:val="single" w:sz="4" w:space="0" w:color="auto"/>
              <w:right w:val="single" w:sz="4" w:space="0" w:color="auto"/>
            </w:tcBorders>
            <w:shd w:val="clear" w:color="000000" w:fill="D9D9D9"/>
            <w:noWrap/>
            <w:vAlign w:val="bottom"/>
            <w:hideMark/>
          </w:tcPr>
          <w:p w14:paraId="77E5E97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-15,844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3AE6C7"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-4.8%</w:t>
            </w:r>
          </w:p>
        </w:tc>
      </w:tr>
      <w:tr w:rsidR="0013387A" w:rsidRPr="0013387A" w14:paraId="08CC7038"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FB09ECC"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Swinburne University of Technology</w:t>
            </w:r>
          </w:p>
        </w:tc>
        <w:tc>
          <w:tcPr>
            <w:tcW w:w="338" w:type="pct"/>
            <w:tcBorders>
              <w:top w:val="nil"/>
              <w:left w:val="nil"/>
              <w:bottom w:val="single" w:sz="4" w:space="0" w:color="auto"/>
              <w:right w:val="single" w:sz="4" w:space="0" w:color="auto"/>
            </w:tcBorders>
            <w:shd w:val="clear" w:color="auto" w:fill="auto"/>
            <w:noWrap/>
            <w:vAlign w:val="bottom"/>
            <w:hideMark/>
          </w:tcPr>
          <w:p w14:paraId="25C8C6DC" w14:textId="6DCC8B5F"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780,8</w:t>
            </w:r>
            <w:r w:rsidR="00046A7A">
              <w:rPr>
                <w:rFonts w:eastAsia="Times New Roman" w:cstheme="minorHAnsi"/>
                <w:color w:val="000000"/>
                <w:sz w:val="16"/>
                <w:szCs w:val="16"/>
                <w:lang w:eastAsia="en-AU"/>
              </w:rPr>
              <w:t>20</w:t>
            </w:r>
            <w:r w:rsidRPr="0013387A">
              <w:rPr>
                <w:rFonts w:eastAsia="Times New Roman" w:cstheme="minorHAnsi"/>
                <w:color w:val="000000"/>
                <w:sz w:val="16"/>
                <w:szCs w:val="16"/>
                <w:lang w:eastAsia="en-AU"/>
              </w:rPr>
              <w:t xml:space="preserve"> </w:t>
            </w:r>
          </w:p>
        </w:tc>
        <w:tc>
          <w:tcPr>
            <w:tcW w:w="338" w:type="pct"/>
            <w:tcBorders>
              <w:top w:val="nil"/>
              <w:left w:val="nil"/>
              <w:bottom w:val="single" w:sz="4" w:space="0" w:color="auto"/>
              <w:right w:val="single" w:sz="4" w:space="0" w:color="auto"/>
            </w:tcBorders>
            <w:shd w:val="clear" w:color="auto" w:fill="auto"/>
            <w:noWrap/>
            <w:vAlign w:val="bottom"/>
            <w:hideMark/>
          </w:tcPr>
          <w:p w14:paraId="2281BC1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738,905 </w:t>
            </w:r>
          </w:p>
        </w:tc>
        <w:tc>
          <w:tcPr>
            <w:tcW w:w="338" w:type="pct"/>
            <w:tcBorders>
              <w:top w:val="nil"/>
              <w:left w:val="nil"/>
              <w:bottom w:val="single" w:sz="4" w:space="0" w:color="auto"/>
              <w:right w:val="single" w:sz="4" w:space="0" w:color="auto"/>
            </w:tcBorders>
            <w:shd w:val="clear" w:color="000000" w:fill="D9D9D9"/>
            <w:noWrap/>
            <w:vAlign w:val="bottom"/>
            <w:hideMark/>
          </w:tcPr>
          <w:p w14:paraId="661993D9" w14:textId="686198F0"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41,91</w:t>
            </w:r>
            <w:r w:rsidR="00046A7A">
              <w:rPr>
                <w:rFonts w:eastAsia="Times New Roman" w:cstheme="minorHAnsi"/>
                <w:color w:val="000000"/>
                <w:sz w:val="16"/>
                <w:szCs w:val="16"/>
                <w:lang w:eastAsia="en-AU"/>
              </w:rPr>
              <w:t>5</w:t>
            </w:r>
            <w:r w:rsidRPr="0013387A">
              <w:rPr>
                <w:rFonts w:eastAsia="Times New Roman" w:cstheme="minorHAnsi"/>
                <w:color w:val="000000"/>
                <w:sz w:val="16"/>
                <w:szCs w:val="16"/>
                <w:lang w:eastAsia="en-AU"/>
              </w:rPr>
              <w:t xml:space="preserve"> </w:t>
            </w:r>
          </w:p>
        </w:tc>
        <w:tc>
          <w:tcPr>
            <w:tcW w:w="338" w:type="pct"/>
            <w:tcBorders>
              <w:top w:val="nil"/>
              <w:left w:val="nil"/>
              <w:bottom w:val="single" w:sz="4" w:space="0" w:color="auto"/>
              <w:right w:val="single" w:sz="4" w:space="0" w:color="auto"/>
            </w:tcBorders>
            <w:shd w:val="clear" w:color="000000" w:fill="D9D9D9"/>
            <w:noWrap/>
            <w:vAlign w:val="bottom"/>
            <w:hideMark/>
          </w:tcPr>
          <w:p w14:paraId="7E49CF55"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5.7%</w:t>
            </w:r>
          </w:p>
        </w:tc>
        <w:tc>
          <w:tcPr>
            <w:tcW w:w="320" w:type="pct"/>
            <w:tcBorders>
              <w:top w:val="nil"/>
              <w:left w:val="nil"/>
              <w:bottom w:val="single" w:sz="4" w:space="0" w:color="auto"/>
              <w:right w:val="single" w:sz="4" w:space="0" w:color="auto"/>
            </w:tcBorders>
            <w:shd w:val="clear" w:color="auto" w:fill="auto"/>
            <w:noWrap/>
            <w:vAlign w:val="bottom"/>
            <w:hideMark/>
          </w:tcPr>
          <w:p w14:paraId="70A3F87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406,394 </w:t>
            </w:r>
          </w:p>
        </w:tc>
        <w:tc>
          <w:tcPr>
            <w:tcW w:w="320" w:type="pct"/>
            <w:tcBorders>
              <w:top w:val="nil"/>
              <w:left w:val="nil"/>
              <w:bottom w:val="single" w:sz="4" w:space="0" w:color="auto"/>
              <w:right w:val="single" w:sz="4" w:space="0" w:color="auto"/>
            </w:tcBorders>
            <w:shd w:val="clear" w:color="auto" w:fill="auto"/>
            <w:noWrap/>
            <w:vAlign w:val="bottom"/>
            <w:hideMark/>
          </w:tcPr>
          <w:p w14:paraId="5D8018E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390,201 </w:t>
            </w:r>
          </w:p>
        </w:tc>
        <w:tc>
          <w:tcPr>
            <w:tcW w:w="320" w:type="pct"/>
            <w:tcBorders>
              <w:top w:val="nil"/>
              <w:left w:val="nil"/>
              <w:bottom w:val="single" w:sz="4" w:space="0" w:color="auto"/>
              <w:right w:val="single" w:sz="4" w:space="0" w:color="auto"/>
            </w:tcBorders>
            <w:shd w:val="clear" w:color="000000" w:fill="D9D9D9"/>
            <w:noWrap/>
            <w:vAlign w:val="bottom"/>
            <w:hideMark/>
          </w:tcPr>
          <w:p w14:paraId="1647C21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16,193 </w:t>
            </w:r>
          </w:p>
        </w:tc>
        <w:tc>
          <w:tcPr>
            <w:tcW w:w="320" w:type="pct"/>
            <w:tcBorders>
              <w:top w:val="nil"/>
              <w:left w:val="nil"/>
              <w:bottom w:val="single" w:sz="4" w:space="0" w:color="auto"/>
              <w:right w:val="single" w:sz="4" w:space="0" w:color="auto"/>
            </w:tcBorders>
            <w:shd w:val="clear" w:color="000000" w:fill="D9D9D9"/>
            <w:noWrap/>
            <w:vAlign w:val="bottom"/>
            <w:hideMark/>
          </w:tcPr>
          <w:p w14:paraId="59ECB47B"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4.1%</w:t>
            </w:r>
          </w:p>
        </w:tc>
        <w:tc>
          <w:tcPr>
            <w:tcW w:w="275" w:type="pct"/>
            <w:tcBorders>
              <w:top w:val="nil"/>
              <w:left w:val="nil"/>
              <w:bottom w:val="single" w:sz="4" w:space="0" w:color="auto"/>
              <w:right w:val="single" w:sz="4" w:space="0" w:color="auto"/>
            </w:tcBorders>
            <w:shd w:val="clear" w:color="auto" w:fill="auto"/>
            <w:noWrap/>
            <w:vAlign w:val="bottom"/>
            <w:hideMark/>
          </w:tcPr>
          <w:p w14:paraId="68D4B643" w14:textId="27686388"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374,42</w:t>
            </w:r>
            <w:r w:rsidR="00046A7A">
              <w:rPr>
                <w:rFonts w:eastAsia="Times New Roman" w:cstheme="minorHAnsi"/>
                <w:color w:val="000000"/>
                <w:sz w:val="16"/>
                <w:szCs w:val="16"/>
                <w:lang w:eastAsia="en-AU"/>
              </w:rPr>
              <w:t>6</w:t>
            </w:r>
            <w:r w:rsidRPr="0013387A">
              <w:rPr>
                <w:rFonts w:eastAsia="Times New Roman" w:cstheme="minorHAnsi"/>
                <w:color w:val="000000"/>
                <w:sz w:val="16"/>
                <w:szCs w:val="16"/>
                <w:lang w:eastAsia="en-AU"/>
              </w:rPr>
              <w:t xml:space="preserve"> </w:t>
            </w:r>
          </w:p>
        </w:tc>
        <w:tc>
          <w:tcPr>
            <w:tcW w:w="275" w:type="pct"/>
            <w:tcBorders>
              <w:top w:val="nil"/>
              <w:left w:val="nil"/>
              <w:bottom w:val="single" w:sz="4" w:space="0" w:color="auto"/>
              <w:right w:val="single" w:sz="4" w:space="0" w:color="auto"/>
            </w:tcBorders>
            <w:shd w:val="clear" w:color="auto" w:fill="auto"/>
            <w:noWrap/>
            <w:vAlign w:val="bottom"/>
            <w:hideMark/>
          </w:tcPr>
          <w:p w14:paraId="4361118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348,704 </w:t>
            </w:r>
          </w:p>
        </w:tc>
        <w:tc>
          <w:tcPr>
            <w:tcW w:w="275" w:type="pct"/>
            <w:tcBorders>
              <w:top w:val="nil"/>
              <w:left w:val="nil"/>
              <w:bottom w:val="single" w:sz="4" w:space="0" w:color="auto"/>
              <w:right w:val="single" w:sz="4" w:space="0" w:color="auto"/>
            </w:tcBorders>
            <w:shd w:val="clear" w:color="000000" w:fill="D9D9D9"/>
            <w:noWrap/>
            <w:vAlign w:val="bottom"/>
            <w:hideMark/>
          </w:tcPr>
          <w:p w14:paraId="7DEAB5DE" w14:textId="3D03141D"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25,7</w:t>
            </w:r>
            <w:r w:rsidR="00046A7A">
              <w:rPr>
                <w:rFonts w:eastAsia="Times New Roman" w:cstheme="minorHAnsi"/>
                <w:color w:val="000000"/>
                <w:sz w:val="16"/>
                <w:szCs w:val="16"/>
                <w:lang w:eastAsia="en-AU"/>
              </w:rPr>
              <w:t>22</w:t>
            </w:r>
            <w:r w:rsidRPr="0013387A">
              <w:rPr>
                <w:rFonts w:eastAsia="Times New Roman" w:cstheme="minorHAnsi"/>
                <w:color w:val="000000"/>
                <w:sz w:val="16"/>
                <w:szCs w:val="16"/>
                <w:lang w:eastAsia="en-AU"/>
              </w:rPr>
              <w:t xml:space="preserve"> </w:t>
            </w:r>
          </w:p>
        </w:tc>
        <w:tc>
          <w:tcPr>
            <w:tcW w:w="275" w:type="pct"/>
            <w:tcBorders>
              <w:top w:val="nil"/>
              <w:left w:val="nil"/>
              <w:bottom w:val="single" w:sz="4" w:space="0" w:color="auto"/>
              <w:right w:val="single" w:sz="4" w:space="0" w:color="auto"/>
            </w:tcBorders>
            <w:shd w:val="clear" w:color="000000" w:fill="D9D9D9"/>
            <w:noWrap/>
            <w:vAlign w:val="bottom"/>
            <w:hideMark/>
          </w:tcPr>
          <w:p w14:paraId="30500494"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7.4%</w:t>
            </w:r>
          </w:p>
        </w:tc>
      </w:tr>
      <w:tr w:rsidR="0013387A" w:rsidRPr="0013387A" w14:paraId="670276C7"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5F9CEA4"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University of Tasmania</w:t>
            </w:r>
          </w:p>
        </w:tc>
        <w:tc>
          <w:tcPr>
            <w:tcW w:w="338" w:type="pct"/>
            <w:tcBorders>
              <w:top w:val="nil"/>
              <w:left w:val="nil"/>
              <w:bottom w:val="single" w:sz="4" w:space="0" w:color="auto"/>
              <w:right w:val="single" w:sz="4" w:space="0" w:color="auto"/>
            </w:tcBorders>
            <w:shd w:val="clear" w:color="auto" w:fill="auto"/>
            <w:noWrap/>
            <w:vAlign w:val="bottom"/>
            <w:hideMark/>
          </w:tcPr>
          <w:p w14:paraId="7B79293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695,225 </w:t>
            </w:r>
          </w:p>
        </w:tc>
        <w:tc>
          <w:tcPr>
            <w:tcW w:w="338" w:type="pct"/>
            <w:tcBorders>
              <w:top w:val="nil"/>
              <w:left w:val="nil"/>
              <w:bottom w:val="single" w:sz="4" w:space="0" w:color="auto"/>
              <w:right w:val="single" w:sz="4" w:space="0" w:color="auto"/>
            </w:tcBorders>
            <w:shd w:val="clear" w:color="auto" w:fill="auto"/>
            <w:noWrap/>
            <w:vAlign w:val="bottom"/>
            <w:hideMark/>
          </w:tcPr>
          <w:p w14:paraId="722E1EC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696,959 </w:t>
            </w:r>
          </w:p>
        </w:tc>
        <w:tc>
          <w:tcPr>
            <w:tcW w:w="338" w:type="pct"/>
            <w:tcBorders>
              <w:top w:val="nil"/>
              <w:left w:val="nil"/>
              <w:bottom w:val="single" w:sz="4" w:space="0" w:color="auto"/>
              <w:right w:val="single" w:sz="4" w:space="0" w:color="auto"/>
            </w:tcBorders>
            <w:shd w:val="clear" w:color="000000" w:fill="D9D9D9"/>
            <w:noWrap/>
            <w:vAlign w:val="bottom"/>
            <w:hideMark/>
          </w:tcPr>
          <w:p w14:paraId="6E60B52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-1,734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127DCD"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-0.2%</w:t>
            </w:r>
          </w:p>
        </w:tc>
        <w:tc>
          <w:tcPr>
            <w:tcW w:w="320" w:type="pct"/>
            <w:tcBorders>
              <w:top w:val="nil"/>
              <w:left w:val="nil"/>
              <w:bottom w:val="single" w:sz="4" w:space="0" w:color="auto"/>
              <w:right w:val="single" w:sz="4" w:space="0" w:color="auto"/>
            </w:tcBorders>
            <w:shd w:val="clear" w:color="auto" w:fill="auto"/>
            <w:noWrap/>
            <w:vAlign w:val="bottom"/>
            <w:hideMark/>
          </w:tcPr>
          <w:p w14:paraId="5370D2D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420,177 </w:t>
            </w:r>
          </w:p>
        </w:tc>
        <w:tc>
          <w:tcPr>
            <w:tcW w:w="320" w:type="pct"/>
            <w:tcBorders>
              <w:top w:val="nil"/>
              <w:left w:val="nil"/>
              <w:bottom w:val="single" w:sz="4" w:space="0" w:color="auto"/>
              <w:right w:val="single" w:sz="4" w:space="0" w:color="auto"/>
            </w:tcBorders>
            <w:shd w:val="clear" w:color="auto" w:fill="auto"/>
            <w:noWrap/>
            <w:vAlign w:val="bottom"/>
            <w:hideMark/>
          </w:tcPr>
          <w:p w14:paraId="2A55C39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405,813 </w:t>
            </w:r>
          </w:p>
        </w:tc>
        <w:tc>
          <w:tcPr>
            <w:tcW w:w="320" w:type="pct"/>
            <w:tcBorders>
              <w:top w:val="nil"/>
              <w:left w:val="nil"/>
              <w:bottom w:val="single" w:sz="4" w:space="0" w:color="auto"/>
              <w:right w:val="single" w:sz="4" w:space="0" w:color="auto"/>
            </w:tcBorders>
            <w:shd w:val="clear" w:color="000000" w:fill="D9D9D9"/>
            <w:noWrap/>
            <w:vAlign w:val="bottom"/>
            <w:hideMark/>
          </w:tcPr>
          <w:p w14:paraId="373C91B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14,364 </w:t>
            </w:r>
          </w:p>
        </w:tc>
        <w:tc>
          <w:tcPr>
            <w:tcW w:w="320" w:type="pct"/>
            <w:tcBorders>
              <w:top w:val="nil"/>
              <w:left w:val="nil"/>
              <w:bottom w:val="single" w:sz="4" w:space="0" w:color="auto"/>
              <w:right w:val="single" w:sz="4" w:space="0" w:color="auto"/>
            </w:tcBorders>
            <w:shd w:val="clear" w:color="000000" w:fill="D9D9D9"/>
            <w:noWrap/>
            <w:vAlign w:val="bottom"/>
            <w:hideMark/>
          </w:tcPr>
          <w:p w14:paraId="29AF76AC"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3.5%</w:t>
            </w:r>
          </w:p>
        </w:tc>
        <w:tc>
          <w:tcPr>
            <w:tcW w:w="275" w:type="pct"/>
            <w:tcBorders>
              <w:top w:val="nil"/>
              <w:left w:val="nil"/>
              <w:bottom w:val="single" w:sz="4" w:space="0" w:color="auto"/>
              <w:right w:val="single" w:sz="4" w:space="0" w:color="auto"/>
            </w:tcBorders>
            <w:shd w:val="clear" w:color="auto" w:fill="auto"/>
            <w:noWrap/>
            <w:vAlign w:val="bottom"/>
            <w:hideMark/>
          </w:tcPr>
          <w:p w14:paraId="4B685FC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275,048 </w:t>
            </w:r>
          </w:p>
        </w:tc>
        <w:tc>
          <w:tcPr>
            <w:tcW w:w="275" w:type="pct"/>
            <w:tcBorders>
              <w:top w:val="nil"/>
              <w:left w:val="nil"/>
              <w:bottom w:val="single" w:sz="4" w:space="0" w:color="auto"/>
              <w:right w:val="single" w:sz="4" w:space="0" w:color="auto"/>
            </w:tcBorders>
            <w:shd w:val="clear" w:color="auto" w:fill="auto"/>
            <w:noWrap/>
            <w:vAlign w:val="bottom"/>
            <w:hideMark/>
          </w:tcPr>
          <w:p w14:paraId="7E2E3C9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291,146 </w:t>
            </w:r>
          </w:p>
        </w:tc>
        <w:tc>
          <w:tcPr>
            <w:tcW w:w="275" w:type="pct"/>
            <w:tcBorders>
              <w:top w:val="nil"/>
              <w:left w:val="nil"/>
              <w:bottom w:val="single" w:sz="4" w:space="0" w:color="auto"/>
              <w:right w:val="single" w:sz="4" w:space="0" w:color="auto"/>
            </w:tcBorders>
            <w:shd w:val="clear" w:color="000000" w:fill="D9D9D9"/>
            <w:noWrap/>
            <w:vAlign w:val="bottom"/>
            <w:hideMark/>
          </w:tcPr>
          <w:p w14:paraId="4ED73FA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-16,098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B1B892"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-5.5%</w:t>
            </w:r>
          </w:p>
        </w:tc>
      </w:tr>
      <w:tr w:rsidR="0013387A" w:rsidRPr="0013387A" w14:paraId="27B22F47"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6493A3E8"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University of South Australia</w:t>
            </w:r>
          </w:p>
        </w:tc>
        <w:tc>
          <w:tcPr>
            <w:tcW w:w="338" w:type="pct"/>
            <w:tcBorders>
              <w:top w:val="nil"/>
              <w:left w:val="nil"/>
              <w:bottom w:val="single" w:sz="4" w:space="0" w:color="auto"/>
              <w:right w:val="single" w:sz="4" w:space="0" w:color="auto"/>
            </w:tcBorders>
            <w:shd w:val="clear" w:color="auto" w:fill="auto"/>
            <w:noWrap/>
            <w:vAlign w:val="bottom"/>
            <w:hideMark/>
          </w:tcPr>
          <w:p w14:paraId="0F03DF8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674,952 </w:t>
            </w:r>
          </w:p>
        </w:tc>
        <w:tc>
          <w:tcPr>
            <w:tcW w:w="338" w:type="pct"/>
            <w:tcBorders>
              <w:top w:val="nil"/>
              <w:left w:val="nil"/>
              <w:bottom w:val="single" w:sz="4" w:space="0" w:color="auto"/>
              <w:right w:val="single" w:sz="4" w:space="0" w:color="auto"/>
            </w:tcBorders>
            <w:shd w:val="clear" w:color="auto" w:fill="auto"/>
            <w:noWrap/>
            <w:vAlign w:val="bottom"/>
            <w:hideMark/>
          </w:tcPr>
          <w:p w14:paraId="22A365F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663,479 </w:t>
            </w:r>
          </w:p>
        </w:tc>
        <w:tc>
          <w:tcPr>
            <w:tcW w:w="338" w:type="pct"/>
            <w:tcBorders>
              <w:top w:val="nil"/>
              <w:left w:val="nil"/>
              <w:bottom w:val="single" w:sz="4" w:space="0" w:color="auto"/>
              <w:right w:val="single" w:sz="4" w:space="0" w:color="auto"/>
            </w:tcBorders>
            <w:shd w:val="clear" w:color="000000" w:fill="D9D9D9"/>
            <w:noWrap/>
            <w:vAlign w:val="bottom"/>
            <w:hideMark/>
          </w:tcPr>
          <w:p w14:paraId="718B440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11,473 </w:t>
            </w:r>
          </w:p>
        </w:tc>
        <w:tc>
          <w:tcPr>
            <w:tcW w:w="338" w:type="pct"/>
            <w:tcBorders>
              <w:top w:val="nil"/>
              <w:left w:val="nil"/>
              <w:bottom w:val="single" w:sz="4" w:space="0" w:color="auto"/>
              <w:right w:val="single" w:sz="4" w:space="0" w:color="auto"/>
            </w:tcBorders>
            <w:shd w:val="clear" w:color="000000" w:fill="D9D9D9"/>
            <w:noWrap/>
            <w:vAlign w:val="bottom"/>
            <w:hideMark/>
          </w:tcPr>
          <w:p w14:paraId="06BD2965"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1.7%</w:t>
            </w:r>
          </w:p>
        </w:tc>
        <w:tc>
          <w:tcPr>
            <w:tcW w:w="320" w:type="pct"/>
            <w:tcBorders>
              <w:top w:val="nil"/>
              <w:left w:val="nil"/>
              <w:bottom w:val="single" w:sz="4" w:space="0" w:color="auto"/>
              <w:right w:val="single" w:sz="4" w:space="0" w:color="auto"/>
            </w:tcBorders>
            <w:shd w:val="clear" w:color="auto" w:fill="auto"/>
            <w:noWrap/>
            <w:vAlign w:val="bottom"/>
            <w:hideMark/>
          </w:tcPr>
          <w:p w14:paraId="21E9B66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432,898 </w:t>
            </w:r>
          </w:p>
        </w:tc>
        <w:tc>
          <w:tcPr>
            <w:tcW w:w="320" w:type="pct"/>
            <w:tcBorders>
              <w:top w:val="nil"/>
              <w:left w:val="nil"/>
              <w:bottom w:val="single" w:sz="4" w:space="0" w:color="auto"/>
              <w:right w:val="single" w:sz="4" w:space="0" w:color="auto"/>
            </w:tcBorders>
            <w:shd w:val="clear" w:color="auto" w:fill="auto"/>
            <w:noWrap/>
            <w:vAlign w:val="bottom"/>
            <w:hideMark/>
          </w:tcPr>
          <w:p w14:paraId="1E063A9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413,450 </w:t>
            </w:r>
          </w:p>
        </w:tc>
        <w:tc>
          <w:tcPr>
            <w:tcW w:w="320" w:type="pct"/>
            <w:tcBorders>
              <w:top w:val="nil"/>
              <w:left w:val="nil"/>
              <w:bottom w:val="single" w:sz="4" w:space="0" w:color="auto"/>
              <w:right w:val="single" w:sz="4" w:space="0" w:color="auto"/>
            </w:tcBorders>
            <w:shd w:val="clear" w:color="000000" w:fill="D9D9D9"/>
            <w:noWrap/>
            <w:vAlign w:val="bottom"/>
            <w:hideMark/>
          </w:tcPr>
          <w:p w14:paraId="7001C7A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19,448 </w:t>
            </w:r>
          </w:p>
        </w:tc>
        <w:tc>
          <w:tcPr>
            <w:tcW w:w="320" w:type="pct"/>
            <w:tcBorders>
              <w:top w:val="nil"/>
              <w:left w:val="nil"/>
              <w:bottom w:val="single" w:sz="4" w:space="0" w:color="auto"/>
              <w:right w:val="single" w:sz="4" w:space="0" w:color="auto"/>
            </w:tcBorders>
            <w:shd w:val="clear" w:color="000000" w:fill="D9D9D9"/>
            <w:noWrap/>
            <w:vAlign w:val="bottom"/>
            <w:hideMark/>
          </w:tcPr>
          <w:p w14:paraId="0F546E77"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4.7%</w:t>
            </w:r>
          </w:p>
        </w:tc>
        <w:tc>
          <w:tcPr>
            <w:tcW w:w="275" w:type="pct"/>
            <w:tcBorders>
              <w:top w:val="nil"/>
              <w:left w:val="nil"/>
              <w:bottom w:val="single" w:sz="4" w:space="0" w:color="auto"/>
              <w:right w:val="single" w:sz="4" w:space="0" w:color="auto"/>
            </w:tcBorders>
            <w:shd w:val="clear" w:color="auto" w:fill="auto"/>
            <w:noWrap/>
            <w:vAlign w:val="bottom"/>
            <w:hideMark/>
          </w:tcPr>
          <w:p w14:paraId="351E923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242,054 </w:t>
            </w:r>
          </w:p>
        </w:tc>
        <w:tc>
          <w:tcPr>
            <w:tcW w:w="275" w:type="pct"/>
            <w:tcBorders>
              <w:top w:val="nil"/>
              <w:left w:val="nil"/>
              <w:bottom w:val="single" w:sz="4" w:space="0" w:color="auto"/>
              <w:right w:val="single" w:sz="4" w:space="0" w:color="auto"/>
            </w:tcBorders>
            <w:shd w:val="clear" w:color="auto" w:fill="auto"/>
            <w:noWrap/>
            <w:vAlign w:val="bottom"/>
            <w:hideMark/>
          </w:tcPr>
          <w:p w14:paraId="70DB15C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250,029 </w:t>
            </w:r>
          </w:p>
        </w:tc>
        <w:tc>
          <w:tcPr>
            <w:tcW w:w="275" w:type="pct"/>
            <w:tcBorders>
              <w:top w:val="nil"/>
              <w:left w:val="nil"/>
              <w:bottom w:val="single" w:sz="4" w:space="0" w:color="auto"/>
              <w:right w:val="single" w:sz="4" w:space="0" w:color="auto"/>
            </w:tcBorders>
            <w:shd w:val="clear" w:color="000000" w:fill="D9D9D9"/>
            <w:noWrap/>
            <w:vAlign w:val="bottom"/>
            <w:hideMark/>
          </w:tcPr>
          <w:p w14:paraId="1FE0359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-7,975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7391ED"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-3.2%</w:t>
            </w:r>
          </w:p>
        </w:tc>
      </w:tr>
      <w:tr w:rsidR="0013387A" w:rsidRPr="0013387A" w14:paraId="34F09B46"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9CC8C22"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University of Wollongong</w:t>
            </w:r>
          </w:p>
        </w:tc>
        <w:tc>
          <w:tcPr>
            <w:tcW w:w="338" w:type="pct"/>
            <w:tcBorders>
              <w:top w:val="nil"/>
              <w:left w:val="nil"/>
              <w:bottom w:val="single" w:sz="4" w:space="0" w:color="auto"/>
              <w:right w:val="single" w:sz="4" w:space="0" w:color="auto"/>
            </w:tcBorders>
            <w:shd w:val="clear" w:color="auto" w:fill="auto"/>
            <w:noWrap/>
            <w:vAlign w:val="bottom"/>
            <w:hideMark/>
          </w:tcPr>
          <w:p w14:paraId="3728F04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673,123 </w:t>
            </w:r>
          </w:p>
        </w:tc>
        <w:tc>
          <w:tcPr>
            <w:tcW w:w="338" w:type="pct"/>
            <w:tcBorders>
              <w:top w:val="nil"/>
              <w:left w:val="nil"/>
              <w:bottom w:val="single" w:sz="4" w:space="0" w:color="auto"/>
              <w:right w:val="single" w:sz="4" w:space="0" w:color="auto"/>
            </w:tcBorders>
            <w:shd w:val="clear" w:color="auto" w:fill="auto"/>
            <w:noWrap/>
            <w:vAlign w:val="bottom"/>
            <w:hideMark/>
          </w:tcPr>
          <w:p w14:paraId="3896E4C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673,215 </w:t>
            </w:r>
          </w:p>
        </w:tc>
        <w:tc>
          <w:tcPr>
            <w:tcW w:w="338" w:type="pct"/>
            <w:tcBorders>
              <w:top w:val="nil"/>
              <w:left w:val="nil"/>
              <w:bottom w:val="single" w:sz="4" w:space="0" w:color="auto"/>
              <w:right w:val="single" w:sz="4" w:space="0" w:color="auto"/>
            </w:tcBorders>
            <w:shd w:val="clear" w:color="000000" w:fill="D9D9D9"/>
            <w:noWrap/>
            <w:vAlign w:val="bottom"/>
            <w:hideMark/>
          </w:tcPr>
          <w:p w14:paraId="0FD3925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-92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2A1EA99"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0.0%</w:t>
            </w:r>
          </w:p>
        </w:tc>
        <w:tc>
          <w:tcPr>
            <w:tcW w:w="320" w:type="pct"/>
            <w:tcBorders>
              <w:top w:val="nil"/>
              <w:left w:val="nil"/>
              <w:bottom w:val="single" w:sz="4" w:space="0" w:color="auto"/>
              <w:right w:val="single" w:sz="4" w:space="0" w:color="auto"/>
            </w:tcBorders>
            <w:shd w:val="clear" w:color="auto" w:fill="auto"/>
            <w:noWrap/>
            <w:vAlign w:val="bottom"/>
            <w:hideMark/>
          </w:tcPr>
          <w:p w14:paraId="58B1C50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382,677 </w:t>
            </w:r>
          </w:p>
        </w:tc>
        <w:tc>
          <w:tcPr>
            <w:tcW w:w="320" w:type="pct"/>
            <w:tcBorders>
              <w:top w:val="nil"/>
              <w:left w:val="nil"/>
              <w:bottom w:val="single" w:sz="4" w:space="0" w:color="auto"/>
              <w:right w:val="single" w:sz="4" w:space="0" w:color="auto"/>
            </w:tcBorders>
            <w:shd w:val="clear" w:color="auto" w:fill="auto"/>
            <w:noWrap/>
            <w:vAlign w:val="bottom"/>
            <w:hideMark/>
          </w:tcPr>
          <w:p w14:paraId="36DF6D8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371,344 </w:t>
            </w:r>
          </w:p>
        </w:tc>
        <w:tc>
          <w:tcPr>
            <w:tcW w:w="320" w:type="pct"/>
            <w:tcBorders>
              <w:top w:val="nil"/>
              <w:left w:val="nil"/>
              <w:bottom w:val="single" w:sz="4" w:space="0" w:color="auto"/>
              <w:right w:val="single" w:sz="4" w:space="0" w:color="auto"/>
            </w:tcBorders>
            <w:shd w:val="clear" w:color="000000" w:fill="D9D9D9"/>
            <w:noWrap/>
            <w:vAlign w:val="bottom"/>
            <w:hideMark/>
          </w:tcPr>
          <w:p w14:paraId="347A071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11,333 </w:t>
            </w:r>
          </w:p>
        </w:tc>
        <w:tc>
          <w:tcPr>
            <w:tcW w:w="320" w:type="pct"/>
            <w:tcBorders>
              <w:top w:val="nil"/>
              <w:left w:val="nil"/>
              <w:bottom w:val="single" w:sz="4" w:space="0" w:color="auto"/>
              <w:right w:val="single" w:sz="4" w:space="0" w:color="auto"/>
            </w:tcBorders>
            <w:shd w:val="clear" w:color="000000" w:fill="D9D9D9"/>
            <w:noWrap/>
            <w:vAlign w:val="bottom"/>
            <w:hideMark/>
          </w:tcPr>
          <w:p w14:paraId="48700EBF"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3.1%</w:t>
            </w:r>
          </w:p>
        </w:tc>
        <w:tc>
          <w:tcPr>
            <w:tcW w:w="275" w:type="pct"/>
            <w:tcBorders>
              <w:top w:val="nil"/>
              <w:left w:val="nil"/>
              <w:bottom w:val="single" w:sz="4" w:space="0" w:color="auto"/>
              <w:right w:val="single" w:sz="4" w:space="0" w:color="auto"/>
            </w:tcBorders>
            <w:shd w:val="clear" w:color="auto" w:fill="auto"/>
            <w:noWrap/>
            <w:vAlign w:val="bottom"/>
            <w:hideMark/>
          </w:tcPr>
          <w:p w14:paraId="0DF2911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290,446 </w:t>
            </w:r>
          </w:p>
        </w:tc>
        <w:tc>
          <w:tcPr>
            <w:tcW w:w="275" w:type="pct"/>
            <w:tcBorders>
              <w:top w:val="nil"/>
              <w:left w:val="nil"/>
              <w:bottom w:val="single" w:sz="4" w:space="0" w:color="auto"/>
              <w:right w:val="single" w:sz="4" w:space="0" w:color="auto"/>
            </w:tcBorders>
            <w:shd w:val="clear" w:color="auto" w:fill="auto"/>
            <w:noWrap/>
            <w:vAlign w:val="bottom"/>
            <w:hideMark/>
          </w:tcPr>
          <w:p w14:paraId="2DB5528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301,871 </w:t>
            </w:r>
          </w:p>
        </w:tc>
        <w:tc>
          <w:tcPr>
            <w:tcW w:w="275" w:type="pct"/>
            <w:tcBorders>
              <w:top w:val="nil"/>
              <w:left w:val="nil"/>
              <w:bottom w:val="single" w:sz="4" w:space="0" w:color="auto"/>
              <w:right w:val="single" w:sz="4" w:space="0" w:color="auto"/>
            </w:tcBorders>
            <w:shd w:val="clear" w:color="000000" w:fill="D9D9D9"/>
            <w:noWrap/>
            <w:vAlign w:val="bottom"/>
            <w:hideMark/>
          </w:tcPr>
          <w:p w14:paraId="202B2AA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-11,425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112CCE"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-3.8%</w:t>
            </w:r>
          </w:p>
        </w:tc>
      </w:tr>
      <w:tr w:rsidR="0013387A" w:rsidRPr="0013387A" w14:paraId="430EA85A"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0D81AE5D"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Charles Sturt University</w:t>
            </w:r>
          </w:p>
        </w:tc>
        <w:tc>
          <w:tcPr>
            <w:tcW w:w="338" w:type="pct"/>
            <w:tcBorders>
              <w:top w:val="nil"/>
              <w:left w:val="nil"/>
              <w:bottom w:val="single" w:sz="4" w:space="0" w:color="auto"/>
              <w:right w:val="single" w:sz="4" w:space="0" w:color="auto"/>
            </w:tcBorders>
            <w:shd w:val="clear" w:color="auto" w:fill="auto"/>
            <w:noWrap/>
            <w:vAlign w:val="bottom"/>
            <w:hideMark/>
          </w:tcPr>
          <w:p w14:paraId="430AE8C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550,224 </w:t>
            </w:r>
          </w:p>
        </w:tc>
        <w:tc>
          <w:tcPr>
            <w:tcW w:w="338" w:type="pct"/>
            <w:tcBorders>
              <w:top w:val="nil"/>
              <w:left w:val="nil"/>
              <w:bottom w:val="single" w:sz="4" w:space="0" w:color="auto"/>
              <w:right w:val="single" w:sz="4" w:space="0" w:color="auto"/>
            </w:tcBorders>
            <w:shd w:val="clear" w:color="auto" w:fill="auto"/>
            <w:noWrap/>
            <w:vAlign w:val="bottom"/>
            <w:hideMark/>
          </w:tcPr>
          <w:p w14:paraId="1490B63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612,102 </w:t>
            </w:r>
          </w:p>
        </w:tc>
        <w:tc>
          <w:tcPr>
            <w:tcW w:w="338" w:type="pct"/>
            <w:tcBorders>
              <w:top w:val="nil"/>
              <w:left w:val="nil"/>
              <w:bottom w:val="single" w:sz="4" w:space="0" w:color="auto"/>
              <w:right w:val="single" w:sz="4" w:space="0" w:color="auto"/>
            </w:tcBorders>
            <w:shd w:val="clear" w:color="000000" w:fill="D9D9D9"/>
            <w:noWrap/>
            <w:vAlign w:val="bottom"/>
            <w:hideMark/>
          </w:tcPr>
          <w:p w14:paraId="0EAC38D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-61,878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0DABE3"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-10.1%</w:t>
            </w:r>
          </w:p>
        </w:tc>
        <w:tc>
          <w:tcPr>
            <w:tcW w:w="320" w:type="pct"/>
            <w:tcBorders>
              <w:top w:val="nil"/>
              <w:left w:val="nil"/>
              <w:bottom w:val="single" w:sz="4" w:space="0" w:color="auto"/>
              <w:right w:val="single" w:sz="4" w:space="0" w:color="auto"/>
            </w:tcBorders>
            <w:shd w:val="clear" w:color="auto" w:fill="auto"/>
            <w:noWrap/>
            <w:vAlign w:val="bottom"/>
            <w:hideMark/>
          </w:tcPr>
          <w:p w14:paraId="2787C8C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319,680 </w:t>
            </w:r>
          </w:p>
        </w:tc>
        <w:tc>
          <w:tcPr>
            <w:tcW w:w="320" w:type="pct"/>
            <w:tcBorders>
              <w:top w:val="nil"/>
              <w:left w:val="nil"/>
              <w:bottom w:val="single" w:sz="4" w:space="0" w:color="auto"/>
              <w:right w:val="single" w:sz="4" w:space="0" w:color="auto"/>
            </w:tcBorders>
            <w:shd w:val="clear" w:color="auto" w:fill="auto"/>
            <w:noWrap/>
            <w:vAlign w:val="bottom"/>
            <w:hideMark/>
          </w:tcPr>
          <w:p w14:paraId="1F2E65A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306,551 </w:t>
            </w:r>
          </w:p>
        </w:tc>
        <w:tc>
          <w:tcPr>
            <w:tcW w:w="320" w:type="pct"/>
            <w:tcBorders>
              <w:top w:val="nil"/>
              <w:left w:val="nil"/>
              <w:bottom w:val="single" w:sz="4" w:space="0" w:color="auto"/>
              <w:right w:val="single" w:sz="4" w:space="0" w:color="auto"/>
            </w:tcBorders>
            <w:shd w:val="clear" w:color="000000" w:fill="D9D9D9"/>
            <w:noWrap/>
            <w:vAlign w:val="bottom"/>
            <w:hideMark/>
          </w:tcPr>
          <w:p w14:paraId="51FF1D6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13,129 </w:t>
            </w:r>
          </w:p>
        </w:tc>
        <w:tc>
          <w:tcPr>
            <w:tcW w:w="320" w:type="pct"/>
            <w:tcBorders>
              <w:top w:val="nil"/>
              <w:left w:val="nil"/>
              <w:bottom w:val="single" w:sz="4" w:space="0" w:color="auto"/>
              <w:right w:val="single" w:sz="4" w:space="0" w:color="auto"/>
            </w:tcBorders>
            <w:shd w:val="clear" w:color="000000" w:fill="D9D9D9"/>
            <w:noWrap/>
            <w:vAlign w:val="bottom"/>
            <w:hideMark/>
          </w:tcPr>
          <w:p w14:paraId="4317A872"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4.3%</w:t>
            </w:r>
          </w:p>
        </w:tc>
        <w:tc>
          <w:tcPr>
            <w:tcW w:w="275" w:type="pct"/>
            <w:tcBorders>
              <w:top w:val="nil"/>
              <w:left w:val="nil"/>
              <w:bottom w:val="single" w:sz="4" w:space="0" w:color="auto"/>
              <w:right w:val="single" w:sz="4" w:space="0" w:color="auto"/>
            </w:tcBorders>
            <w:shd w:val="clear" w:color="auto" w:fill="auto"/>
            <w:noWrap/>
            <w:vAlign w:val="bottom"/>
            <w:hideMark/>
          </w:tcPr>
          <w:p w14:paraId="7DA607C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230,544 </w:t>
            </w:r>
          </w:p>
        </w:tc>
        <w:tc>
          <w:tcPr>
            <w:tcW w:w="275" w:type="pct"/>
            <w:tcBorders>
              <w:top w:val="nil"/>
              <w:left w:val="nil"/>
              <w:bottom w:val="single" w:sz="4" w:space="0" w:color="auto"/>
              <w:right w:val="single" w:sz="4" w:space="0" w:color="auto"/>
            </w:tcBorders>
            <w:shd w:val="clear" w:color="auto" w:fill="auto"/>
            <w:noWrap/>
            <w:vAlign w:val="bottom"/>
            <w:hideMark/>
          </w:tcPr>
          <w:p w14:paraId="65868DB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305,551 </w:t>
            </w:r>
          </w:p>
        </w:tc>
        <w:tc>
          <w:tcPr>
            <w:tcW w:w="275" w:type="pct"/>
            <w:tcBorders>
              <w:top w:val="nil"/>
              <w:left w:val="nil"/>
              <w:bottom w:val="single" w:sz="4" w:space="0" w:color="auto"/>
              <w:right w:val="single" w:sz="4" w:space="0" w:color="auto"/>
            </w:tcBorders>
            <w:shd w:val="clear" w:color="000000" w:fill="D9D9D9"/>
            <w:noWrap/>
            <w:vAlign w:val="bottom"/>
            <w:hideMark/>
          </w:tcPr>
          <w:p w14:paraId="75F715D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-75,007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0CF48E"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-24.5%</w:t>
            </w:r>
          </w:p>
        </w:tc>
      </w:tr>
      <w:tr w:rsidR="0013387A" w:rsidRPr="0013387A" w14:paraId="731F5A1E"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45D6A73"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Australian Catholic University</w:t>
            </w:r>
          </w:p>
        </w:tc>
        <w:tc>
          <w:tcPr>
            <w:tcW w:w="338" w:type="pct"/>
            <w:tcBorders>
              <w:top w:val="nil"/>
              <w:left w:val="nil"/>
              <w:bottom w:val="single" w:sz="4" w:space="0" w:color="auto"/>
              <w:right w:val="single" w:sz="4" w:space="0" w:color="auto"/>
            </w:tcBorders>
            <w:shd w:val="clear" w:color="auto" w:fill="auto"/>
            <w:noWrap/>
            <w:vAlign w:val="bottom"/>
            <w:hideMark/>
          </w:tcPr>
          <w:p w14:paraId="2EC98AE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523,831 </w:t>
            </w:r>
          </w:p>
        </w:tc>
        <w:tc>
          <w:tcPr>
            <w:tcW w:w="338" w:type="pct"/>
            <w:tcBorders>
              <w:top w:val="nil"/>
              <w:left w:val="nil"/>
              <w:bottom w:val="single" w:sz="4" w:space="0" w:color="auto"/>
              <w:right w:val="single" w:sz="4" w:space="0" w:color="auto"/>
            </w:tcBorders>
            <w:shd w:val="clear" w:color="auto" w:fill="auto"/>
            <w:noWrap/>
            <w:vAlign w:val="bottom"/>
            <w:hideMark/>
          </w:tcPr>
          <w:p w14:paraId="04E1B00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511,060 </w:t>
            </w:r>
          </w:p>
        </w:tc>
        <w:tc>
          <w:tcPr>
            <w:tcW w:w="338" w:type="pct"/>
            <w:tcBorders>
              <w:top w:val="nil"/>
              <w:left w:val="nil"/>
              <w:bottom w:val="single" w:sz="4" w:space="0" w:color="auto"/>
              <w:right w:val="single" w:sz="4" w:space="0" w:color="auto"/>
            </w:tcBorders>
            <w:shd w:val="clear" w:color="000000" w:fill="D9D9D9"/>
            <w:noWrap/>
            <w:vAlign w:val="bottom"/>
            <w:hideMark/>
          </w:tcPr>
          <w:p w14:paraId="612BEC8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12,771 </w:t>
            </w:r>
          </w:p>
        </w:tc>
        <w:tc>
          <w:tcPr>
            <w:tcW w:w="338" w:type="pct"/>
            <w:tcBorders>
              <w:top w:val="nil"/>
              <w:left w:val="nil"/>
              <w:bottom w:val="single" w:sz="4" w:space="0" w:color="auto"/>
              <w:right w:val="single" w:sz="4" w:space="0" w:color="auto"/>
            </w:tcBorders>
            <w:shd w:val="clear" w:color="000000" w:fill="D9D9D9"/>
            <w:noWrap/>
            <w:vAlign w:val="bottom"/>
            <w:hideMark/>
          </w:tcPr>
          <w:p w14:paraId="6D1D5F37"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2.5%</w:t>
            </w:r>
          </w:p>
        </w:tc>
        <w:tc>
          <w:tcPr>
            <w:tcW w:w="320" w:type="pct"/>
            <w:tcBorders>
              <w:top w:val="nil"/>
              <w:left w:val="nil"/>
              <w:bottom w:val="single" w:sz="4" w:space="0" w:color="auto"/>
              <w:right w:val="single" w:sz="4" w:space="0" w:color="auto"/>
            </w:tcBorders>
            <w:shd w:val="clear" w:color="auto" w:fill="auto"/>
            <w:noWrap/>
            <w:vAlign w:val="bottom"/>
            <w:hideMark/>
          </w:tcPr>
          <w:p w14:paraId="1ADAA3F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347,490 </w:t>
            </w:r>
          </w:p>
        </w:tc>
        <w:tc>
          <w:tcPr>
            <w:tcW w:w="320" w:type="pct"/>
            <w:tcBorders>
              <w:top w:val="nil"/>
              <w:left w:val="nil"/>
              <w:bottom w:val="single" w:sz="4" w:space="0" w:color="auto"/>
              <w:right w:val="single" w:sz="4" w:space="0" w:color="auto"/>
            </w:tcBorders>
            <w:shd w:val="clear" w:color="auto" w:fill="auto"/>
            <w:noWrap/>
            <w:vAlign w:val="bottom"/>
            <w:hideMark/>
          </w:tcPr>
          <w:p w14:paraId="50D0EC4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332,205 </w:t>
            </w:r>
          </w:p>
        </w:tc>
        <w:tc>
          <w:tcPr>
            <w:tcW w:w="320" w:type="pct"/>
            <w:tcBorders>
              <w:top w:val="nil"/>
              <w:left w:val="nil"/>
              <w:bottom w:val="single" w:sz="4" w:space="0" w:color="auto"/>
              <w:right w:val="single" w:sz="4" w:space="0" w:color="auto"/>
            </w:tcBorders>
            <w:shd w:val="clear" w:color="000000" w:fill="D9D9D9"/>
            <w:noWrap/>
            <w:vAlign w:val="bottom"/>
            <w:hideMark/>
          </w:tcPr>
          <w:p w14:paraId="7A047C4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15,285 </w:t>
            </w:r>
          </w:p>
        </w:tc>
        <w:tc>
          <w:tcPr>
            <w:tcW w:w="320" w:type="pct"/>
            <w:tcBorders>
              <w:top w:val="nil"/>
              <w:left w:val="nil"/>
              <w:bottom w:val="single" w:sz="4" w:space="0" w:color="auto"/>
              <w:right w:val="single" w:sz="4" w:space="0" w:color="auto"/>
            </w:tcBorders>
            <w:shd w:val="clear" w:color="000000" w:fill="D9D9D9"/>
            <w:noWrap/>
            <w:vAlign w:val="bottom"/>
            <w:hideMark/>
          </w:tcPr>
          <w:p w14:paraId="1920F455"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4.6%</w:t>
            </w:r>
          </w:p>
        </w:tc>
        <w:tc>
          <w:tcPr>
            <w:tcW w:w="275" w:type="pct"/>
            <w:tcBorders>
              <w:top w:val="nil"/>
              <w:left w:val="nil"/>
              <w:bottom w:val="single" w:sz="4" w:space="0" w:color="auto"/>
              <w:right w:val="single" w:sz="4" w:space="0" w:color="auto"/>
            </w:tcBorders>
            <w:shd w:val="clear" w:color="auto" w:fill="auto"/>
            <w:noWrap/>
            <w:vAlign w:val="bottom"/>
            <w:hideMark/>
          </w:tcPr>
          <w:p w14:paraId="204A257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176,341 </w:t>
            </w:r>
          </w:p>
        </w:tc>
        <w:tc>
          <w:tcPr>
            <w:tcW w:w="275" w:type="pct"/>
            <w:tcBorders>
              <w:top w:val="nil"/>
              <w:left w:val="nil"/>
              <w:bottom w:val="single" w:sz="4" w:space="0" w:color="auto"/>
              <w:right w:val="single" w:sz="4" w:space="0" w:color="auto"/>
            </w:tcBorders>
            <w:shd w:val="clear" w:color="auto" w:fill="auto"/>
            <w:noWrap/>
            <w:vAlign w:val="bottom"/>
            <w:hideMark/>
          </w:tcPr>
          <w:p w14:paraId="578B1B3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178,855 </w:t>
            </w:r>
          </w:p>
        </w:tc>
        <w:tc>
          <w:tcPr>
            <w:tcW w:w="275" w:type="pct"/>
            <w:tcBorders>
              <w:top w:val="nil"/>
              <w:left w:val="nil"/>
              <w:bottom w:val="single" w:sz="4" w:space="0" w:color="auto"/>
              <w:right w:val="single" w:sz="4" w:space="0" w:color="auto"/>
            </w:tcBorders>
            <w:shd w:val="clear" w:color="000000" w:fill="D9D9D9"/>
            <w:noWrap/>
            <w:vAlign w:val="bottom"/>
            <w:hideMark/>
          </w:tcPr>
          <w:p w14:paraId="0EA1066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-2,514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7F279C"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-1.4%</w:t>
            </w:r>
          </w:p>
        </w:tc>
      </w:tr>
      <w:tr w:rsidR="0013387A" w:rsidRPr="0013387A" w14:paraId="5AC51B12"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14D137EC"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Flinders University</w:t>
            </w:r>
          </w:p>
        </w:tc>
        <w:tc>
          <w:tcPr>
            <w:tcW w:w="338" w:type="pct"/>
            <w:tcBorders>
              <w:top w:val="nil"/>
              <w:left w:val="nil"/>
              <w:bottom w:val="single" w:sz="4" w:space="0" w:color="auto"/>
              <w:right w:val="single" w:sz="4" w:space="0" w:color="auto"/>
            </w:tcBorders>
            <w:shd w:val="clear" w:color="auto" w:fill="auto"/>
            <w:noWrap/>
            <w:vAlign w:val="bottom"/>
            <w:hideMark/>
          </w:tcPr>
          <w:p w14:paraId="395B188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494,403 </w:t>
            </w:r>
          </w:p>
        </w:tc>
        <w:tc>
          <w:tcPr>
            <w:tcW w:w="338" w:type="pct"/>
            <w:tcBorders>
              <w:top w:val="nil"/>
              <w:left w:val="nil"/>
              <w:bottom w:val="single" w:sz="4" w:space="0" w:color="auto"/>
              <w:right w:val="single" w:sz="4" w:space="0" w:color="auto"/>
            </w:tcBorders>
            <w:shd w:val="clear" w:color="auto" w:fill="auto"/>
            <w:noWrap/>
            <w:vAlign w:val="bottom"/>
            <w:hideMark/>
          </w:tcPr>
          <w:p w14:paraId="76C7B01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502,481 </w:t>
            </w:r>
          </w:p>
        </w:tc>
        <w:tc>
          <w:tcPr>
            <w:tcW w:w="338" w:type="pct"/>
            <w:tcBorders>
              <w:top w:val="nil"/>
              <w:left w:val="nil"/>
              <w:bottom w:val="single" w:sz="4" w:space="0" w:color="auto"/>
              <w:right w:val="single" w:sz="4" w:space="0" w:color="auto"/>
            </w:tcBorders>
            <w:shd w:val="clear" w:color="000000" w:fill="D9D9D9"/>
            <w:noWrap/>
            <w:vAlign w:val="bottom"/>
            <w:hideMark/>
          </w:tcPr>
          <w:p w14:paraId="65BAD75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-8,078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BE409FC"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-1.6%</w:t>
            </w:r>
          </w:p>
        </w:tc>
        <w:tc>
          <w:tcPr>
            <w:tcW w:w="320" w:type="pct"/>
            <w:tcBorders>
              <w:top w:val="nil"/>
              <w:left w:val="nil"/>
              <w:bottom w:val="single" w:sz="4" w:space="0" w:color="auto"/>
              <w:right w:val="single" w:sz="4" w:space="0" w:color="auto"/>
            </w:tcBorders>
            <w:shd w:val="clear" w:color="auto" w:fill="auto"/>
            <w:noWrap/>
            <w:vAlign w:val="bottom"/>
            <w:hideMark/>
          </w:tcPr>
          <w:p w14:paraId="065FD92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322,508 </w:t>
            </w:r>
          </w:p>
        </w:tc>
        <w:tc>
          <w:tcPr>
            <w:tcW w:w="320" w:type="pct"/>
            <w:tcBorders>
              <w:top w:val="nil"/>
              <w:left w:val="nil"/>
              <w:bottom w:val="single" w:sz="4" w:space="0" w:color="auto"/>
              <w:right w:val="single" w:sz="4" w:space="0" w:color="auto"/>
            </w:tcBorders>
            <w:shd w:val="clear" w:color="auto" w:fill="auto"/>
            <w:noWrap/>
            <w:vAlign w:val="bottom"/>
            <w:hideMark/>
          </w:tcPr>
          <w:p w14:paraId="261B318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319,276 </w:t>
            </w:r>
          </w:p>
        </w:tc>
        <w:tc>
          <w:tcPr>
            <w:tcW w:w="320" w:type="pct"/>
            <w:tcBorders>
              <w:top w:val="nil"/>
              <w:left w:val="nil"/>
              <w:bottom w:val="single" w:sz="4" w:space="0" w:color="auto"/>
              <w:right w:val="single" w:sz="4" w:space="0" w:color="auto"/>
            </w:tcBorders>
            <w:shd w:val="clear" w:color="000000" w:fill="D9D9D9"/>
            <w:noWrap/>
            <w:vAlign w:val="bottom"/>
            <w:hideMark/>
          </w:tcPr>
          <w:p w14:paraId="7C48830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3,232 </w:t>
            </w:r>
          </w:p>
        </w:tc>
        <w:tc>
          <w:tcPr>
            <w:tcW w:w="320" w:type="pct"/>
            <w:tcBorders>
              <w:top w:val="nil"/>
              <w:left w:val="nil"/>
              <w:bottom w:val="single" w:sz="4" w:space="0" w:color="auto"/>
              <w:right w:val="single" w:sz="4" w:space="0" w:color="auto"/>
            </w:tcBorders>
            <w:shd w:val="clear" w:color="000000" w:fill="D9D9D9"/>
            <w:noWrap/>
            <w:vAlign w:val="bottom"/>
            <w:hideMark/>
          </w:tcPr>
          <w:p w14:paraId="04D87699"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1.0%</w:t>
            </w:r>
          </w:p>
        </w:tc>
        <w:tc>
          <w:tcPr>
            <w:tcW w:w="275" w:type="pct"/>
            <w:tcBorders>
              <w:top w:val="nil"/>
              <w:left w:val="nil"/>
              <w:bottom w:val="single" w:sz="4" w:space="0" w:color="auto"/>
              <w:right w:val="single" w:sz="4" w:space="0" w:color="auto"/>
            </w:tcBorders>
            <w:shd w:val="clear" w:color="auto" w:fill="auto"/>
            <w:noWrap/>
            <w:vAlign w:val="bottom"/>
            <w:hideMark/>
          </w:tcPr>
          <w:p w14:paraId="7F4A7C3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171,895 </w:t>
            </w:r>
          </w:p>
        </w:tc>
        <w:tc>
          <w:tcPr>
            <w:tcW w:w="275" w:type="pct"/>
            <w:tcBorders>
              <w:top w:val="nil"/>
              <w:left w:val="nil"/>
              <w:bottom w:val="single" w:sz="4" w:space="0" w:color="auto"/>
              <w:right w:val="single" w:sz="4" w:space="0" w:color="auto"/>
            </w:tcBorders>
            <w:shd w:val="clear" w:color="auto" w:fill="auto"/>
            <w:noWrap/>
            <w:vAlign w:val="bottom"/>
            <w:hideMark/>
          </w:tcPr>
          <w:p w14:paraId="678BF90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183,205 </w:t>
            </w:r>
          </w:p>
        </w:tc>
        <w:tc>
          <w:tcPr>
            <w:tcW w:w="275" w:type="pct"/>
            <w:tcBorders>
              <w:top w:val="nil"/>
              <w:left w:val="nil"/>
              <w:bottom w:val="single" w:sz="4" w:space="0" w:color="auto"/>
              <w:right w:val="single" w:sz="4" w:space="0" w:color="auto"/>
            </w:tcBorders>
            <w:shd w:val="clear" w:color="000000" w:fill="D9D9D9"/>
            <w:noWrap/>
            <w:vAlign w:val="bottom"/>
            <w:hideMark/>
          </w:tcPr>
          <w:p w14:paraId="7FDDAAC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-11,310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5EE872F"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-6.2%</w:t>
            </w:r>
          </w:p>
        </w:tc>
      </w:tr>
      <w:tr w:rsidR="0013387A" w:rsidRPr="0013387A" w14:paraId="40E380CA"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6AC6B43"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Central Queensland University</w:t>
            </w:r>
          </w:p>
        </w:tc>
        <w:tc>
          <w:tcPr>
            <w:tcW w:w="338" w:type="pct"/>
            <w:tcBorders>
              <w:top w:val="nil"/>
              <w:left w:val="nil"/>
              <w:bottom w:val="single" w:sz="4" w:space="0" w:color="auto"/>
              <w:right w:val="single" w:sz="4" w:space="0" w:color="auto"/>
            </w:tcBorders>
            <w:shd w:val="clear" w:color="auto" w:fill="auto"/>
            <w:noWrap/>
            <w:vAlign w:val="bottom"/>
            <w:hideMark/>
          </w:tcPr>
          <w:p w14:paraId="2F9BCE7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483,135 </w:t>
            </w:r>
          </w:p>
        </w:tc>
        <w:tc>
          <w:tcPr>
            <w:tcW w:w="338" w:type="pct"/>
            <w:tcBorders>
              <w:top w:val="nil"/>
              <w:left w:val="nil"/>
              <w:bottom w:val="single" w:sz="4" w:space="0" w:color="auto"/>
              <w:right w:val="single" w:sz="4" w:space="0" w:color="auto"/>
            </w:tcBorders>
            <w:shd w:val="clear" w:color="auto" w:fill="auto"/>
            <w:noWrap/>
            <w:vAlign w:val="bottom"/>
            <w:hideMark/>
          </w:tcPr>
          <w:p w14:paraId="074D99D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483,758 </w:t>
            </w:r>
          </w:p>
        </w:tc>
        <w:tc>
          <w:tcPr>
            <w:tcW w:w="338" w:type="pct"/>
            <w:tcBorders>
              <w:top w:val="nil"/>
              <w:left w:val="nil"/>
              <w:bottom w:val="single" w:sz="4" w:space="0" w:color="auto"/>
              <w:right w:val="single" w:sz="4" w:space="0" w:color="auto"/>
            </w:tcBorders>
            <w:shd w:val="clear" w:color="000000" w:fill="D9D9D9"/>
            <w:noWrap/>
            <w:vAlign w:val="bottom"/>
            <w:hideMark/>
          </w:tcPr>
          <w:p w14:paraId="4714377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-623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DA14A1D"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-0.1%</w:t>
            </w:r>
          </w:p>
        </w:tc>
        <w:tc>
          <w:tcPr>
            <w:tcW w:w="320" w:type="pct"/>
            <w:tcBorders>
              <w:top w:val="nil"/>
              <w:left w:val="nil"/>
              <w:bottom w:val="single" w:sz="4" w:space="0" w:color="auto"/>
              <w:right w:val="single" w:sz="4" w:space="0" w:color="auto"/>
            </w:tcBorders>
            <w:shd w:val="clear" w:color="auto" w:fill="auto"/>
            <w:noWrap/>
            <w:vAlign w:val="bottom"/>
            <w:hideMark/>
          </w:tcPr>
          <w:p w14:paraId="5FA531F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292,011 </w:t>
            </w:r>
          </w:p>
        </w:tc>
        <w:tc>
          <w:tcPr>
            <w:tcW w:w="320" w:type="pct"/>
            <w:tcBorders>
              <w:top w:val="nil"/>
              <w:left w:val="nil"/>
              <w:bottom w:val="single" w:sz="4" w:space="0" w:color="auto"/>
              <w:right w:val="single" w:sz="4" w:space="0" w:color="auto"/>
            </w:tcBorders>
            <w:shd w:val="clear" w:color="auto" w:fill="auto"/>
            <w:noWrap/>
            <w:vAlign w:val="bottom"/>
            <w:hideMark/>
          </w:tcPr>
          <w:p w14:paraId="5F7AE59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274,556 </w:t>
            </w:r>
          </w:p>
        </w:tc>
        <w:tc>
          <w:tcPr>
            <w:tcW w:w="320" w:type="pct"/>
            <w:tcBorders>
              <w:top w:val="nil"/>
              <w:left w:val="nil"/>
              <w:bottom w:val="single" w:sz="4" w:space="0" w:color="auto"/>
              <w:right w:val="single" w:sz="4" w:space="0" w:color="auto"/>
            </w:tcBorders>
            <w:shd w:val="clear" w:color="000000" w:fill="D9D9D9"/>
            <w:noWrap/>
            <w:vAlign w:val="bottom"/>
            <w:hideMark/>
          </w:tcPr>
          <w:p w14:paraId="08C78EC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17,455 </w:t>
            </w:r>
          </w:p>
        </w:tc>
        <w:tc>
          <w:tcPr>
            <w:tcW w:w="320" w:type="pct"/>
            <w:tcBorders>
              <w:top w:val="nil"/>
              <w:left w:val="nil"/>
              <w:bottom w:val="single" w:sz="4" w:space="0" w:color="auto"/>
              <w:right w:val="single" w:sz="4" w:space="0" w:color="auto"/>
            </w:tcBorders>
            <w:shd w:val="clear" w:color="000000" w:fill="D9D9D9"/>
            <w:noWrap/>
            <w:vAlign w:val="bottom"/>
            <w:hideMark/>
          </w:tcPr>
          <w:p w14:paraId="6ABE3559"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6.4%</w:t>
            </w:r>
          </w:p>
        </w:tc>
        <w:tc>
          <w:tcPr>
            <w:tcW w:w="275" w:type="pct"/>
            <w:tcBorders>
              <w:top w:val="nil"/>
              <w:left w:val="nil"/>
              <w:bottom w:val="single" w:sz="4" w:space="0" w:color="auto"/>
              <w:right w:val="single" w:sz="4" w:space="0" w:color="auto"/>
            </w:tcBorders>
            <w:shd w:val="clear" w:color="auto" w:fill="auto"/>
            <w:noWrap/>
            <w:vAlign w:val="bottom"/>
            <w:hideMark/>
          </w:tcPr>
          <w:p w14:paraId="1E11803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191,124 </w:t>
            </w:r>
          </w:p>
        </w:tc>
        <w:tc>
          <w:tcPr>
            <w:tcW w:w="275" w:type="pct"/>
            <w:tcBorders>
              <w:top w:val="nil"/>
              <w:left w:val="nil"/>
              <w:bottom w:val="single" w:sz="4" w:space="0" w:color="auto"/>
              <w:right w:val="single" w:sz="4" w:space="0" w:color="auto"/>
            </w:tcBorders>
            <w:shd w:val="clear" w:color="auto" w:fill="auto"/>
            <w:noWrap/>
            <w:vAlign w:val="bottom"/>
            <w:hideMark/>
          </w:tcPr>
          <w:p w14:paraId="20713CA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209,202 </w:t>
            </w:r>
          </w:p>
        </w:tc>
        <w:tc>
          <w:tcPr>
            <w:tcW w:w="275" w:type="pct"/>
            <w:tcBorders>
              <w:top w:val="nil"/>
              <w:left w:val="nil"/>
              <w:bottom w:val="single" w:sz="4" w:space="0" w:color="auto"/>
              <w:right w:val="single" w:sz="4" w:space="0" w:color="auto"/>
            </w:tcBorders>
            <w:shd w:val="clear" w:color="000000" w:fill="D9D9D9"/>
            <w:noWrap/>
            <w:vAlign w:val="bottom"/>
            <w:hideMark/>
          </w:tcPr>
          <w:p w14:paraId="3331087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-18,078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B1DCA36"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-8.6%</w:t>
            </w:r>
          </w:p>
        </w:tc>
      </w:tr>
      <w:tr w:rsidR="0013387A" w:rsidRPr="0013387A" w14:paraId="6DFE919F"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2D092EE"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Victoria University</w:t>
            </w:r>
          </w:p>
        </w:tc>
        <w:tc>
          <w:tcPr>
            <w:tcW w:w="338" w:type="pct"/>
            <w:tcBorders>
              <w:top w:val="nil"/>
              <w:left w:val="nil"/>
              <w:bottom w:val="single" w:sz="4" w:space="0" w:color="auto"/>
              <w:right w:val="single" w:sz="4" w:space="0" w:color="auto"/>
            </w:tcBorders>
            <w:shd w:val="clear" w:color="auto" w:fill="auto"/>
            <w:noWrap/>
            <w:vAlign w:val="bottom"/>
            <w:hideMark/>
          </w:tcPr>
          <w:p w14:paraId="46A1B49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468,570 </w:t>
            </w:r>
          </w:p>
        </w:tc>
        <w:tc>
          <w:tcPr>
            <w:tcW w:w="338" w:type="pct"/>
            <w:tcBorders>
              <w:top w:val="nil"/>
              <w:left w:val="nil"/>
              <w:bottom w:val="single" w:sz="4" w:space="0" w:color="auto"/>
              <w:right w:val="single" w:sz="4" w:space="0" w:color="auto"/>
            </w:tcBorders>
            <w:shd w:val="clear" w:color="auto" w:fill="auto"/>
            <w:noWrap/>
            <w:vAlign w:val="bottom"/>
            <w:hideMark/>
          </w:tcPr>
          <w:p w14:paraId="4499CFB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454,070 </w:t>
            </w:r>
          </w:p>
        </w:tc>
        <w:tc>
          <w:tcPr>
            <w:tcW w:w="338" w:type="pct"/>
            <w:tcBorders>
              <w:top w:val="nil"/>
              <w:left w:val="nil"/>
              <w:bottom w:val="single" w:sz="4" w:space="0" w:color="auto"/>
              <w:right w:val="single" w:sz="4" w:space="0" w:color="auto"/>
            </w:tcBorders>
            <w:shd w:val="clear" w:color="000000" w:fill="D9D9D9"/>
            <w:noWrap/>
            <w:vAlign w:val="bottom"/>
            <w:hideMark/>
          </w:tcPr>
          <w:p w14:paraId="5BC23E3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14,500 </w:t>
            </w:r>
          </w:p>
        </w:tc>
        <w:tc>
          <w:tcPr>
            <w:tcW w:w="338" w:type="pct"/>
            <w:tcBorders>
              <w:top w:val="nil"/>
              <w:left w:val="nil"/>
              <w:bottom w:val="single" w:sz="4" w:space="0" w:color="auto"/>
              <w:right w:val="single" w:sz="4" w:space="0" w:color="auto"/>
            </w:tcBorders>
            <w:shd w:val="clear" w:color="000000" w:fill="D9D9D9"/>
            <w:noWrap/>
            <w:vAlign w:val="bottom"/>
            <w:hideMark/>
          </w:tcPr>
          <w:p w14:paraId="45D91680"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3.2%</w:t>
            </w:r>
          </w:p>
        </w:tc>
        <w:tc>
          <w:tcPr>
            <w:tcW w:w="320" w:type="pct"/>
            <w:tcBorders>
              <w:top w:val="nil"/>
              <w:left w:val="nil"/>
              <w:bottom w:val="single" w:sz="4" w:space="0" w:color="auto"/>
              <w:right w:val="single" w:sz="4" w:space="0" w:color="auto"/>
            </w:tcBorders>
            <w:shd w:val="clear" w:color="auto" w:fill="auto"/>
            <w:noWrap/>
            <w:vAlign w:val="bottom"/>
            <w:hideMark/>
          </w:tcPr>
          <w:p w14:paraId="3440FC8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290,570 </w:t>
            </w:r>
          </w:p>
        </w:tc>
        <w:tc>
          <w:tcPr>
            <w:tcW w:w="320" w:type="pct"/>
            <w:tcBorders>
              <w:top w:val="nil"/>
              <w:left w:val="nil"/>
              <w:bottom w:val="single" w:sz="4" w:space="0" w:color="auto"/>
              <w:right w:val="single" w:sz="4" w:space="0" w:color="auto"/>
            </w:tcBorders>
            <w:shd w:val="clear" w:color="auto" w:fill="auto"/>
            <w:noWrap/>
            <w:vAlign w:val="bottom"/>
            <w:hideMark/>
          </w:tcPr>
          <w:p w14:paraId="3C247A3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277,725 </w:t>
            </w:r>
          </w:p>
        </w:tc>
        <w:tc>
          <w:tcPr>
            <w:tcW w:w="320" w:type="pct"/>
            <w:tcBorders>
              <w:top w:val="nil"/>
              <w:left w:val="nil"/>
              <w:bottom w:val="single" w:sz="4" w:space="0" w:color="auto"/>
              <w:right w:val="single" w:sz="4" w:space="0" w:color="auto"/>
            </w:tcBorders>
            <w:shd w:val="clear" w:color="000000" w:fill="D9D9D9"/>
            <w:noWrap/>
            <w:vAlign w:val="bottom"/>
            <w:hideMark/>
          </w:tcPr>
          <w:p w14:paraId="5E71928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12,845 </w:t>
            </w:r>
          </w:p>
        </w:tc>
        <w:tc>
          <w:tcPr>
            <w:tcW w:w="320" w:type="pct"/>
            <w:tcBorders>
              <w:top w:val="nil"/>
              <w:left w:val="nil"/>
              <w:bottom w:val="single" w:sz="4" w:space="0" w:color="auto"/>
              <w:right w:val="single" w:sz="4" w:space="0" w:color="auto"/>
            </w:tcBorders>
            <w:shd w:val="clear" w:color="000000" w:fill="D9D9D9"/>
            <w:noWrap/>
            <w:vAlign w:val="bottom"/>
            <w:hideMark/>
          </w:tcPr>
          <w:p w14:paraId="460E48BD"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4.6%</w:t>
            </w:r>
          </w:p>
        </w:tc>
        <w:tc>
          <w:tcPr>
            <w:tcW w:w="275" w:type="pct"/>
            <w:tcBorders>
              <w:top w:val="nil"/>
              <w:left w:val="nil"/>
              <w:bottom w:val="single" w:sz="4" w:space="0" w:color="auto"/>
              <w:right w:val="single" w:sz="4" w:space="0" w:color="auto"/>
            </w:tcBorders>
            <w:shd w:val="clear" w:color="auto" w:fill="auto"/>
            <w:noWrap/>
            <w:vAlign w:val="bottom"/>
            <w:hideMark/>
          </w:tcPr>
          <w:p w14:paraId="2D09476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178,000 </w:t>
            </w:r>
          </w:p>
        </w:tc>
        <w:tc>
          <w:tcPr>
            <w:tcW w:w="275" w:type="pct"/>
            <w:tcBorders>
              <w:top w:val="nil"/>
              <w:left w:val="nil"/>
              <w:bottom w:val="single" w:sz="4" w:space="0" w:color="auto"/>
              <w:right w:val="single" w:sz="4" w:space="0" w:color="auto"/>
            </w:tcBorders>
            <w:shd w:val="clear" w:color="auto" w:fill="auto"/>
            <w:noWrap/>
            <w:vAlign w:val="bottom"/>
            <w:hideMark/>
          </w:tcPr>
          <w:p w14:paraId="58047AC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176,345 </w:t>
            </w:r>
          </w:p>
        </w:tc>
        <w:tc>
          <w:tcPr>
            <w:tcW w:w="275" w:type="pct"/>
            <w:tcBorders>
              <w:top w:val="nil"/>
              <w:left w:val="nil"/>
              <w:bottom w:val="single" w:sz="4" w:space="0" w:color="auto"/>
              <w:right w:val="single" w:sz="4" w:space="0" w:color="auto"/>
            </w:tcBorders>
            <w:shd w:val="clear" w:color="000000" w:fill="D9D9D9"/>
            <w:noWrap/>
            <w:vAlign w:val="bottom"/>
            <w:hideMark/>
          </w:tcPr>
          <w:p w14:paraId="3EE8028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1,655 </w:t>
            </w:r>
          </w:p>
        </w:tc>
        <w:tc>
          <w:tcPr>
            <w:tcW w:w="275" w:type="pct"/>
            <w:tcBorders>
              <w:top w:val="nil"/>
              <w:left w:val="nil"/>
              <w:bottom w:val="single" w:sz="4" w:space="0" w:color="auto"/>
              <w:right w:val="single" w:sz="4" w:space="0" w:color="auto"/>
            </w:tcBorders>
            <w:shd w:val="clear" w:color="000000" w:fill="D9D9D9"/>
            <w:noWrap/>
            <w:vAlign w:val="bottom"/>
            <w:hideMark/>
          </w:tcPr>
          <w:p w14:paraId="65B50E9D"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0.9%</w:t>
            </w:r>
          </w:p>
        </w:tc>
      </w:tr>
      <w:tr w:rsidR="0013387A" w:rsidRPr="0013387A" w14:paraId="2CF57893"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A2572E0"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James Cook University</w:t>
            </w:r>
          </w:p>
        </w:tc>
        <w:tc>
          <w:tcPr>
            <w:tcW w:w="338" w:type="pct"/>
            <w:tcBorders>
              <w:top w:val="nil"/>
              <w:left w:val="nil"/>
              <w:bottom w:val="single" w:sz="4" w:space="0" w:color="auto"/>
              <w:right w:val="single" w:sz="4" w:space="0" w:color="auto"/>
            </w:tcBorders>
            <w:shd w:val="clear" w:color="auto" w:fill="auto"/>
            <w:noWrap/>
            <w:vAlign w:val="bottom"/>
            <w:hideMark/>
          </w:tcPr>
          <w:p w14:paraId="69B4EDC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462,512 </w:t>
            </w:r>
          </w:p>
        </w:tc>
        <w:tc>
          <w:tcPr>
            <w:tcW w:w="338" w:type="pct"/>
            <w:tcBorders>
              <w:top w:val="nil"/>
              <w:left w:val="nil"/>
              <w:bottom w:val="single" w:sz="4" w:space="0" w:color="auto"/>
              <w:right w:val="single" w:sz="4" w:space="0" w:color="auto"/>
            </w:tcBorders>
            <w:shd w:val="clear" w:color="auto" w:fill="auto"/>
            <w:noWrap/>
            <w:vAlign w:val="bottom"/>
            <w:hideMark/>
          </w:tcPr>
          <w:p w14:paraId="5D13463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493,696 </w:t>
            </w:r>
          </w:p>
        </w:tc>
        <w:tc>
          <w:tcPr>
            <w:tcW w:w="338" w:type="pct"/>
            <w:tcBorders>
              <w:top w:val="nil"/>
              <w:left w:val="nil"/>
              <w:bottom w:val="single" w:sz="4" w:space="0" w:color="auto"/>
              <w:right w:val="single" w:sz="4" w:space="0" w:color="auto"/>
            </w:tcBorders>
            <w:shd w:val="clear" w:color="000000" w:fill="D9D9D9"/>
            <w:noWrap/>
            <w:vAlign w:val="bottom"/>
            <w:hideMark/>
          </w:tcPr>
          <w:p w14:paraId="477A3C3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-31,184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64202F"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-6.3%</w:t>
            </w:r>
          </w:p>
        </w:tc>
        <w:tc>
          <w:tcPr>
            <w:tcW w:w="320" w:type="pct"/>
            <w:tcBorders>
              <w:top w:val="nil"/>
              <w:left w:val="nil"/>
              <w:bottom w:val="single" w:sz="4" w:space="0" w:color="auto"/>
              <w:right w:val="single" w:sz="4" w:space="0" w:color="auto"/>
            </w:tcBorders>
            <w:shd w:val="clear" w:color="auto" w:fill="auto"/>
            <w:noWrap/>
            <w:vAlign w:val="bottom"/>
            <w:hideMark/>
          </w:tcPr>
          <w:p w14:paraId="173372A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249,883 </w:t>
            </w:r>
          </w:p>
        </w:tc>
        <w:tc>
          <w:tcPr>
            <w:tcW w:w="320" w:type="pct"/>
            <w:tcBorders>
              <w:top w:val="nil"/>
              <w:left w:val="nil"/>
              <w:bottom w:val="single" w:sz="4" w:space="0" w:color="auto"/>
              <w:right w:val="single" w:sz="4" w:space="0" w:color="auto"/>
            </w:tcBorders>
            <w:shd w:val="clear" w:color="auto" w:fill="auto"/>
            <w:noWrap/>
            <w:vAlign w:val="bottom"/>
            <w:hideMark/>
          </w:tcPr>
          <w:p w14:paraId="2BC1763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254,838 </w:t>
            </w:r>
          </w:p>
        </w:tc>
        <w:tc>
          <w:tcPr>
            <w:tcW w:w="320" w:type="pct"/>
            <w:tcBorders>
              <w:top w:val="nil"/>
              <w:left w:val="nil"/>
              <w:bottom w:val="single" w:sz="4" w:space="0" w:color="auto"/>
              <w:right w:val="single" w:sz="4" w:space="0" w:color="auto"/>
            </w:tcBorders>
            <w:shd w:val="clear" w:color="000000" w:fill="D9D9D9"/>
            <w:noWrap/>
            <w:vAlign w:val="bottom"/>
            <w:hideMark/>
          </w:tcPr>
          <w:p w14:paraId="37E1BD4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-4,955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2732B1"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-1.9%</w:t>
            </w:r>
          </w:p>
        </w:tc>
        <w:tc>
          <w:tcPr>
            <w:tcW w:w="275" w:type="pct"/>
            <w:tcBorders>
              <w:top w:val="nil"/>
              <w:left w:val="nil"/>
              <w:bottom w:val="single" w:sz="4" w:space="0" w:color="auto"/>
              <w:right w:val="single" w:sz="4" w:space="0" w:color="auto"/>
            </w:tcBorders>
            <w:shd w:val="clear" w:color="auto" w:fill="auto"/>
            <w:noWrap/>
            <w:vAlign w:val="bottom"/>
            <w:hideMark/>
          </w:tcPr>
          <w:p w14:paraId="7CD0B1B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212,629 </w:t>
            </w:r>
          </w:p>
        </w:tc>
        <w:tc>
          <w:tcPr>
            <w:tcW w:w="275" w:type="pct"/>
            <w:tcBorders>
              <w:top w:val="nil"/>
              <w:left w:val="nil"/>
              <w:bottom w:val="single" w:sz="4" w:space="0" w:color="auto"/>
              <w:right w:val="single" w:sz="4" w:space="0" w:color="auto"/>
            </w:tcBorders>
            <w:shd w:val="clear" w:color="auto" w:fill="auto"/>
            <w:noWrap/>
            <w:vAlign w:val="bottom"/>
            <w:hideMark/>
          </w:tcPr>
          <w:p w14:paraId="6D3E147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238,858 </w:t>
            </w:r>
          </w:p>
        </w:tc>
        <w:tc>
          <w:tcPr>
            <w:tcW w:w="275" w:type="pct"/>
            <w:tcBorders>
              <w:top w:val="nil"/>
              <w:left w:val="nil"/>
              <w:bottom w:val="single" w:sz="4" w:space="0" w:color="auto"/>
              <w:right w:val="single" w:sz="4" w:space="0" w:color="auto"/>
            </w:tcBorders>
            <w:shd w:val="clear" w:color="000000" w:fill="D9D9D9"/>
            <w:noWrap/>
            <w:vAlign w:val="bottom"/>
            <w:hideMark/>
          </w:tcPr>
          <w:p w14:paraId="01A3FD9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-26,229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B43392F"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-11.0%</w:t>
            </w:r>
          </w:p>
        </w:tc>
      </w:tr>
      <w:tr w:rsidR="0013387A" w:rsidRPr="0013387A" w14:paraId="4F96312E"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601F5CBB"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Edith Cowan University</w:t>
            </w:r>
          </w:p>
        </w:tc>
        <w:tc>
          <w:tcPr>
            <w:tcW w:w="338" w:type="pct"/>
            <w:tcBorders>
              <w:top w:val="nil"/>
              <w:left w:val="nil"/>
              <w:bottom w:val="single" w:sz="4" w:space="0" w:color="auto"/>
              <w:right w:val="single" w:sz="4" w:space="0" w:color="auto"/>
            </w:tcBorders>
            <w:shd w:val="clear" w:color="auto" w:fill="auto"/>
            <w:noWrap/>
            <w:vAlign w:val="bottom"/>
            <w:hideMark/>
          </w:tcPr>
          <w:p w14:paraId="2E35526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453,556 </w:t>
            </w:r>
          </w:p>
        </w:tc>
        <w:tc>
          <w:tcPr>
            <w:tcW w:w="338" w:type="pct"/>
            <w:tcBorders>
              <w:top w:val="nil"/>
              <w:left w:val="nil"/>
              <w:bottom w:val="single" w:sz="4" w:space="0" w:color="auto"/>
              <w:right w:val="single" w:sz="4" w:space="0" w:color="auto"/>
            </w:tcBorders>
            <w:shd w:val="clear" w:color="auto" w:fill="auto"/>
            <w:noWrap/>
            <w:vAlign w:val="bottom"/>
            <w:hideMark/>
          </w:tcPr>
          <w:p w14:paraId="4EA7211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445,037 </w:t>
            </w:r>
          </w:p>
        </w:tc>
        <w:tc>
          <w:tcPr>
            <w:tcW w:w="338" w:type="pct"/>
            <w:tcBorders>
              <w:top w:val="nil"/>
              <w:left w:val="nil"/>
              <w:bottom w:val="single" w:sz="4" w:space="0" w:color="auto"/>
              <w:right w:val="single" w:sz="4" w:space="0" w:color="auto"/>
            </w:tcBorders>
            <w:shd w:val="clear" w:color="000000" w:fill="D9D9D9"/>
            <w:noWrap/>
            <w:vAlign w:val="bottom"/>
            <w:hideMark/>
          </w:tcPr>
          <w:p w14:paraId="7CAE64B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8,519 </w:t>
            </w:r>
          </w:p>
        </w:tc>
        <w:tc>
          <w:tcPr>
            <w:tcW w:w="338" w:type="pct"/>
            <w:tcBorders>
              <w:top w:val="nil"/>
              <w:left w:val="nil"/>
              <w:bottom w:val="single" w:sz="4" w:space="0" w:color="auto"/>
              <w:right w:val="single" w:sz="4" w:space="0" w:color="auto"/>
            </w:tcBorders>
            <w:shd w:val="clear" w:color="000000" w:fill="D9D9D9"/>
            <w:noWrap/>
            <w:vAlign w:val="bottom"/>
            <w:hideMark/>
          </w:tcPr>
          <w:p w14:paraId="495AEB77"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1.9%</w:t>
            </w:r>
          </w:p>
        </w:tc>
        <w:tc>
          <w:tcPr>
            <w:tcW w:w="320" w:type="pct"/>
            <w:tcBorders>
              <w:top w:val="nil"/>
              <w:left w:val="nil"/>
              <w:bottom w:val="single" w:sz="4" w:space="0" w:color="auto"/>
              <w:right w:val="single" w:sz="4" w:space="0" w:color="auto"/>
            </w:tcBorders>
            <w:shd w:val="clear" w:color="auto" w:fill="auto"/>
            <w:noWrap/>
            <w:vAlign w:val="bottom"/>
            <w:hideMark/>
          </w:tcPr>
          <w:p w14:paraId="4008218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275,463 </w:t>
            </w:r>
          </w:p>
        </w:tc>
        <w:tc>
          <w:tcPr>
            <w:tcW w:w="320" w:type="pct"/>
            <w:tcBorders>
              <w:top w:val="nil"/>
              <w:left w:val="nil"/>
              <w:bottom w:val="single" w:sz="4" w:space="0" w:color="auto"/>
              <w:right w:val="single" w:sz="4" w:space="0" w:color="auto"/>
            </w:tcBorders>
            <w:shd w:val="clear" w:color="auto" w:fill="auto"/>
            <w:noWrap/>
            <w:vAlign w:val="bottom"/>
            <w:hideMark/>
          </w:tcPr>
          <w:p w14:paraId="12FBF89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263,784 </w:t>
            </w:r>
          </w:p>
        </w:tc>
        <w:tc>
          <w:tcPr>
            <w:tcW w:w="320" w:type="pct"/>
            <w:tcBorders>
              <w:top w:val="nil"/>
              <w:left w:val="nil"/>
              <w:bottom w:val="single" w:sz="4" w:space="0" w:color="auto"/>
              <w:right w:val="single" w:sz="4" w:space="0" w:color="auto"/>
            </w:tcBorders>
            <w:shd w:val="clear" w:color="000000" w:fill="D9D9D9"/>
            <w:noWrap/>
            <w:vAlign w:val="bottom"/>
            <w:hideMark/>
          </w:tcPr>
          <w:p w14:paraId="677C6E9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11,679 </w:t>
            </w:r>
          </w:p>
        </w:tc>
        <w:tc>
          <w:tcPr>
            <w:tcW w:w="320" w:type="pct"/>
            <w:tcBorders>
              <w:top w:val="nil"/>
              <w:left w:val="nil"/>
              <w:bottom w:val="single" w:sz="4" w:space="0" w:color="auto"/>
              <w:right w:val="single" w:sz="4" w:space="0" w:color="auto"/>
            </w:tcBorders>
            <w:shd w:val="clear" w:color="000000" w:fill="D9D9D9"/>
            <w:noWrap/>
            <w:vAlign w:val="bottom"/>
            <w:hideMark/>
          </w:tcPr>
          <w:p w14:paraId="2BAB06AC"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4.4%</w:t>
            </w:r>
          </w:p>
        </w:tc>
        <w:tc>
          <w:tcPr>
            <w:tcW w:w="275" w:type="pct"/>
            <w:tcBorders>
              <w:top w:val="nil"/>
              <w:left w:val="nil"/>
              <w:bottom w:val="single" w:sz="4" w:space="0" w:color="auto"/>
              <w:right w:val="single" w:sz="4" w:space="0" w:color="auto"/>
            </w:tcBorders>
            <w:shd w:val="clear" w:color="auto" w:fill="auto"/>
            <w:noWrap/>
            <w:vAlign w:val="bottom"/>
            <w:hideMark/>
          </w:tcPr>
          <w:p w14:paraId="5B2BC55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178,093 </w:t>
            </w:r>
          </w:p>
        </w:tc>
        <w:tc>
          <w:tcPr>
            <w:tcW w:w="275" w:type="pct"/>
            <w:tcBorders>
              <w:top w:val="nil"/>
              <w:left w:val="nil"/>
              <w:bottom w:val="single" w:sz="4" w:space="0" w:color="auto"/>
              <w:right w:val="single" w:sz="4" w:space="0" w:color="auto"/>
            </w:tcBorders>
            <w:shd w:val="clear" w:color="auto" w:fill="auto"/>
            <w:noWrap/>
            <w:vAlign w:val="bottom"/>
            <w:hideMark/>
          </w:tcPr>
          <w:p w14:paraId="393E275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181,253 </w:t>
            </w:r>
          </w:p>
        </w:tc>
        <w:tc>
          <w:tcPr>
            <w:tcW w:w="275" w:type="pct"/>
            <w:tcBorders>
              <w:top w:val="nil"/>
              <w:left w:val="nil"/>
              <w:bottom w:val="single" w:sz="4" w:space="0" w:color="auto"/>
              <w:right w:val="single" w:sz="4" w:space="0" w:color="auto"/>
            </w:tcBorders>
            <w:shd w:val="clear" w:color="000000" w:fill="D9D9D9"/>
            <w:noWrap/>
            <w:vAlign w:val="bottom"/>
            <w:hideMark/>
          </w:tcPr>
          <w:p w14:paraId="2078302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-3,160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DDC82E4"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-1.7%</w:t>
            </w:r>
          </w:p>
        </w:tc>
      </w:tr>
      <w:tr w:rsidR="0013387A" w:rsidRPr="0013387A" w14:paraId="5318E1C4"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FE98F12"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Murdoch University</w:t>
            </w:r>
          </w:p>
        </w:tc>
        <w:tc>
          <w:tcPr>
            <w:tcW w:w="338" w:type="pct"/>
            <w:tcBorders>
              <w:top w:val="nil"/>
              <w:left w:val="nil"/>
              <w:bottom w:val="single" w:sz="4" w:space="0" w:color="auto"/>
              <w:right w:val="single" w:sz="4" w:space="0" w:color="auto"/>
            </w:tcBorders>
            <w:shd w:val="clear" w:color="auto" w:fill="auto"/>
            <w:noWrap/>
            <w:vAlign w:val="bottom"/>
            <w:hideMark/>
          </w:tcPr>
          <w:p w14:paraId="4E228BD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389,623 </w:t>
            </w:r>
          </w:p>
        </w:tc>
        <w:tc>
          <w:tcPr>
            <w:tcW w:w="338" w:type="pct"/>
            <w:tcBorders>
              <w:top w:val="nil"/>
              <w:left w:val="nil"/>
              <w:bottom w:val="single" w:sz="4" w:space="0" w:color="auto"/>
              <w:right w:val="single" w:sz="4" w:space="0" w:color="auto"/>
            </w:tcBorders>
            <w:shd w:val="clear" w:color="auto" w:fill="auto"/>
            <w:noWrap/>
            <w:vAlign w:val="bottom"/>
            <w:hideMark/>
          </w:tcPr>
          <w:p w14:paraId="1E5AA87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375,121 </w:t>
            </w:r>
          </w:p>
        </w:tc>
        <w:tc>
          <w:tcPr>
            <w:tcW w:w="338" w:type="pct"/>
            <w:tcBorders>
              <w:top w:val="nil"/>
              <w:left w:val="nil"/>
              <w:bottom w:val="single" w:sz="4" w:space="0" w:color="auto"/>
              <w:right w:val="single" w:sz="4" w:space="0" w:color="auto"/>
            </w:tcBorders>
            <w:shd w:val="clear" w:color="000000" w:fill="D9D9D9"/>
            <w:noWrap/>
            <w:vAlign w:val="bottom"/>
            <w:hideMark/>
          </w:tcPr>
          <w:p w14:paraId="16FCD6E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14,502 </w:t>
            </w:r>
          </w:p>
        </w:tc>
        <w:tc>
          <w:tcPr>
            <w:tcW w:w="338" w:type="pct"/>
            <w:tcBorders>
              <w:top w:val="nil"/>
              <w:left w:val="nil"/>
              <w:bottom w:val="single" w:sz="4" w:space="0" w:color="auto"/>
              <w:right w:val="single" w:sz="4" w:space="0" w:color="auto"/>
            </w:tcBorders>
            <w:shd w:val="clear" w:color="000000" w:fill="D9D9D9"/>
            <w:noWrap/>
            <w:vAlign w:val="bottom"/>
            <w:hideMark/>
          </w:tcPr>
          <w:p w14:paraId="7CCC8227"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3.9%</w:t>
            </w:r>
          </w:p>
        </w:tc>
        <w:tc>
          <w:tcPr>
            <w:tcW w:w="320" w:type="pct"/>
            <w:tcBorders>
              <w:top w:val="nil"/>
              <w:left w:val="nil"/>
              <w:bottom w:val="single" w:sz="4" w:space="0" w:color="auto"/>
              <w:right w:val="single" w:sz="4" w:space="0" w:color="auto"/>
            </w:tcBorders>
            <w:shd w:val="clear" w:color="auto" w:fill="auto"/>
            <w:noWrap/>
            <w:vAlign w:val="bottom"/>
            <w:hideMark/>
          </w:tcPr>
          <w:p w14:paraId="4CA9FB2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246,987 </w:t>
            </w:r>
          </w:p>
        </w:tc>
        <w:tc>
          <w:tcPr>
            <w:tcW w:w="320" w:type="pct"/>
            <w:tcBorders>
              <w:top w:val="nil"/>
              <w:left w:val="nil"/>
              <w:bottom w:val="single" w:sz="4" w:space="0" w:color="auto"/>
              <w:right w:val="single" w:sz="4" w:space="0" w:color="auto"/>
            </w:tcBorders>
            <w:shd w:val="clear" w:color="auto" w:fill="auto"/>
            <w:noWrap/>
            <w:vAlign w:val="bottom"/>
            <w:hideMark/>
          </w:tcPr>
          <w:p w14:paraId="3014805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226,294 </w:t>
            </w:r>
          </w:p>
        </w:tc>
        <w:tc>
          <w:tcPr>
            <w:tcW w:w="320" w:type="pct"/>
            <w:tcBorders>
              <w:top w:val="nil"/>
              <w:left w:val="nil"/>
              <w:bottom w:val="single" w:sz="4" w:space="0" w:color="auto"/>
              <w:right w:val="single" w:sz="4" w:space="0" w:color="auto"/>
            </w:tcBorders>
            <w:shd w:val="clear" w:color="000000" w:fill="D9D9D9"/>
            <w:noWrap/>
            <w:vAlign w:val="bottom"/>
            <w:hideMark/>
          </w:tcPr>
          <w:p w14:paraId="1D8CC23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20,693 </w:t>
            </w:r>
          </w:p>
        </w:tc>
        <w:tc>
          <w:tcPr>
            <w:tcW w:w="320" w:type="pct"/>
            <w:tcBorders>
              <w:top w:val="nil"/>
              <w:left w:val="nil"/>
              <w:bottom w:val="single" w:sz="4" w:space="0" w:color="auto"/>
              <w:right w:val="single" w:sz="4" w:space="0" w:color="auto"/>
            </w:tcBorders>
            <w:shd w:val="clear" w:color="000000" w:fill="D9D9D9"/>
            <w:noWrap/>
            <w:vAlign w:val="bottom"/>
            <w:hideMark/>
          </w:tcPr>
          <w:p w14:paraId="3C041A7D"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9.1%</w:t>
            </w:r>
          </w:p>
        </w:tc>
        <w:tc>
          <w:tcPr>
            <w:tcW w:w="275" w:type="pct"/>
            <w:tcBorders>
              <w:top w:val="nil"/>
              <w:left w:val="nil"/>
              <w:bottom w:val="single" w:sz="4" w:space="0" w:color="auto"/>
              <w:right w:val="single" w:sz="4" w:space="0" w:color="auto"/>
            </w:tcBorders>
            <w:shd w:val="clear" w:color="auto" w:fill="auto"/>
            <w:noWrap/>
            <w:vAlign w:val="bottom"/>
            <w:hideMark/>
          </w:tcPr>
          <w:p w14:paraId="04790B1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142,636 </w:t>
            </w:r>
          </w:p>
        </w:tc>
        <w:tc>
          <w:tcPr>
            <w:tcW w:w="275" w:type="pct"/>
            <w:tcBorders>
              <w:top w:val="nil"/>
              <w:left w:val="nil"/>
              <w:bottom w:val="single" w:sz="4" w:space="0" w:color="auto"/>
              <w:right w:val="single" w:sz="4" w:space="0" w:color="auto"/>
            </w:tcBorders>
            <w:shd w:val="clear" w:color="auto" w:fill="auto"/>
            <w:noWrap/>
            <w:vAlign w:val="bottom"/>
            <w:hideMark/>
          </w:tcPr>
          <w:p w14:paraId="32AA8D5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148,827 </w:t>
            </w:r>
          </w:p>
        </w:tc>
        <w:tc>
          <w:tcPr>
            <w:tcW w:w="275" w:type="pct"/>
            <w:tcBorders>
              <w:top w:val="nil"/>
              <w:left w:val="nil"/>
              <w:bottom w:val="single" w:sz="4" w:space="0" w:color="auto"/>
              <w:right w:val="single" w:sz="4" w:space="0" w:color="auto"/>
            </w:tcBorders>
            <w:shd w:val="clear" w:color="000000" w:fill="D9D9D9"/>
            <w:noWrap/>
            <w:vAlign w:val="bottom"/>
            <w:hideMark/>
          </w:tcPr>
          <w:p w14:paraId="53FC968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-6,191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285A32"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-4.2%</w:t>
            </w:r>
          </w:p>
        </w:tc>
      </w:tr>
      <w:tr w:rsidR="0013387A" w:rsidRPr="0013387A" w14:paraId="484BE8EA"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C99FF7B"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The University of New England</w:t>
            </w:r>
          </w:p>
        </w:tc>
        <w:tc>
          <w:tcPr>
            <w:tcW w:w="338" w:type="pct"/>
            <w:tcBorders>
              <w:top w:val="nil"/>
              <w:left w:val="nil"/>
              <w:bottom w:val="single" w:sz="4" w:space="0" w:color="auto"/>
              <w:right w:val="single" w:sz="4" w:space="0" w:color="auto"/>
            </w:tcBorders>
            <w:shd w:val="clear" w:color="auto" w:fill="auto"/>
            <w:noWrap/>
            <w:vAlign w:val="bottom"/>
            <w:hideMark/>
          </w:tcPr>
          <w:p w14:paraId="3AEB056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366,919 </w:t>
            </w:r>
          </w:p>
        </w:tc>
        <w:tc>
          <w:tcPr>
            <w:tcW w:w="338" w:type="pct"/>
            <w:tcBorders>
              <w:top w:val="nil"/>
              <w:left w:val="nil"/>
              <w:bottom w:val="single" w:sz="4" w:space="0" w:color="auto"/>
              <w:right w:val="single" w:sz="4" w:space="0" w:color="auto"/>
            </w:tcBorders>
            <w:shd w:val="clear" w:color="auto" w:fill="auto"/>
            <w:noWrap/>
            <w:vAlign w:val="bottom"/>
            <w:hideMark/>
          </w:tcPr>
          <w:p w14:paraId="6539F8B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346,054 </w:t>
            </w:r>
          </w:p>
        </w:tc>
        <w:tc>
          <w:tcPr>
            <w:tcW w:w="338" w:type="pct"/>
            <w:tcBorders>
              <w:top w:val="nil"/>
              <w:left w:val="nil"/>
              <w:bottom w:val="single" w:sz="4" w:space="0" w:color="auto"/>
              <w:right w:val="single" w:sz="4" w:space="0" w:color="auto"/>
            </w:tcBorders>
            <w:shd w:val="clear" w:color="000000" w:fill="D9D9D9"/>
            <w:noWrap/>
            <w:vAlign w:val="bottom"/>
            <w:hideMark/>
          </w:tcPr>
          <w:p w14:paraId="7C081B5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20,865 </w:t>
            </w:r>
          </w:p>
        </w:tc>
        <w:tc>
          <w:tcPr>
            <w:tcW w:w="338" w:type="pct"/>
            <w:tcBorders>
              <w:top w:val="nil"/>
              <w:left w:val="nil"/>
              <w:bottom w:val="single" w:sz="4" w:space="0" w:color="auto"/>
              <w:right w:val="single" w:sz="4" w:space="0" w:color="auto"/>
            </w:tcBorders>
            <w:shd w:val="clear" w:color="000000" w:fill="D9D9D9"/>
            <w:noWrap/>
            <w:vAlign w:val="bottom"/>
            <w:hideMark/>
          </w:tcPr>
          <w:p w14:paraId="5E0E9B2C"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6.0%</w:t>
            </w:r>
          </w:p>
        </w:tc>
        <w:tc>
          <w:tcPr>
            <w:tcW w:w="320" w:type="pct"/>
            <w:tcBorders>
              <w:top w:val="nil"/>
              <w:left w:val="nil"/>
              <w:bottom w:val="single" w:sz="4" w:space="0" w:color="auto"/>
              <w:right w:val="single" w:sz="4" w:space="0" w:color="auto"/>
            </w:tcBorders>
            <w:shd w:val="clear" w:color="auto" w:fill="auto"/>
            <w:noWrap/>
            <w:vAlign w:val="bottom"/>
            <w:hideMark/>
          </w:tcPr>
          <w:p w14:paraId="7163BF7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225,877 </w:t>
            </w:r>
          </w:p>
        </w:tc>
        <w:tc>
          <w:tcPr>
            <w:tcW w:w="320" w:type="pct"/>
            <w:tcBorders>
              <w:top w:val="nil"/>
              <w:left w:val="nil"/>
              <w:bottom w:val="single" w:sz="4" w:space="0" w:color="auto"/>
              <w:right w:val="single" w:sz="4" w:space="0" w:color="auto"/>
            </w:tcBorders>
            <w:shd w:val="clear" w:color="auto" w:fill="auto"/>
            <w:noWrap/>
            <w:vAlign w:val="bottom"/>
            <w:hideMark/>
          </w:tcPr>
          <w:p w14:paraId="1AB572A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201,171 </w:t>
            </w:r>
          </w:p>
        </w:tc>
        <w:tc>
          <w:tcPr>
            <w:tcW w:w="320" w:type="pct"/>
            <w:tcBorders>
              <w:top w:val="nil"/>
              <w:left w:val="nil"/>
              <w:bottom w:val="single" w:sz="4" w:space="0" w:color="auto"/>
              <w:right w:val="single" w:sz="4" w:space="0" w:color="auto"/>
            </w:tcBorders>
            <w:shd w:val="clear" w:color="000000" w:fill="D9D9D9"/>
            <w:noWrap/>
            <w:vAlign w:val="bottom"/>
            <w:hideMark/>
          </w:tcPr>
          <w:p w14:paraId="3DFC478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24,706 </w:t>
            </w:r>
          </w:p>
        </w:tc>
        <w:tc>
          <w:tcPr>
            <w:tcW w:w="320" w:type="pct"/>
            <w:tcBorders>
              <w:top w:val="nil"/>
              <w:left w:val="nil"/>
              <w:bottom w:val="single" w:sz="4" w:space="0" w:color="auto"/>
              <w:right w:val="single" w:sz="4" w:space="0" w:color="auto"/>
            </w:tcBorders>
            <w:shd w:val="clear" w:color="000000" w:fill="D9D9D9"/>
            <w:noWrap/>
            <w:vAlign w:val="bottom"/>
            <w:hideMark/>
          </w:tcPr>
          <w:p w14:paraId="12503413"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12.3%</w:t>
            </w:r>
          </w:p>
        </w:tc>
        <w:tc>
          <w:tcPr>
            <w:tcW w:w="275" w:type="pct"/>
            <w:tcBorders>
              <w:top w:val="nil"/>
              <w:left w:val="nil"/>
              <w:bottom w:val="single" w:sz="4" w:space="0" w:color="auto"/>
              <w:right w:val="single" w:sz="4" w:space="0" w:color="auto"/>
            </w:tcBorders>
            <w:shd w:val="clear" w:color="auto" w:fill="auto"/>
            <w:noWrap/>
            <w:vAlign w:val="bottom"/>
            <w:hideMark/>
          </w:tcPr>
          <w:p w14:paraId="29EA7B5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141,042 </w:t>
            </w:r>
          </w:p>
        </w:tc>
        <w:tc>
          <w:tcPr>
            <w:tcW w:w="275" w:type="pct"/>
            <w:tcBorders>
              <w:top w:val="nil"/>
              <w:left w:val="nil"/>
              <w:bottom w:val="single" w:sz="4" w:space="0" w:color="auto"/>
              <w:right w:val="single" w:sz="4" w:space="0" w:color="auto"/>
            </w:tcBorders>
            <w:shd w:val="clear" w:color="auto" w:fill="auto"/>
            <w:noWrap/>
            <w:vAlign w:val="bottom"/>
            <w:hideMark/>
          </w:tcPr>
          <w:p w14:paraId="2389B80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144,883 </w:t>
            </w:r>
          </w:p>
        </w:tc>
        <w:tc>
          <w:tcPr>
            <w:tcW w:w="275" w:type="pct"/>
            <w:tcBorders>
              <w:top w:val="nil"/>
              <w:left w:val="nil"/>
              <w:bottom w:val="single" w:sz="4" w:space="0" w:color="auto"/>
              <w:right w:val="single" w:sz="4" w:space="0" w:color="auto"/>
            </w:tcBorders>
            <w:shd w:val="clear" w:color="000000" w:fill="D9D9D9"/>
            <w:noWrap/>
            <w:vAlign w:val="bottom"/>
            <w:hideMark/>
          </w:tcPr>
          <w:p w14:paraId="7565CA1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-3,841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D05F319"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-2.7%</w:t>
            </w:r>
          </w:p>
        </w:tc>
      </w:tr>
      <w:tr w:rsidR="0013387A" w:rsidRPr="0013387A" w14:paraId="0673D81D"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33322E4" w14:textId="036534E7" w:rsidR="0013387A" w:rsidRPr="0013387A" w:rsidRDefault="00046A7A" w:rsidP="0013387A">
            <w:pPr>
              <w:spacing w:after="0" w:line="240" w:lineRule="auto"/>
              <w:rPr>
                <w:rFonts w:eastAsia="Times New Roman" w:cstheme="minorHAnsi"/>
                <w:color w:val="000000"/>
                <w:sz w:val="16"/>
                <w:szCs w:val="16"/>
                <w:lang w:eastAsia="en-AU"/>
              </w:rPr>
            </w:pPr>
            <w:r w:rsidRPr="00046A7A">
              <w:rPr>
                <w:rFonts w:eastAsia="Times New Roman" w:cstheme="minorHAnsi"/>
                <w:color w:val="000000"/>
                <w:sz w:val="16"/>
                <w:szCs w:val="16"/>
                <w:lang w:eastAsia="en-AU"/>
              </w:rPr>
              <w:t>Federation University Australia</w:t>
            </w:r>
          </w:p>
        </w:tc>
        <w:tc>
          <w:tcPr>
            <w:tcW w:w="338" w:type="pct"/>
            <w:tcBorders>
              <w:top w:val="nil"/>
              <w:left w:val="nil"/>
              <w:bottom w:val="single" w:sz="4" w:space="0" w:color="auto"/>
              <w:right w:val="single" w:sz="4" w:space="0" w:color="auto"/>
            </w:tcBorders>
            <w:shd w:val="clear" w:color="auto" w:fill="auto"/>
            <w:noWrap/>
            <w:vAlign w:val="bottom"/>
            <w:hideMark/>
          </w:tcPr>
          <w:p w14:paraId="7BCE3C0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339,438 </w:t>
            </w:r>
          </w:p>
        </w:tc>
        <w:tc>
          <w:tcPr>
            <w:tcW w:w="338" w:type="pct"/>
            <w:tcBorders>
              <w:top w:val="nil"/>
              <w:left w:val="nil"/>
              <w:bottom w:val="single" w:sz="4" w:space="0" w:color="auto"/>
              <w:right w:val="single" w:sz="4" w:space="0" w:color="auto"/>
            </w:tcBorders>
            <w:shd w:val="clear" w:color="auto" w:fill="auto"/>
            <w:noWrap/>
            <w:vAlign w:val="bottom"/>
            <w:hideMark/>
          </w:tcPr>
          <w:p w14:paraId="31E2938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371,504 </w:t>
            </w:r>
          </w:p>
        </w:tc>
        <w:tc>
          <w:tcPr>
            <w:tcW w:w="338" w:type="pct"/>
            <w:tcBorders>
              <w:top w:val="nil"/>
              <w:left w:val="nil"/>
              <w:bottom w:val="single" w:sz="4" w:space="0" w:color="auto"/>
              <w:right w:val="single" w:sz="4" w:space="0" w:color="auto"/>
            </w:tcBorders>
            <w:shd w:val="clear" w:color="000000" w:fill="D9D9D9"/>
            <w:noWrap/>
            <w:vAlign w:val="bottom"/>
            <w:hideMark/>
          </w:tcPr>
          <w:p w14:paraId="5C4306A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-32,066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62EF44"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-8.6%</w:t>
            </w:r>
          </w:p>
        </w:tc>
        <w:tc>
          <w:tcPr>
            <w:tcW w:w="320" w:type="pct"/>
            <w:tcBorders>
              <w:top w:val="nil"/>
              <w:left w:val="nil"/>
              <w:bottom w:val="single" w:sz="4" w:space="0" w:color="auto"/>
              <w:right w:val="single" w:sz="4" w:space="0" w:color="auto"/>
            </w:tcBorders>
            <w:shd w:val="clear" w:color="auto" w:fill="auto"/>
            <w:noWrap/>
            <w:vAlign w:val="bottom"/>
            <w:hideMark/>
          </w:tcPr>
          <w:p w14:paraId="7881B8D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178,352 </w:t>
            </w:r>
          </w:p>
        </w:tc>
        <w:tc>
          <w:tcPr>
            <w:tcW w:w="320" w:type="pct"/>
            <w:tcBorders>
              <w:top w:val="nil"/>
              <w:left w:val="nil"/>
              <w:bottom w:val="single" w:sz="4" w:space="0" w:color="auto"/>
              <w:right w:val="single" w:sz="4" w:space="0" w:color="auto"/>
            </w:tcBorders>
            <w:shd w:val="clear" w:color="auto" w:fill="auto"/>
            <w:noWrap/>
            <w:vAlign w:val="bottom"/>
            <w:hideMark/>
          </w:tcPr>
          <w:p w14:paraId="239C6E8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159,584 </w:t>
            </w:r>
          </w:p>
        </w:tc>
        <w:tc>
          <w:tcPr>
            <w:tcW w:w="320" w:type="pct"/>
            <w:tcBorders>
              <w:top w:val="nil"/>
              <w:left w:val="nil"/>
              <w:bottom w:val="single" w:sz="4" w:space="0" w:color="auto"/>
              <w:right w:val="single" w:sz="4" w:space="0" w:color="auto"/>
            </w:tcBorders>
            <w:shd w:val="clear" w:color="000000" w:fill="D9D9D9"/>
            <w:noWrap/>
            <w:vAlign w:val="bottom"/>
            <w:hideMark/>
          </w:tcPr>
          <w:p w14:paraId="43496F9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18,768 </w:t>
            </w:r>
          </w:p>
        </w:tc>
        <w:tc>
          <w:tcPr>
            <w:tcW w:w="320" w:type="pct"/>
            <w:tcBorders>
              <w:top w:val="nil"/>
              <w:left w:val="nil"/>
              <w:bottom w:val="single" w:sz="4" w:space="0" w:color="auto"/>
              <w:right w:val="single" w:sz="4" w:space="0" w:color="auto"/>
            </w:tcBorders>
            <w:shd w:val="clear" w:color="000000" w:fill="D9D9D9"/>
            <w:noWrap/>
            <w:vAlign w:val="bottom"/>
            <w:hideMark/>
          </w:tcPr>
          <w:p w14:paraId="734AA3F5"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11.8%</w:t>
            </w:r>
          </w:p>
        </w:tc>
        <w:tc>
          <w:tcPr>
            <w:tcW w:w="275" w:type="pct"/>
            <w:tcBorders>
              <w:top w:val="nil"/>
              <w:left w:val="nil"/>
              <w:bottom w:val="single" w:sz="4" w:space="0" w:color="auto"/>
              <w:right w:val="single" w:sz="4" w:space="0" w:color="auto"/>
            </w:tcBorders>
            <w:shd w:val="clear" w:color="auto" w:fill="auto"/>
            <w:noWrap/>
            <w:vAlign w:val="bottom"/>
            <w:hideMark/>
          </w:tcPr>
          <w:p w14:paraId="1180DF6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161,086 </w:t>
            </w:r>
          </w:p>
        </w:tc>
        <w:tc>
          <w:tcPr>
            <w:tcW w:w="275" w:type="pct"/>
            <w:tcBorders>
              <w:top w:val="nil"/>
              <w:left w:val="nil"/>
              <w:bottom w:val="single" w:sz="4" w:space="0" w:color="auto"/>
              <w:right w:val="single" w:sz="4" w:space="0" w:color="auto"/>
            </w:tcBorders>
            <w:shd w:val="clear" w:color="auto" w:fill="auto"/>
            <w:noWrap/>
            <w:vAlign w:val="bottom"/>
            <w:hideMark/>
          </w:tcPr>
          <w:p w14:paraId="1806129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211,920 </w:t>
            </w:r>
          </w:p>
        </w:tc>
        <w:tc>
          <w:tcPr>
            <w:tcW w:w="275" w:type="pct"/>
            <w:tcBorders>
              <w:top w:val="nil"/>
              <w:left w:val="nil"/>
              <w:bottom w:val="single" w:sz="4" w:space="0" w:color="auto"/>
              <w:right w:val="single" w:sz="4" w:space="0" w:color="auto"/>
            </w:tcBorders>
            <w:shd w:val="clear" w:color="000000" w:fill="D9D9D9"/>
            <w:noWrap/>
            <w:vAlign w:val="bottom"/>
            <w:hideMark/>
          </w:tcPr>
          <w:p w14:paraId="3C04AF0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-50,834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ABAAC61"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-24.0%</w:t>
            </w:r>
          </w:p>
        </w:tc>
      </w:tr>
      <w:tr w:rsidR="0013387A" w:rsidRPr="0013387A" w14:paraId="662E83A7"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5367FF7"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University of Southern Queensland</w:t>
            </w:r>
          </w:p>
        </w:tc>
        <w:tc>
          <w:tcPr>
            <w:tcW w:w="338" w:type="pct"/>
            <w:tcBorders>
              <w:top w:val="nil"/>
              <w:left w:val="nil"/>
              <w:bottom w:val="single" w:sz="4" w:space="0" w:color="auto"/>
              <w:right w:val="single" w:sz="4" w:space="0" w:color="auto"/>
            </w:tcBorders>
            <w:shd w:val="clear" w:color="auto" w:fill="auto"/>
            <w:noWrap/>
            <w:vAlign w:val="bottom"/>
            <w:hideMark/>
          </w:tcPr>
          <w:p w14:paraId="36D7FFB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332,392 </w:t>
            </w:r>
          </w:p>
        </w:tc>
        <w:tc>
          <w:tcPr>
            <w:tcW w:w="338" w:type="pct"/>
            <w:tcBorders>
              <w:top w:val="nil"/>
              <w:left w:val="nil"/>
              <w:bottom w:val="single" w:sz="4" w:space="0" w:color="auto"/>
              <w:right w:val="single" w:sz="4" w:space="0" w:color="auto"/>
            </w:tcBorders>
            <w:shd w:val="clear" w:color="auto" w:fill="auto"/>
            <w:noWrap/>
            <w:vAlign w:val="bottom"/>
            <w:hideMark/>
          </w:tcPr>
          <w:p w14:paraId="177B142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321,779 </w:t>
            </w:r>
          </w:p>
        </w:tc>
        <w:tc>
          <w:tcPr>
            <w:tcW w:w="338" w:type="pct"/>
            <w:tcBorders>
              <w:top w:val="nil"/>
              <w:left w:val="nil"/>
              <w:bottom w:val="single" w:sz="4" w:space="0" w:color="auto"/>
              <w:right w:val="single" w:sz="4" w:space="0" w:color="auto"/>
            </w:tcBorders>
            <w:shd w:val="clear" w:color="000000" w:fill="D9D9D9"/>
            <w:noWrap/>
            <w:vAlign w:val="bottom"/>
            <w:hideMark/>
          </w:tcPr>
          <w:p w14:paraId="67C03CB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10,613 </w:t>
            </w:r>
          </w:p>
        </w:tc>
        <w:tc>
          <w:tcPr>
            <w:tcW w:w="338" w:type="pct"/>
            <w:tcBorders>
              <w:top w:val="nil"/>
              <w:left w:val="nil"/>
              <w:bottom w:val="single" w:sz="4" w:space="0" w:color="auto"/>
              <w:right w:val="single" w:sz="4" w:space="0" w:color="auto"/>
            </w:tcBorders>
            <w:shd w:val="clear" w:color="000000" w:fill="D9D9D9"/>
            <w:noWrap/>
            <w:vAlign w:val="bottom"/>
            <w:hideMark/>
          </w:tcPr>
          <w:p w14:paraId="54E5DC38"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3.3%</w:t>
            </w:r>
          </w:p>
        </w:tc>
        <w:tc>
          <w:tcPr>
            <w:tcW w:w="320" w:type="pct"/>
            <w:tcBorders>
              <w:top w:val="nil"/>
              <w:left w:val="nil"/>
              <w:bottom w:val="single" w:sz="4" w:space="0" w:color="auto"/>
              <w:right w:val="single" w:sz="4" w:space="0" w:color="auto"/>
            </w:tcBorders>
            <w:shd w:val="clear" w:color="auto" w:fill="auto"/>
            <w:noWrap/>
            <w:vAlign w:val="bottom"/>
            <w:hideMark/>
          </w:tcPr>
          <w:p w14:paraId="113E42D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229,727 </w:t>
            </w:r>
          </w:p>
        </w:tc>
        <w:tc>
          <w:tcPr>
            <w:tcW w:w="320" w:type="pct"/>
            <w:tcBorders>
              <w:top w:val="nil"/>
              <w:left w:val="nil"/>
              <w:bottom w:val="single" w:sz="4" w:space="0" w:color="auto"/>
              <w:right w:val="single" w:sz="4" w:space="0" w:color="auto"/>
            </w:tcBorders>
            <w:shd w:val="clear" w:color="auto" w:fill="auto"/>
            <w:noWrap/>
            <w:vAlign w:val="bottom"/>
            <w:hideMark/>
          </w:tcPr>
          <w:p w14:paraId="1C96D43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215,716 </w:t>
            </w:r>
          </w:p>
        </w:tc>
        <w:tc>
          <w:tcPr>
            <w:tcW w:w="320" w:type="pct"/>
            <w:tcBorders>
              <w:top w:val="nil"/>
              <w:left w:val="nil"/>
              <w:bottom w:val="single" w:sz="4" w:space="0" w:color="auto"/>
              <w:right w:val="single" w:sz="4" w:space="0" w:color="auto"/>
            </w:tcBorders>
            <w:shd w:val="clear" w:color="000000" w:fill="D9D9D9"/>
            <w:noWrap/>
            <w:vAlign w:val="bottom"/>
            <w:hideMark/>
          </w:tcPr>
          <w:p w14:paraId="615774C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14,011 </w:t>
            </w:r>
          </w:p>
        </w:tc>
        <w:tc>
          <w:tcPr>
            <w:tcW w:w="320" w:type="pct"/>
            <w:tcBorders>
              <w:top w:val="nil"/>
              <w:left w:val="nil"/>
              <w:bottom w:val="single" w:sz="4" w:space="0" w:color="auto"/>
              <w:right w:val="single" w:sz="4" w:space="0" w:color="auto"/>
            </w:tcBorders>
            <w:shd w:val="clear" w:color="000000" w:fill="D9D9D9"/>
            <w:noWrap/>
            <w:vAlign w:val="bottom"/>
            <w:hideMark/>
          </w:tcPr>
          <w:p w14:paraId="7328D93A"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6.5%</w:t>
            </w:r>
          </w:p>
        </w:tc>
        <w:tc>
          <w:tcPr>
            <w:tcW w:w="275" w:type="pct"/>
            <w:tcBorders>
              <w:top w:val="nil"/>
              <w:left w:val="nil"/>
              <w:bottom w:val="single" w:sz="4" w:space="0" w:color="auto"/>
              <w:right w:val="single" w:sz="4" w:space="0" w:color="auto"/>
            </w:tcBorders>
            <w:shd w:val="clear" w:color="auto" w:fill="auto"/>
            <w:noWrap/>
            <w:vAlign w:val="bottom"/>
            <w:hideMark/>
          </w:tcPr>
          <w:p w14:paraId="0122707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102,665 </w:t>
            </w:r>
          </w:p>
        </w:tc>
        <w:tc>
          <w:tcPr>
            <w:tcW w:w="275" w:type="pct"/>
            <w:tcBorders>
              <w:top w:val="nil"/>
              <w:left w:val="nil"/>
              <w:bottom w:val="single" w:sz="4" w:space="0" w:color="auto"/>
              <w:right w:val="single" w:sz="4" w:space="0" w:color="auto"/>
            </w:tcBorders>
            <w:shd w:val="clear" w:color="auto" w:fill="auto"/>
            <w:noWrap/>
            <w:vAlign w:val="bottom"/>
            <w:hideMark/>
          </w:tcPr>
          <w:p w14:paraId="214182B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106,063 </w:t>
            </w:r>
          </w:p>
        </w:tc>
        <w:tc>
          <w:tcPr>
            <w:tcW w:w="275" w:type="pct"/>
            <w:tcBorders>
              <w:top w:val="nil"/>
              <w:left w:val="nil"/>
              <w:bottom w:val="single" w:sz="4" w:space="0" w:color="auto"/>
              <w:right w:val="single" w:sz="4" w:space="0" w:color="auto"/>
            </w:tcBorders>
            <w:shd w:val="clear" w:color="000000" w:fill="D9D9D9"/>
            <w:noWrap/>
            <w:vAlign w:val="bottom"/>
            <w:hideMark/>
          </w:tcPr>
          <w:p w14:paraId="694149A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-3,398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8B36B78"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-3.2%</w:t>
            </w:r>
          </w:p>
        </w:tc>
      </w:tr>
      <w:tr w:rsidR="0013387A" w:rsidRPr="0013387A" w14:paraId="199D0053"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217D8C30"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University of the Sunshine Coast</w:t>
            </w:r>
          </w:p>
        </w:tc>
        <w:tc>
          <w:tcPr>
            <w:tcW w:w="338" w:type="pct"/>
            <w:tcBorders>
              <w:top w:val="nil"/>
              <w:left w:val="nil"/>
              <w:bottom w:val="single" w:sz="4" w:space="0" w:color="auto"/>
              <w:right w:val="single" w:sz="4" w:space="0" w:color="auto"/>
            </w:tcBorders>
            <w:shd w:val="clear" w:color="auto" w:fill="auto"/>
            <w:noWrap/>
            <w:vAlign w:val="bottom"/>
            <w:hideMark/>
          </w:tcPr>
          <w:p w14:paraId="6877E43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297,493 </w:t>
            </w:r>
          </w:p>
        </w:tc>
        <w:tc>
          <w:tcPr>
            <w:tcW w:w="338" w:type="pct"/>
            <w:tcBorders>
              <w:top w:val="nil"/>
              <w:left w:val="nil"/>
              <w:bottom w:val="single" w:sz="4" w:space="0" w:color="auto"/>
              <w:right w:val="single" w:sz="4" w:space="0" w:color="auto"/>
            </w:tcBorders>
            <w:shd w:val="clear" w:color="auto" w:fill="auto"/>
            <w:noWrap/>
            <w:vAlign w:val="bottom"/>
            <w:hideMark/>
          </w:tcPr>
          <w:p w14:paraId="5A7A85C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290,248 </w:t>
            </w:r>
          </w:p>
        </w:tc>
        <w:tc>
          <w:tcPr>
            <w:tcW w:w="338" w:type="pct"/>
            <w:tcBorders>
              <w:top w:val="nil"/>
              <w:left w:val="nil"/>
              <w:bottom w:val="single" w:sz="4" w:space="0" w:color="auto"/>
              <w:right w:val="single" w:sz="4" w:space="0" w:color="auto"/>
            </w:tcBorders>
            <w:shd w:val="clear" w:color="000000" w:fill="D9D9D9"/>
            <w:noWrap/>
            <w:vAlign w:val="bottom"/>
            <w:hideMark/>
          </w:tcPr>
          <w:p w14:paraId="296A991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7,245 </w:t>
            </w:r>
          </w:p>
        </w:tc>
        <w:tc>
          <w:tcPr>
            <w:tcW w:w="338" w:type="pct"/>
            <w:tcBorders>
              <w:top w:val="nil"/>
              <w:left w:val="nil"/>
              <w:bottom w:val="single" w:sz="4" w:space="0" w:color="auto"/>
              <w:right w:val="single" w:sz="4" w:space="0" w:color="auto"/>
            </w:tcBorders>
            <w:shd w:val="clear" w:color="000000" w:fill="D9D9D9"/>
            <w:noWrap/>
            <w:vAlign w:val="bottom"/>
            <w:hideMark/>
          </w:tcPr>
          <w:p w14:paraId="79805FAC"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2.5%</w:t>
            </w:r>
          </w:p>
        </w:tc>
        <w:tc>
          <w:tcPr>
            <w:tcW w:w="320" w:type="pct"/>
            <w:tcBorders>
              <w:top w:val="nil"/>
              <w:left w:val="nil"/>
              <w:bottom w:val="single" w:sz="4" w:space="0" w:color="auto"/>
              <w:right w:val="single" w:sz="4" w:space="0" w:color="auto"/>
            </w:tcBorders>
            <w:shd w:val="clear" w:color="auto" w:fill="auto"/>
            <w:noWrap/>
            <w:vAlign w:val="bottom"/>
            <w:hideMark/>
          </w:tcPr>
          <w:p w14:paraId="4CE3328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188,940 </w:t>
            </w:r>
          </w:p>
        </w:tc>
        <w:tc>
          <w:tcPr>
            <w:tcW w:w="320" w:type="pct"/>
            <w:tcBorders>
              <w:top w:val="nil"/>
              <w:left w:val="nil"/>
              <w:bottom w:val="single" w:sz="4" w:space="0" w:color="auto"/>
              <w:right w:val="single" w:sz="4" w:space="0" w:color="auto"/>
            </w:tcBorders>
            <w:shd w:val="clear" w:color="auto" w:fill="auto"/>
            <w:noWrap/>
            <w:vAlign w:val="bottom"/>
            <w:hideMark/>
          </w:tcPr>
          <w:p w14:paraId="43167EB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171,791 </w:t>
            </w:r>
          </w:p>
        </w:tc>
        <w:tc>
          <w:tcPr>
            <w:tcW w:w="320" w:type="pct"/>
            <w:tcBorders>
              <w:top w:val="nil"/>
              <w:left w:val="nil"/>
              <w:bottom w:val="single" w:sz="4" w:space="0" w:color="auto"/>
              <w:right w:val="single" w:sz="4" w:space="0" w:color="auto"/>
            </w:tcBorders>
            <w:shd w:val="clear" w:color="000000" w:fill="D9D9D9"/>
            <w:noWrap/>
            <w:vAlign w:val="bottom"/>
            <w:hideMark/>
          </w:tcPr>
          <w:p w14:paraId="5108479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17,149 </w:t>
            </w:r>
          </w:p>
        </w:tc>
        <w:tc>
          <w:tcPr>
            <w:tcW w:w="320" w:type="pct"/>
            <w:tcBorders>
              <w:top w:val="nil"/>
              <w:left w:val="nil"/>
              <w:bottom w:val="single" w:sz="4" w:space="0" w:color="auto"/>
              <w:right w:val="single" w:sz="4" w:space="0" w:color="auto"/>
            </w:tcBorders>
            <w:shd w:val="clear" w:color="000000" w:fill="D9D9D9"/>
            <w:noWrap/>
            <w:vAlign w:val="bottom"/>
            <w:hideMark/>
          </w:tcPr>
          <w:p w14:paraId="45AF312A"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10.0%</w:t>
            </w:r>
          </w:p>
        </w:tc>
        <w:tc>
          <w:tcPr>
            <w:tcW w:w="275" w:type="pct"/>
            <w:tcBorders>
              <w:top w:val="nil"/>
              <w:left w:val="nil"/>
              <w:bottom w:val="single" w:sz="4" w:space="0" w:color="auto"/>
              <w:right w:val="single" w:sz="4" w:space="0" w:color="auto"/>
            </w:tcBorders>
            <w:shd w:val="clear" w:color="auto" w:fill="auto"/>
            <w:noWrap/>
            <w:vAlign w:val="bottom"/>
            <w:hideMark/>
          </w:tcPr>
          <w:p w14:paraId="6CFDF2C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108,553 </w:t>
            </w:r>
          </w:p>
        </w:tc>
        <w:tc>
          <w:tcPr>
            <w:tcW w:w="275" w:type="pct"/>
            <w:tcBorders>
              <w:top w:val="nil"/>
              <w:left w:val="nil"/>
              <w:bottom w:val="single" w:sz="4" w:space="0" w:color="auto"/>
              <w:right w:val="single" w:sz="4" w:space="0" w:color="auto"/>
            </w:tcBorders>
            <w:shd w:val="clear" w:color="auto" w:fill="auto"/>
            <w:noWrap/>
            <w:vAlign w:val="bottom"/>
            <w:hideMark/>
          </w:tcPr>
          <w:p w14:paraId="6557599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118,457 </w:t>
            </w:r>
          </w:p>
        </w:tc>
        <w:tc>
          <w:tcPr>
            <w:tcW w:w="275" w:type="pct"/>
            <w:tcBorders>
              <w:top w:val="nil"/>
              <w:left w:val="nil"/>
              <w:bottom w:val="single" w:sz="4" w:space="0" w:color="auto"/>
              <w:right w:val="single" w:sz="4" w:space="0" w:color="auto"/>
            </w:tcBorders>
            <w:shd w:val="clear" w:color="000000" w:fill="D9D9D9"/>
            <w:noWrap/>
            <w:vAlign w:val="bottom"/>
            <w:hideMark/>
          </w:tcPr>
          <w:p w14:paraId="6314D09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-9,904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0932FC9"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-8.4%</w:t>
            </w:r>
          </w:p>
        </w:tc>
      </w:tr>
      <w:tr w:rsidR="0013387A" w:rsidRPr="0013387A" w14:paraId="165B7C11"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37221C83"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Southern Cross University</w:t>
            </w:r>
          </w:p>
        </w:tc>
        <w:tc>
          <w:tcPr>
            <w:tcW w:w="338" w:type="pct"/>
            <w:tcBorders>
              <w:top w:val="nil"/>
              <w:left w:val="nil"/>
              <w:bottom w:val="single" w:sz="4" w:space="0" w:color="auto"/>
              <w:right w:val="single" w:sz="4" w:space="0" w:color="auto"/>
            </w:tcBorders>
            <w:shd w:val="clear" w:color="auto" w:fill="auto"/>
            <w:noWrap/>
            <w:vAlign w:val="bottom"/>
            <w:hideMark/>
          </w:tcPr>
          <w:p w14:paraId="32AC957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294,066 </w:t>
            </w:r>
          </w:p>
        </w:tc>
        <w:tc>
          <w:tcPr>
            <w:tcW w:w="338" w:type="pct"/>
            <w:tcBorders>
              <w:top w:val="nil"/>
              <w:left w:val="nil"/>
              <w:bottom w:val="single" w:sz="4" w:space="0" w:color="auto"/>
              <w:right w:val="single" w:sz="4" w:space="0" w:color="auto"/>
            </w:tcBorders>
            <w:shd w:val="clear" w:color="auto" w:fill="auto"/>
            <w:noWrap/>
            <w:vAlign w:val="bottom"/>
            <w:hideMark/>
          </w:tcPr>
          <w:p w14:paraId="21EE17A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298,458 </w:t>
            </w:r>
          </w:p>
        </w:tc>
        <w:tc>
          <w:tcPr>
            <w:tcW w:w="338" w:type="pct"/>
            <w:tcBorders>
              <w:top w:val="nil"/>
              <w:left w:val="nil"/>
              <w:bottom w:val="single" w:sz="4" w:space="0" w:color="auto"/>
              <w:right w:val="single" w:sz="4" w:space="0" w:color="auto"/>
            </w:tcBorders>
            <w:shd w:val="clear" w:color="000000" w:fill="D9D9D9"/>
            <w:noWrap/>
            <w:vAlign w:val="bottom"/>
            <w:hideMark/>
          </w:tcPr>
          <w:p w14:paraId="460EF27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-4,392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794016"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-1.5%</w:t>
            </w:r>
          </w:p>
        </w:tc>
        <w:tc>
          <w:tcPr>
            <w:tcW w:w="320" w:type="pct"/>
            <w:tcBorders>
              <w:top w:val="nil"/>
              <w:left w:val="nil"/>
              <w:bottom w:val="single" w:sz="4" w:space="0" w:color="auto"/>
              <w:right w:val="single" w:sz="4" w:space="0" w:color="auto"/>
            </w:tcBorders>
            <w:shd w:val="clear" w:color="auto" w:fill="auto"/>
            <w:noWrap/>
            <w:vAlign w:val="bottom"/>
            <w:hideMark/>
          </w:tcPr>
          <w:p w14:paraId="349C58F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166,324 </w:t>
            </w:r>
          </w:p>
        </w:tc>
        <w:tc>
          <w:tcPr>
            <w:tcW w:w="320" w:type="pct"/>
            <w:tcBorders>
              <w:top w:val="nil"/>
              <w:left w:val="nil"/>
              <w:bottom w:val="single" w:sz="4" w:space="0" w:color="auto"/>
              <w:right w:val="single" w:sz="4" w:space="0" w:color="auto"/>
            </w:tcBorders>
            <w:shd w:val="clear" w:color="auto" w:fill="auto"/>
            <w:noWrap/>
            <w:vAlign w:val="bottom"/>
            <w:hideMark/>
          </w:tcPr>
          <w:p w14:paraId="6D0D044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155,614 </w:t>
            </w:r>
          </w:p>
        </w:tc>
        <w:tc>
          <w:tcPr>
            <w:tcW w:w="320" w:type="pct"/>
            <w:tcBorders>
              <w:top w:val="nil"/>
              <w:left w:val="nil"/>
              <w:bottom w:val="single" w:sz="4" w:space="0" w:color="auto"/>
              <w:right w:val="single" w:sz="4" w:space="0" w:color="auto"/>
            </w:tcBorders>
            <w:shd w:val="clear" w:color="000000" w:fill="D9D9D9"/>
            <w:noWrap/>
            <w:vAlign w:val="bottom"/>
            <w:hideMark/>
          </w:tcPr>
          <w:p w14:paraId="276A9CE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10,710 </w:t>
            </w:r>
          </w:p>
        </w:tc>
        <w:tc>
          <w:tcPr>
            <w:tcW w:w="320" w:type="pct"/>
            <w:tcBorders>
              <w:top w:val="nil"/>
              <w:left w:val="nil"/>
              <w:bottom w:val="single" w:sz="4" w:space="0" w:color="auto"/>
              <w:right w:val="single" w:sz="4" w:space="0" w:color="auto"/>
            </w:tcBorders>
            <w:shd w:val="clear" w:color="000000" w:fill="D9D9D9"/>
            <w:noWrap/>
            <w:vAlign w:val="bottom"/>
            <w:hideMark/>
          </w:tcPr>
          <w:p w14:paraId="4012BDF6"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6.9%</w:t>
            </w:r>
          </w:p>
        </w:tc>
        <w:tc>
          <w:tcPr>
            <w:tcW w:w="275" w:type="pct"/>
            <w:tcBorders>
              <w:top w:val="nil"/>
              <w:left w:val="nil"/>
              <w:bottom w:val="single" w:sz="4" w:space="0" w:color="auto"/>
              <w:right w:val="single" w:sz="4" w:space="0" w:color="auto"/>
            </w:tcBorders>
            <w:shd w:val="clear" w:color="auto" w:fill="auto"/>
            <w:noWrap/>
            <w:vAlign w:val="bottom"/>
            <w:hideMark/>
          </w:tcPr>
          <w:p w14:paraId="2A0E50F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127,742 </w:t>
            </w:r>
          </w:p>
        </w:tc>
        <w:tc>
          <w:tcPr>
            <w:tcW w:w="275" w:type="pct"/>
            <w:tcBorders>
              <w:top w:val="nil"/>
              <w:left w:val="nil"/>
              <w:bottom w:val="single" w:sz="4" w:space="0" w:color="auto"/>
              <w:right w:val="single" w:sz="4" w:space="0" w:color="auto"/>
            </w:tcBorders>
            <w:shd w:val="clear" w:color="auto" w:fill="auto"/>
            <w:noWrap/>
            <w:vAlign w:val="bottom"/>
            <w:hideMark/>
          </w:tcPr>
          <w:p w14:paraId="02461D2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142,844 </w:t>
            </w:r>
          </w:p>
        </w:tc>
        <w:tc>
          <w:tcPr>
            <w:tcW w:w="275" w:type="pct"/>
            <w:tcBorders>
              <w:top w:val="nil"/>
              <w:left w:val="nil"/>
              <w:bottom w:val="single" w:sz="4" w:space="0" w:color="auto"/>
              <w:right w:val="single" w:sz="4" w:space="0" w:color="auto"/>
            </w:tcBorders>
            <w:shd w:val="clear" w:color="000000" w:fill="D9D9D9"/>
            <w:noWrap/>
            <w:vAlign w:val="bottom"/>
            <w:hideMark/>
          </w:tcPr>
          <w:p w14:paraId="56DA3FAE"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-15,102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C9EB7B"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-10.6%</w:t>
            </w:r>
          </w:p>
        </w:tc>
      </w:tr>
      <w:tr w:rsidR="0013387A" w:rsidRPr="0013387A" w14:paraId="1A48F072"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EB35C5C"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University of Canberra</w:t>
            </w:r>
          </w:p>
        </w:tc>
        <w:tc>
          <w:tcPr>
            <w:tcW w:w="338" w:type="pct"/>
            <w:tcBorders>
              <w:top w:val="nil"/>
              <w:left w:val="nil"/>
              <w:bottom w:val="single" w:sz="4" w:space="0" w:color="auto"/>
              <w:right w:val="single" w:sz="4" w:space="0" w:color="auto"/>
            </w:tcBorders>
            <w:shd w:val="clear" w:color="auto" w:fill="auto"/>
            <w:noWrap/>
            <w:vAlign w:val="bottom"/>
            <w:hideMark/>
          </w:tcPr>
          <w:p w14:paraId="51EB1A8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283,039 </w:t>
            </w:r>
          </w:p>
        </w:tc>
        <w:tc>
          <w:tcPr>
            <w:tcW w:w="338" w:type="pct"/>
            <w:tcBorders>
              <w:top w:val="nil"/>
              <w:left w:val="nil"/>
              <w:bottom w:val="single" w:sz="4" w:space="0" w:color="auto"/>
              <w:right w:val="single" w:sz="4" w:space="0" w:color="auto"/>
            </w:tcBorders>
            <w:shd w:val="clear" w:color="auto" w:fill="auto"/>
            <w:noWrap/>
            <w:vAlign w:val="bottom"/>
            <w:hideMark/>
          </w:tcPr>
          <w:p w14:paraId="43647B9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295,028 </w:t>
            </w:r>
          </w:p>
        </w:tc>
        <w:tc>
          <w:tcPr>
            <w:tcW w:w="338" w:type="pct"/>
            <w:tcBorders>
              <w:top w:val="nil"/>
              <w:left w:val="nil"/>
              <w:bottom w:val="single" w:sz="4" w:space="0" w:color="auto"/>
              <w:right w:val="single" w:sz="4" w:space="0" w:color="auto"/>
            </w:tcBorders>
            <w:shd w:val="clear" w:color="000000" w:fill="D9D9D9"/>
            <w:noWrap/>
            <w:vAlign w:val="bottom"/>
            <w:hideMark/>
          </w:tcPr>
          <w:p w14:paraId="00E70B1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-11,989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AA0DE53"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-4.1%</w:t>
            </w:r>
          </w:p>
        </w:tc>
        <w:tc>
          <w:tcPr>
            <w:tcW w:w="320" w:type="pct"/>
            <w:tcBorders>
              <w:top w:val="nil"/>
              <w:left w:val="nil"/>
              <w:bottom w:val="single" w:sz="4" w:space="0" w:color="auto"/>
              <w:right w:val="single" w:sz="4" w:space="0" w:color="auto"/>
            </w:tcBorders>
            <w:shd w:val="clear" w:color="auto" w:fill="auto"/>
            <w:noWrap/>
            <w:vAlign w:val="bottom"/>
            <w:hideMark/>
          </w:tcPr>
          <w:p w14:paraId="487DEAB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165,620 </w:t>
            </w:r>
          </w:p>
        </w:tc>
        <w:tc>
          <w:tcPr>
            <w:tcW w:w="320" w:type="pct"/>
            <w:tcBorders>
              <w:top w:val="nil"/>
              <w:left w:val="nil"/>
              <w:bottom w:val="single" w:sz="4" w:space="0" w:color="auto"/>
              <w:right w:val="single" w:sz="4" w:space="0" w:color="auto"/>
            </w:tcBorders>
            <w:shd w:val="clear" w:color="auto" w:fill="auto"/>
            <w:noWrap/>
            <w:vAlign w:val="bottom"/>
            <w:hideMark/>
          </w:tcPr>
          <w:p w14:paraId="21A38977"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162,693 </w:t>
            </w:r>
          </w:p>
        </w:tc>
        <w:tc>
          <w:tcPr>
            <w:tcW w:w="320" w:type="pct"/>
            <w:tcBorders>
              <w:top w:val="nil"/>
              <w:left w:val="nil"/>
              <w:bottom w:val="single" w:sz="4" w:space="0" w:color="auto"/>
              <w:right w:val="single" w:sz="4" w:space="0" w:color="auto"/>
            </w:tcBorders>
            <w:shd w:val="clear" w:color="000000" w:fill="D9D9D9"/>
            <w:noWrap/>
            <w:vAlign w:val="bottom"/>
            <w:hideMark/>
          </w:tcPr>
          <w:p w14:paraId="19DD592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2,927 </w:t>
            </w:r>
          </w:p>
        </w:tc>
        <w:tc>
          <w:tcPr>
            <w:tcW w:w="320" w:type="pct"/>
            <w:tcBorders>
              <w:top w:val="nil"/>
              <w:left w:val="nil"/>
              <w:bottom w:val="single" w:sz="4" w:space="0" w:color="auto"/>
              <w:right w:val="single" w:sz="4" w:space="0" w:color="auto"/>
            </w:tcBorders>
            <w:shd w:val="clear" w:color="000000" w:fill="D9D9D9"/>
            <w:noWrap/>
            <w:vAlign w:val="bottom"/>
            <w:hideMark/>
          </w:tcPr>
          <w:p w14:paraId="5BB2B6A3"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1.8%</w:t>
            </w:r>
          </w:p>
        </w:tc>
        <w:tc>
          <w:tcPr>
            <w:tcW w:w="275" w:type="pct"/>
            <w:tcBorders>
              <w:top w:val="nil"/>
              <w:left w:val="nil"/>
              <w:bottom w:val="single" w:sz="4" w:space="0" w:color="auto"/>
              <w:right w:val="single" w:sz="4" w:space="0" w:color="auto"/>
            </w:tcBorders>
            <w:shd w:val="clear" w:color="auto" w:fill="auto"/>
            <w:noWrap/>
            <w:vAlign w:val="bottom"/>
            <w:hideMark/>
          </w:tcPr>
          <w:p w14:paraId="72157A4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117,419 </w:t>
            </w:r>
          </w:p>
        </w:tc>
        <w:tc>
          <w:tcPr>
            <w:tcW w:w="275" w:type="pct"/>
            <w:tcBorders>
              <w:top w:val="nil"/>
              <w:left w:val="nil"/>
              <w:bottom w:val="single" w:sz="4" w:space="0" w:color="auto"/>
              <w:right w:val="single" w:sz="4" w:space="0" w:color="auto"/>
            </w:tcBorders>
            <w:shd w:val="clear" w:color="auto" w:fill="auto"/>
            <w:noWrap/>
            <w:vAlign w:val="bottom"/>
            <w:hideMark/>
          </w:tcPr>
          <w:p w14:paraId="3D001729"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132,335 </w:t>
            </w:r>
          </w:p>
        </w:tc>
        <w:tc>
          <w:tcPr>
            <w:tcW w:w="275" w:type="pct"/>
            <w:tcBorders>
              <w:top w:val="nil"/>
              <w:left w:val="nil"/>
              <w:bottom w:val="single" w:sz="4" w:space="0" w:color="auto"/>
              <w:right w:val="single" w:sz="4" w:space="0" w:color="auto"/>
            </w:tcBorders>
            <w:shd w:val="clear" w:color="000000" w:fill="D9D9D9"/>
            <w:noWrap/>
            <w:vAlign w:val="bottom"/>
            <w:hideMark/>
          </w:tcPr>
          <w:p w14:paraId="47854A0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-14,916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F74AE20"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-11.3%</w:t>
            </w:r>
          </w:p>
        </w:tc>
      </w:tr>
      <w:tr w:rsidR="0013387A" w:rsidRPr="0013387A" w14:paraId="1D1C3DE7"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7B3D11B0"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Charles Darwin University</w:t>
            </w:r>
          </w:p>
        </w:tc>
        <w:tc>
          <w:tcPr>
            <w:tcW w:w="338" w:type="pct"/>
            <w:tcBorders>
              <w:top w:val="nil"/>
              <w:left w:val="nil"/>
              <w:bottom w:val="single" w:sz="4" w:space="0" w:color="auto"/>
              <w:right w:val="single" w:sz="4" w:space="0" w:color="auto"/>
            </w:tcBorders>
            <w:shd w:val="clear" w:color="auto" w:fill="auto"/>
            <w:noWrap/>
            <w:vAlign w:val="bottom"/>
            <w:hideMark/>
          </w:tcPr>
          <w:p w14:paraId="70DC89B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265,499 </w:t>
            </w:r>
          </w:p>
        </w:tc>
        <w:tc>
          <w:tcPr>
            <w:tcW w:w="338" w:type="pct"/>
            <w:tcBorders>
              <w:top w:val="nil"/>
              <w:left w:val="nil"/>
              <w:bottom w:val="single" w:sz="4" w:space="0" w:color="auto"/>
              <w:right w:val="single" w:sz="4" w:space="0" w:color="auto"/>
            </w:tcBorders>
            <w:shd w:val="clear" w:color="auto" w:fill="auto"/>
            <w:noWrap/>
            <w:vAlign w:val="bottom"/>
            <w:hideMark/>
          </w:tcPr>
          <w:p w14:paraId="579B35C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279,611 </w:t>
            </w:r>
          </w:p>
        </w:tc>
        <w:tc>
          <w:tcPr>
            <w:tcW w:w="338" w:type="pct"/>
            <w:tcBorders>
              <w:top w:val="nil"/>
              <w:left w:val="nil"/>
              <w:bottom w:val="single" w:sz="4" w:space="0" w:color="auto"/>
              <w:right w:val="single" w:sz="4" w:space="0" w:color="auto"/>
            </w:tcBorders>
            <w:shd w:val="clear" w:color="000000" w:fill="D9D9D9"/>
            <w:noWrap/>
            <w:vAlign w:val="bottom"/>
            <w:hideMark/>
          </w:tcPr>
          <w:p w14:paraId="786ACB1D"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-14,112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FEFDBD"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-5.0%</w:t>
            </w:r>
          </w:p>
        </w:tc>
        <w:tc>
          <w:tcPr>
            <w:tcW w:w="320" w:type="pct"/>
            <w:tcBorders>
              <w:top w:val="nil"/>
              <w:left w:val="nil"/>
              <w:bottom w:val="single" w:sz="4" w:space="0" w:color="auto"/>
              <w:right w:val="single" w:sz="4" w:space="0" w:color="auto"/>
            </w:tcBorders>
            <w:shd w:val="clear" w:color="auto" w:fill="auto"/>
            <w:noWrap/>
            <w:vAlign w:val="bottom"/>
            <w:hideMark/>
          </w:tcPr>
          <w:p w14:paraId="58590C3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160,916 </w:t>
            </w:r>
          </w:p>
        </w:tc>
        <w:tc>
          <w:tcPr>
            <w:tcW w:w="320" w:type="pct"/>
            <w:tcBorders>
              <w:top w:val="nil"/>
              <w:left w:val="nil"/>
              <w:bottom w:val="single" w:sz="4" w:space="0" w:color="auto"/>
              <w:right w:val="single" w:sz="4" w:space="0" w:color="auto"/>
            </w:tcBorders>
            <w:shd w:val="clear" w:color="auto" w:fill="auto"/>
            <w:noWrap/>
            <w:vAlign w:val="bottom"/>
            <w:hideMark/>
          </w:tcPr>
          <w:p w14:paraId="6B363135"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162,732 </w:t>
            </w:r>
          </w:p>
        </w:tc>
        <w:tc>
          <w:tcPr>
            <w:tcW w:w="320" w:type="pct"/>
            <w:tcBorders>
              <w:top w:val="nil"/>
              <w:left w:val="nil"/>
              <w:bottom w:val="single" w:sz="4" w:space="0" w:color="auto"/>
              <w:right w:val="single" w:sz="4" w:space="0" w:color="auto"/>
            </w:tcBorders>
            <w:shd w:val="clear" w:color="000000" w:fill="D9D9D9"/>
            <w:noWrap/>
            <w:vAlign w:val="bottom"/>
            <w:hideMark/>
          </w:tcPr>
          <w:p w14:paraId="190AA3E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-1,816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3FCE08"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-1.1%</w:t>
            </w:r>
          </w:p>
        </w:tc>
        <w:tc>
          <w:tcPr>
            <w:tcW w:w="275" w:type="pct"/>
            <w:tcBorders>
              <w:top w:val="nil"/>
              <w:left w:val="nil"/>
              <w:bottom w:val="single" w:sz="4" w:space="0" w:color="auto"/>
              <w:right w:val="single" w:sz="4" w:space="0" w:color="auto"/>
            </w:tcBorders>
            <w:shd w:val="clear" w:color="auto" w:fill="auto"/>
            <w:noWrap/>
            <w:vAlign w:val="bottom"/>
            <w:hideMark/>
          </w:tcPr>
          <w:p w14:paraId="52CFEA5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104,583 </w:t>
            </w:r>
          </w:p>
        </w:tc>
        <w:tc>
          <w:tcPr>
            <w:tcW w:w="275" w:type="pct"/>
            <w:tcBorders>
              <w:top w:val="nil"/>
              <w:left w:val="nil"/>
              <w:bottom w:val="single" w:sz="4" w:space="0" w:color="auto"/>
              <w:right w:val="single" w:sz="4" w:space="0" w:color="auto"/>
            </w:tcBorders>
            <w:shd w:val="clear" w:color="auto" w:fill="auto"/>
            <w:noWrap/>
            <w:vAlign w:val="bottom"/>
            <w:hideMark/>
          </w:tcPr>
          <w:p w14:paraId="0D5CDE0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116,879 </w:t>
            </w:r>
          </w:p>
        </w:tc>
        <w:tc>
          <w:tcPr>
            <w:tcW w:w="275" w:type="pct"/>
            <w:tcBorders>
              <w:top w:val="nil"/>
              <w:left w:val="nil"/>
              <w:bottom w:val="single" w:sz="4" w:space="0" w:color="auto"/>
              <w:right w:val="single" w:sz="4" w:space="0" w:color="auto"/>
            </w:tcBorders>
            <w:shd w:val="clear" w:color="000000" w:fill="D9D9D9"/>
            <w:noWrap/>
            <w:vAlign w:val="bottom"/>
            <w:hideMark/>
          </w:tcPr>
          <w:p w14:paraId="3EBD5EC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-12,296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1EA85D0"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-10.5%</w:t>
            </w:r>
          </w:p>
        </w:tc>
      </w:tr>
      <w:tr w:rsidR="0013387A" w:rsidRPr="0013387A" w14:paraId="0D3F1164"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5F7F8961"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The University of Notre Dame Australia</w:t>
            </w:r>
          </w:p>
        </w:tc>
        <w:tc>
          <w:tcPr>
            <w:tcW w:w="338" w:type="pct"/>
            <w:tcBorders>
              <w:top w:val="nil"/>
              <w:left w:val="nil"/>
              <w:bottom w:val="single" w:sz="4" w:space="0" w:color="auto"/>
              <w:right w:val="single" w:sz="4" w:space="0" w:color="auto"/>
            </w:tcBorders>
            <w:shd w:val="clear" w:color="auto" w:fill="auto"/>
            <w:noWrap/>
            <w:vAlign w:val="bottom"/>
            <w:hideMark/>
          </w:tcPr>
          <w:p w14:paraId="3AC6438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203,871 </w:t>
            </w:r>
          </w:p>
        </w:tc>
        <w:tc>
          <w:tcPr>
            <w:tcW w:w="338" w:type="pct"/>
            <w:tcBorders>
              <w:top w:val="nil"/>
              <w:left w:val="nil"/>
              <w:bottom w:val="single" w:sz="4" w:space="0" w:color="auto"/>
              <w:right w:val="single" w:sz="4" w:space="0" w:color="auto"/>
            </w:tcBorders>
            <w:shd w:val="clear" w:color="auto" w:fill="auto"/>
            <w:noWrap/>
            <w:vAlign w:val="bottom"/>
            <w:hideMark/>
          </w:tcPr>
          <w:p w14:paraId="6318699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194,994 </w:t>
            </w:r>
          </w:p>
        </w:tc>
        <w:tc>
          <w:tcPr>
            <w:tcW w:w="338" w:type="pct"/>
            <w:tcBorders>
              <w:top w:val="nil"/>
              <w:left w:val="nil"/>
              <w:bottom w:val="single" w:sz="4" w:space="0" w:color="auto"/>
              <w:right w:val="single" w:sz="4" w:space="0" w:color="auto"/>
            </w:tcBorders>
            <w:shd w:val="clear" w:color="000000" w:fill="D9D9D9"/>
            <w:noWrap/>
            <w:vAlign w:val="bottom"/>
            <w:hideMark/>
          </w:tcPr>
          <w:p w14:paraId="3A982C8F"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8,877 </w:t>
            </w:r>
          </w:p>
        </w:tc>
        <w:tc>
          <w:tcPr>
            <w:tcW w:w="338" w:type="pct"/>
            <w:tcBorders>
              <w:top w:val="nil"/>
              <w:left w:val="nil"/>
              <w:bottom w:val="single" w:sz="4" w:space="0" w:color="auto"/>
              <w:right w:val="single" w:sz="4" w:space="0" w:color="auto"/>
            </w:tcBorders>
            <w:shd w:val="clear" w:color="000000" w:fill="D9D9D9"/>
            <w:noWrap/>
            <w:vAlign w:val="bottom"/>
            <w:hideMark/>
          </w:tcPr>
          <w:p w14:paraId="7AF24E33"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4.6%</w:t>
            </w:r>
          </w:p>
        </w:tc>
        <w:tc>
          <w:tcPr>
            <w:tcW w:w="320" w:type="pct"/>
            <w:tcBorders>
              <w:top w:val="nil"/>
              <w:left w:val="nil"/>
              <w:bottom w:val="single" w:sz="4" w:space="0" w:color="auto"/>
              <w:right w:val="single" w:sz="4" w:space="0" w:color="auto"/>
            </w:tcBorders>
            <w:shd w:val="clear" w:color="auto" w:fill="auto"/>
            <w:noWrap/>
            <w:vAlign w:val="bottom"/>
            <w:hideMark/>
          </w:tcPr>
          <w:p w14:paraId="3CAEFC1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144,335 </w:t>
            </w:r>
          </w:p>
        </w:tc>
        <w:tc>
          <w:tcPr>
            <w:tcW w:w="320" w:type="pct"/>
            <w:tcBorders>
              <w:top w:val="nil"/>
              <w:left w:val="nil"/>
              <w:bottom w:val="single" w:sz="4" w:space="0" w:color="auto"/>
              <w:right w:val="single" w:sz="4" w:space="0" w:color="auto"/>
            </w:tcBorders>
            <w:shd w:val="clear" w:color="auto" w:fill="auto"/>
            <w:noWrap/>
            <w:vAlign w:val="bottom"/>
            <w:hideMark/>
          </w:tcPr>
          <w:p w14:paraId="2009675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126,648 </w:t>
            </w:r>
          </w:p>
        </w:tc>
        <w:tc>
          <w:tcPr>
            <w:tcW w:w="320" w:type="pct"/>
            <w:tcBorders>
              <w:top w:val="nil"/>
              <w:left w:val="nil"/>
              <w:bottom w:val="single" w:sz="4" w:space="0" w:color="auto"/>
              <w:right w:val="single" w:sz="4" w:space="0" w:color="auto"/>
            </w:tcBorders>
            <w:shd w:val="clear" w:color="000000" w:fill="D9D9D9"/>
            <w:noWrap/>
            <w:vAlign w:val="bottom"/>
            <w:hideMark/>
          </w:tcPr>
          <w:p w14:paraId="23CECA9A"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17,687 </w:t>
            </w:r>
          </w:p>
        </w:tc>
        <w:tc>
          <w:tcPr>
            <w:tcW w:w="320" w:type="pct"/>
            <w:tcBorders>
              <w:top w:val="nil"/>
              <w:left w:val="nil"/>
              <w:bottom w:val="single" w:sz="4" w:space="0" w:color="auto"/>
              <w:right w:val="single" w:sz="4" w:space="0" w:color="auto"/>
            </w:tcBorders>
            <w:shd w:val="clear" w:color="000000" w:fill="D9D9D9"/>
            <w:noWrap/>
            <w:vAlign w:val="bottom"/>
            <w:hideMark/>
          </w:tcPr>
          <w:p w14:paraId="4F3F46CB" w14:textId="77777777" w:rsidR="0013387A" w:rsidRPr="0013387A" w:rsidRDefault="0013387A" w:rsidP="0013387A">
            <w:pPr>
              <w:spacing w:after="0" w:line="240" w:lineRule="auto"/>
              <w:jc w:val="right"/>
              <w:rPr>
                <w:rFonts w:eastAsia="Times New Roman" w:cstheme="minorHAnsi"/>
                <w:sz w:val="16"/>
                <w:szCs w:val="16"/>
                <w:lang w:eastAsia="en-AU"/>
              </w:rPr>
            </w:pPr>
            <w:r w:rsidRPr="0013387A">
              <w:rPr>
                <w:rFonts w:eastAsia="Times New Roman" w:cstheme="minorHAnsi"/>
                <w:sz w:val="16"/>
                <w:szCs w:val="16"/>
                <w:lang w:eastAsia="en-AU"/>
              </w:rPr>
              <w:t>14.0%</w:t>
            </w:r>
          </w:p>
        </w:tc>
        <w:tc>
          <w:tcPr>
            <w:tcW w:w="275" w:type="pct"/>
            <w:tcBorders>
              <w:top w:val="nil"/>
              <w:left w:val="nil"/>
              <w:bottom w:val="single" w:sz="4" w:space="0" w:color="auto"/>
              <w:right w:val="single" w:sz="4" w:space="0" w:color="auto"/>
            </w:tcBorders>
            <w:shd w:val="clear" w:color="auto" w:fill="auto"/>
            <w:noWrap/>
            <w:vAlign w:val="bottom"/>
            <w:hideMark/>
          </w:tcPr>
          <w:p w14:paraId="498BB336"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59,536 </w:t>
            </w:r>
          </w:p>
        </w:tc>
        <w:tc>
          <w:tcPr>
            <w:tcW w:w="275" w:type="pct"/>
            <w:tcBorders>
              <w:top w:val="nil"/>
              <w:left w:val="nil"/>
              <w:bottom w:val="single" w:sz="4" w:space="0" w:color="auto"/>
              <w:right w:val="single" w:sz="4" w:space="0" w:color="auto"/>
            </w:tcBorders>
            <w:shd w:val="clear" w:color="auto" w:fill="auto"/>
            <w:noWrap/>
            <w:vAlign w:val="bottom"/>
            <w:hideMark/>
          </w:tcPr>
          <w:p w14:paraId="0F66F3D0"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68,346 </w:t>
            </w:r>
          </w:p>
        </w:tc>
        <w:tc>
          <w:tcPr>
            <w:tcW w:w="275" w:type="pct"/>
            <w:tcBorders>
              <w:top w:val="nil"/>
              <w:left w:val="nil"/>
              <w:bottom w:val="single" w:sz="4" w:space="0" w:color="auto"/>
              <w:right w:val="single" w:sz="4" w:space="0" w:color="auto"/>
            </w:tcBorders>
            <w:shd w:val="clear" w:color="000000" w:fill="D9D9D9"/>
            <w:noWrap/>
            <w:vAlign w:val="bottom"/>
            <w:hideMark/>
          </w:tcPr>
          <w:p w14:paraId="7BA43A3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-8,810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6595C84"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-12.9%</w:t>
            </w:r>
          </w:p>
        </w:tc>
      </w:tr>
      <w:tr w:rsidR="0013387A" w:rsidRPr="0013387A" w14:paraId="11DA93A5"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14:paraId="478AF036" w14:textId="77777777" w:rsidR="0013387A" w:rsidRPr="0013387A" w:rsidRDefault="0013387A" w:rsidP="0013387A">
            <w:pPr>
              <w:spacing w:after="0" w:line="240" w:lineRule="auto"/>
              <w:rPr>
                <w:rFonts w:eastAsia="Times New Roman" w:cstheme="minorHAnsi"/>
                <w:color w:val="000000"/>
                <w:sz w:val="16"/>
                <w:szCs w:val="16"/>
                <w:lang w:eastAsia="en-AU"/>
              </w:rPr>
            </w:pPr>
            <w:r w:rsidRPr="0013387A">
              <w:rPr>
                <w:rFonts w:eastAsia="Times New Roman" w:cstheme="minorHAnsi"/>
                <w:color w:val="000000"/>
                <w:sz w:val="16"/>
                <w:szCs w:val="16"/>
                <w:lang w:eastAsia="en-AU"/>
              </w:rPr>
              <w:t>Batchelor Institute of Indigenous Tertiary Education</w:t>
            </w:r>
          </w:p>
        </w:tc>
        <w:tc>
          <w:tcPr>
            <w:tcW w:w="338" w:type="pct"/>
            <w:tcBorders>
              <w:top w:val="nil"/>
              <w:left w:val="nil"/>
              <w:bottom w:val="single" w:sz="4" w:space="0" w:color="auto"/>
              <w:right w:val="single" w:sz="4" w:space="0" w:color="auto"/>
            </w:tcBorders>
            <w:shd w:val="clear" w:color="auto" w:fill="auto"/>
            <w:noWrap/>
            <w:vAlign w:val="bottom"/>
            <w:hideMark/>
          </w:tcPr>
          <w:p w14:paraId="382E1B03"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31,453 </w:t>
            </w:r>
          </w:p>
        </w:tc>
        <w:tc>
          <w:tcPr>
            <w:tcW w:w="338" w:type="pct"/>
            <w:tcBorders>
              <w:top w:val="nil"/>
              <w:left w:val="nil"/>
              <w:bottom w:val="single" w:sz="4" w:space="0" w:color="auto"/>
              <w:right w:val="single" w:sz="4" w:space="0" w:color="auto"/>
            </w:tcBorders>
            <w:shd w:val="clear" w:color="auto" w:fill="auto"/>
            <w:noWrap/>
            <w:vAlign w:val="bottom"/>
            <w:hideMark/>
          </w:tcPr>
          <w:p w14:paraId="5BCF224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36,965 </w:t>
            </w:r>
          </w:p>
        </w:tc>
        <w:tc>
          <w:tcPr>
            <w:tcW w:w="338" w:type="pct"/>
            <w:tcBorders>
              <w:top w:val="nil"/>
              <w:left w:val="nil"/>
              <w:bottom w:val="single" w:sz="4" w:space="0" w:color="auto"/>
              <w:right w:val="single" w:sz="4" w:space="0" w:color="auto"/>
            </w:tcBorders>
            <w:shd w:val="clear" w:color="000000" w:fill="D9D9D9"/>
            <w:noWrap/>
            <w:vAlign w:val="bottom"/>
            <w:hideMark/>
          </w:tcPr>
          <w:p w14:paraId="3463A02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-5,512 </w:t>
            </w:r>
          </w:p>
        </w:tc>
        <w:tc>
          <w:tcPr>
            <w:tcW w:w="3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D035972"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-14.9%</w:t>
            </w:r>
          </w:p>
        </w:tc>
        <w:tc>
          <w:tcPr>
            <w:tcW w:w="320" w:type="pct"/>
            <w:tcBorders>
              <w:top w:val="nil"/>
              <w:left w:val="nil"/>
              <w:bottom w:val="single" w:sz="4" w:space="0" w:color="auto"/>
              <w:right w:val="single" w:sz="4" w:space="0" w:color="auto"/>
            </w:tcBorders>
            <w:shd w:val="clear" w:color="auto" w:fill="auto"/>
            <w:noWrap/>
            <w:vAlign w:val="bottom"/>
            <w:hideMark/>
          </w:tcPr>
          <w:p w14:paraId="348B587C"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20,300 </w:t>
            </w:r>
          </w:p>
        </w:tc>
        <w:tc>
          <w:tcPr>
            <w:tcW w:w="320" w:type="pct"/>
            <w:tcBorders>
              <w:top w:val="nil"/>
              <w:left w:val="nil"/>
              <w:bottom w:val="single" w:sz="4" w:space="0" w:color="auto"/>
              <w:right w:val="single" w:sz="4" w:space="0" w:color="auto"/>
            </w:tcBorders>
            <w:shd w:val="clear" w:color="auto" w:fill="auto"/>
            <w:noWrap/>
            <w:vAlign w:val="bottom"/>
            <w:hideMark/>
          </w:tcPr>
          <w:p w14:paraId="60CE6071"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24,471 </w:t>
            </w:r>
          </w:p>
        </w:tc>
        <w:tc>
          <w:tcPr>
            <w:tcW w:w="320" w:type="pct"/>
            <w:tcBorders>
              <w:top w:val="nil"/>
              <w:left w:val="nil"/>
              <w:bottom w:val="single" w:sz="4" w:space="0" w:color="auto"/>
              <w:right w:val="single" w:sz="4" w:space="0" w:color="auto"/>
            </w:tcBorders>
            <w:shd w:val="clear" w:color="000000" w:fill="D9D9D9"/>
            <w:noWrap/>
            <w:vAlign w:val="bottom"/>
            <w:hideMark/>
          </w:tcPr>
          <w:p w14:paraId="6856AF42"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-4,171 </w:t>
            </w:r>
          </w:p>
        </w:tc>
        <w:tc>
          <w:tcPr>
            <w:tcW w:w="320"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8E5981"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-17.0%</w:t>
            </w:r>
          </w:p>
        </w:tc>
        <w:tc>
          <w:tcPr>
            <w:tcW w:w="275" w:type="pct"/>
            <w:tcBorders>
              <w:top w:val="nil"/>
              <w:left w:val="nil"/>
              <w:bottom w:val="single" w:sz="4" w:space="0" w:color="auto"/>
              <w:right w:val="single" w:sz="4" w:space="0" w:color="auto"/>
            </w:tcBorders>
            <w:shd w:val="clear" w:color="auto" w:fill="auto"/>
            <w:noWrap/>
            <w:vAlign w:val="bottom"/>
            <w:hideMark/>
          </w:tcPr>
          <w:p w14:paraId="500CA498"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11,153 </w:t>
            </w:r>
          </w:p>
        </w:tc>
        <w:tc>
          <w:tcPr>
            <w:tcW w:w="275" w:type="pct"/>
            <w:tcBorders>
              <w:top w:val="nil"/>
              <w:left w:val="nil"/>
              <w:bottom w:val="single" w:sz="4" w:space="0" w:color="auto"/>
              <w:right w:val="single" w:sz="4" w:space="0" w:color="auto"/>
            </w:tcBorders>
            <w:shd w:val="clear" w:color="auto" w:fill="auto"/>
            <w:noWrap/>
            <w:vAlign w:val="bottom"/>
            <w:hideMark/>
          </w:tcPr>
          <w:p w14:paraId="1013494B"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000000"/>
                <w:sz w:val="16"/>
                <w:szCs w:val="16"/>
                <w:lang w:eastAsia="en-AU"/>
              </w:rPr>
              <w:t xml:space="preserve">12,494 </w:t>
            </w:r>
          </w:p>
        </w:tc>
        <w:tc>
          <w:tcPr>
            <w:tcW w:w="275" w:type="pct"/>
            <w:tcBorders>
              <w:top w:val="nil"/>
              <w:left w:val="nil"/>
              <w:bottom w:val="single" w:sz="4" w:space="0" w:color="auto"/>
              <w:right w:val="single" w:sz="4" w:space="0" w:color="auto"/>
            </w:tcBorders>
            <w:shd w:val="clear" w:color="000000" w:fill="D9D9D9"/>
            <w:noWrap/>
            <w:vAlign w:val="bottom"/>
            <w:hideMark/>
          </w:tcPr>
          <w:p w14:paraId="4EEF6F34" w14:textId="77777777" w:rsidR="0013387A" w:rsidRPr="0013387A" w:rsidRDefault="0013387A" w:rsidP="0013387A">
            <w:pPr>
              <w:spacing w:after="0" w:line="240" w:lineRule="auto"/>
              <w:jc w:val="right"/>
              <w:rPr>
                <w:rFonts w:eastAsia="Times New Roman" w:cstheme="minorHAnsi"/>
                <w:color w:val="000000"/>
                <w:sz w:val="16"/>
                <w:szCs w:val="16"/>
                <w:lang w:eastAsia="en-AU"/>
              </w:rPr>
            </w:pPr>
            <w:r w:rsidRPr="0013387A">
              <w:rPr>
                <w:rFonts w:eastAsia="Times New Roman" w:cstheme="minorHAnsi"/>
                <w:color w:val="FF0000"/>
                <w:sz w:val="16"/>
                <w:szCs w:val="16"/>
                <w:lang w:eastAsia="en-AU"/>
              </w:rPr>
              <w:t xml:space="preserve">-1,341 </w:t>
            </w:r>
          </w:p>
        </w:tc>
        <w:tc>
          <w:tcPr>
            <w:tcW w:w="2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89F721" w14:textId="77777777" w:rsidR="0013387A" w:rsidRPr="0013387A" w:rsidRDefault="0013387A" w:rsidP="0013387A">
            <w:pPr>
              <w:spacing w:after="0" w:line="240" w:lineRule="auto"/>
              <w:jc w:val="right"/>
              <w:rPr>
                <w:rFonts w:eastAsia="Times New Roman" w:cstheme="minorHAnsi"/>
                <w:color w:val="FF0000"/>
                <w:sz w:val="16"/>
                <w:szCs w:val="16"/>
                <w:lang w:eastAsia="en-AU"/>
              </w:rPr>
            </w:pPr>
            <w:r w:rsidRPr="0013387A">
              <w:rPr>
                <w:rFonts w:eastAsia="Times New Roman" w:cstheme="minorHAnsi"/>
                <w:color w:val="FF0000"/>
                <w:sz w:val="16"/>
                <w:szCs w:val="16"/>
                <w:lang w:eastAsia="en-AU"/>
              </w:rPr>
              <w:t>-10.7%</w:t>
            </w:r>
          </w:p>
        </w:tc>
      </w:tr>
      <w:tr w:rsidR="0013387A" w:rsidRPr="0013387A" w14:paraId="52B1DD36" w14:textId="77777777" w:rsidTr="0013387A">
        <w:trPr>
          <w:trHeight w:val="210"/>
        </w:trPr>
        <w:tc>
          <w:tcPr>
            <w:tcW w:w="1270" w:type="pct"/>
            <w:tcBorders>
              <w:top w:val="nil"/>
              <w:left w:val="single" w:sz="4" w:space="0" w:color="auto"/>
              <w:bottom w:val="single" w:sz="4" w:space="0" w:color="auto"/>
              <w:right w:val="single" w:sz="4" w:space="0" w:color="auto"/>
            </w:tcBorders>
            <w:shd w:val="clear" w:color="auto" w:fill="D5DBEF" w:themeFill="text2" w:themeFillTint="33"/>
            <w:noWrap/>
            <w:vAlign w:val="bottom"/>
            <w:hideMark/>
          </w:tcPr>
          <w:p w14:paraId="095ECE94" w14:textId="77777777" w:rsidR="0013387A" w:rsidRPr="0013387A" w:rsidRDefault="0013387A" w:rsidP="0013387A">
            <w:pPr>
              <w:spacing w:after="0" w:line="240" w:lineRule="auto"/>
              <w:rPr>
                <w:rFonts w:eastAsia="Times New Roman" w:cstheme="minorHAnsi"/>
                <w:b/>
                <w:bCs/>
                <w:color w:val="000000"/>
                <w:sz w:val="16"/>
                <w:szCs w:val="16"/>
                <w:lang w:eastAsia="en-AU"/>
              </w:rPr>
            </w:pPr>
            <w:r w:rsidRPr="0013387A">
              <w:rPr>
                <w:rFonts w:eastAsia="Times New Roman" w:cstheme="minorHAnsi"/>
                <w:b/>
                <w:bCs/>
                <w:color w:val="000000"/>
                <w:sz w:val="16"/>
                <w:szCs w:val="16"/>
                <w:lang w:eastAsia="en-AU"/>
              </w:rPr>
              <w:t>All Institutions</w:t>
            </w:r>
          </w:p>
        </w:tc>
        <w:tc>
          <w:tcPr>
            <w:tcW w:w="338" w:type="pct"/>
            <w:tcBorders>
              <w:top w:val="nil"/>
              <w:left w:val="nil"/>
              <w:bottom w:val="single" w:sz="4" w:space="0" w:color="auto"/>
              <w:right w:val="single" w:sz="4" w:space="0" w:color="auto"/>
            </w:tcBorders>
            <w:shd w:val="clear" w:color="auto" w:fill="D5DBEF" w:themeFill="text2" w:themeFillTint="33"/>
            <w:noWrap/>
            <w:vAlign w:val="bottom"/>
            <w:hideMark/>
          </w:tcPr>
          <w:p w14:paraId="1527A8A2" w14:textId="51FC8292" w:rsidR="0013387A" w:rsidRPr="0013387A" w:rsidRDefault="0013387A" w:rsidP="0013387A">
            <w:pPr>
              <w:spacing w:after="0" w:line="240" w:lineRule="auto"/>
              <w:jc w:val="right"/>
              <w:rPr>
                <w:rFonts w:eastAsia="Times New Roman" w:cstheme="minorHAnsi"/>
                <w:b/>
                <w:bCs/>
                <w:color w:val="000000"/>
                <w:sz w:val="16"/>
                <w:szCs w:val="16"/>
                <w:lang w:eastAsia="en-AU"/>
              </w:rPr>
            </w:pPr>
            <w:r w:rsidRPr="0013387A">
              <w:rPr>
                <w:rFonts w:eastAsia="Times New Roman" w:cstheme="minorHAnsi"/>
                <w:b/>
                <w:bCs/>
                <w:color w:val="000000"/>
                <w:sz w:val="16"/>
                <w:szCs w:val="16"/>
                <w:lang w:eastAsia="en-AU"/>
              </w:rPr>
              <w:t>33,979,</w:t>
            </w:r>
            <w:r w:rsidR="00046A7A">
              <w:rPr>
                <w:rFonts w:eastAsia="Times New Roman" w:cstheme="minorHAnsi"/>
                <w:b/>
                <w:bCs/>
                <w:color w:val="000000"/>
                <w:sz w:val="16"/>
                <w:szCs w:val="16"/>
                <w:lang w:eastAsia="en-AU"/>
              </w:rPr>
              <w:t>400</w:t>
            </w:r>
            <w:r w:rsidRPr="0013387A">
              <w:rPr>
                <w:rFonts w:eastAsia="Times New Roman" w:cstheme="minorHAnsi"/>
                <w:b/>
                <w:bCs/>
                <w:color w:val="000000"/>
                <w:sz w:val="16"/>
                <w:szCs w:val="16"/>
                <w:lang w:eastAsia="en-AU"/>
              </w:rPr>
              <w:t xml:space="preserve"> </w:t>
            </w:r>
          </w:p>
        </w:tc>
        <w:tc>
          <w:tcPr>
            <w:tcW w:w="338" w:type="pct"/>
            <w:tcBorders>
              <w:top w:val="nil"/>
              <w:left w:val="nil"/>
              <w:bottom w:val="single" w:sz="4" w:space="0" w:color="auto"/>
              <w:right w:val="single" w:sz="4" w:space="0" w:color="auto"/>
            </w:tcBorders>
            <w:shd w:val="clear" w:color="auto" w:fill="D5DBEF" w:themeFill="text2" w:themeFillTint="33"/>
            <w:noWrap/>
            <w:vAlign w:val="bottom"/>
            <w:hideMark/>
          </w:tcPr>
          <w:p w14:paraId="2D7D106A" w14:textId="77777777" w:rsidR="0013387A" w:rsidRPr="0013387A" w:rsidRDefault="0013387A" w:rsidP="0013387A">
            <w:pPr>
              <w:spacing w:after="0" w:line="240" w:lineRule="auto"/>
              <w:jc w:val="right"/>
              <w:rPr>
                <w:rFonts w:eastAsia="Times New Roman" w:cstheme="minorHAnsi"/>
                <w:b/>
                <w:bCs/>
                <w:color w:val="000000"/>
                <w:sz w:val="16"/>
                <w:szCs w:val="16"/>
                <w:lang w:eastAsia="en-AU"/>
              </w:rPr>
            </w:pPr>
            <w:r w:rsidRPr="0013387A">
              <w:rPr>
                <w:rFonts w:eastAsia="Times New Roman" w:cstheme="minorHAnsi"/>
                <w:b/>
                <w:bCs/>
                <w:color w:val="000000"/>
                <w:sz w:val="16"/>
                <w:szCs w:val="16"/>
                <w:lang w:eastAsia="en-AU"/>
              </w:rPr>
              <w:t xml:space="preserve">34,234,477 </w:t>
            </w:r>
          </w:p>
        </w:tc>
        <w:tc>
          <w:tcPr>
            <w:tcW w:w="338" w:type="pct"/>
            <w:tcBorders>
              <w:top w:val="nil"/>
              <w:left w:val="nil"/>
              <w:bottom w:val="single" w:sz="4" w:space="0" w:color="auto"/>
              <w:right w:val="single" w:sz="4" w:space="0" w:color="auto"/>
            </w:tcBorders>
            <w:shd w:val="clear" w:color="auto" w:fill="D5DBEF" w:themeFill="text2" w:themeFillTint="33"/>
            <w:noWrap/>
            <w:vAlign w:val="bottom"/>
            <w:hideMark/>
          </w:tcPr>
          <w:p w14:paraId="31EB89E0" w14:textId="3D91DD07" w:rsidR="0013387A" w:rsidRPr="0013387A" w:rsidRDefault="0013387A" w:rsidP="0013387A">
            <w:pPr>
              <w:spacing w:after="0" w:line="240" w:lineRule="auto"/>
              <w:jc w:val="right"/>
              <w:rPr>
                <w:rFonts w:eastAsia="Times New Roman" w:cstheme="minorHAnsi"/>
                <w:b/>
                <w:bCs/>
                <w:color w:val="000000"/>
                <w:sz w:val="16"/>
                <w:szCs w:val="16"/>
                <w:lang w:eastAsia="en-AU"/>
              </w:rPr>
            </w:pPr>
            <w:r w:rsidRPr="0013387A">
              <w:rPr>
                <w:rFonts w:eastAsia="Times New Roman" w:cstheme="minorHAnsi"/>
                <w:b/>
                <w:bCs/>
                <w:color w:val="FF0000"/>
                <w:sz w:val="16"/>
                <w:szCs w:val="16"/>
                <w:lang w:eastAsia="en-AU"/>
              </w:rPr>
              <w:t>-255,0</w:t>
            </w:r>
            <w:r w:rsidR="00046A7A">
              <w:rPr>
                <w:rFonts w:eastAsia="Times New Roman" w:cstheme="minorHAnsi"/>
                <w:b/>
                <w:bCs/>
                <w:color w:val="FF0000"/>
                <w:sz w:val="16"/>
                <w:szCs w:val="16"/>
                <w:lang w:eastAsia="en-AU"/>
              </w:rPr>
              <w:t>77</w:t>
            </w:r>
          </w:p>
        </w:tc>
        <w:tc>
          <w:tcPr>
            <w:tcW w:w="338" w:type="pct"/>
            <w:tcBorders>
              <w:top w:val="single" w:sz="4" w:space="0" w:color="auto"/>
              <w:left w:val="single" w:sz="4" w:space="0" w:color="auto"/>
              <w:bottom w:val="single" w:sz="4" w:space="0" w:color="auto"/>
              <w:right w:val="single" w:sz="4" w:space="0" w:color="auto"/>
            </w:tcBorders>
            <w:shd w:val="clear" w:color="auto" w:fill="D5DBEF" w:themeFill="text2" w:themeFillTint="33"/>
            <w:noWrap/>
            <w:vAlign w:val="bottom"/>
            <w:hideMark/>
          </w:tcPr>
          <w:p w14:paraId="34152846" w14:textId="77777777" w:rsidR="0013387A" w:rsidRPr="0013387A" w:rsidRDefault="0013387A" w:rsidP="0013387A">
            <w:pPr>
              <w:spacing w:after="0" w:line="240" w:lineRule="auto"/>
              <w:jc w:val="right"/>
              <w:rPr>
                <w:rFonts w:eastAsia="Times New Roman" w:cstheme="minorHAnsi"/>
                <w:b/>
                <w:bCs/>
                <w:color w:val="FF0000"/>
                <w:sz w:val="16"/>
                <w:szCs w:val="16"/>
                <w:lang w:eastAsia="en-AU"/>
              </w:rPr>
            </w:pPr>
            <w:r w:rsidRPr="0013387A">
              <w:rPr>
                <w:rFonts w:eastAsia="Times New Roman" w:cstheme="minorHAnsi"/>
                <w:b/>
                <w:bCs/>
                <w:color w:val="FF0000"/>
                <w:sz w:val="16"/>
                <w:szCs w:val="16"/>
                <w:lang w:eastAsia="en-AU"/>
              </w:rPr>
              <w:t>-0.7%</w:t>
            </w:r>
          </w:p>
        </w:tc>
        <w:tc>
          <w:tcPr>
            <w:tcW w:w="320" w:type="pct"/>
            <w:tcBorders>
              <w:top w:val="nil"/>
              <w:left w:val="nil"/>
              <w:bottom w:val="single" w:sz="4" w:space="0" w:color="auto"/>
              <w:right w:val="single" w:sz="4" w:space="0" w:color="auto"/>
            </w:tcBorders>
            <w:shd w:val="clear" w:color="auto" w:fill="D5DBEF" w:themeFill="text2" w:themeFillTint="33"/>
            <w:noWrap/>
            <w:vAlign w:val="bottom"/>
            <w:hideMark/>
          </w:tcPr>
          <w:p w14:paraId="2AB6CD5D" w14:textId="77777777" w:rsidR="0013387A" w:rsidRPr="0013387A" w:rsidRDefault="0013387A" w:rsidP="0013387A">
            <w:pPr>
              <w:spacing w:after="0" w:line="240" w:lineRule="auto"/>
              <w:jc w:val="right"/>
              <w:rPr>
                <w:rFonts w:eastAsia="Times New Roman" w:cstheme="minorHAnsi"/>
                <w:b/>
                <w:bCs/>
                <w:color w:val="000000"/>
                <w:sz w:val="16"/>
                <w:szCs w:val="16"/>
                <w:lang w:eastAsia="en-AU"/>
              </w:rPr>
            </w:pPr>
            <w:r w:rsidRPr="0013387A">
              <w:rPr>
                <w:rFonts w:eastAsia="Times New Roman" w:cstheme="minorHAnsi"/>
                <w:b/>
                <w:bCs/>
                <w:color w:val="000000"/>
                <w:sz w:val="16"/>
                <w:szCs w:val="16"/>
                <w:lang w:eastAsia="en-AU"/>
              </w:rPr>
              <w:t xml:space="preserve">20,148,155 </w:t>
            </w:r>
          </w:p>
        </w:tc>
        <w:tc>
          <w:tcPr>
            <w:tcW w:w="320" w:type="pct"/>
            <w:tcBorders>
              <w:top w:val="nil"/>
              <w:left w:val="nil"/>
              <w:bottom w:val="single" w:sz="4" w:space="0" w:color="auto"/>
              <w:right w:val="single" w:sz="4" w:space="0" w:color="auto"/>
            </w:tcBorders>
            <w:shd w:val="clear" w:color="auto" w:fill="D5DBEF" w:themeFill="text2" w:themeFillTint="33"/>
            <w:noWrap/>
            <w:vAlign w:val="bottom"/>
            <w:hideMark/>
          </w:tcPr>
          <w:p w14:paraId="41F12AA6" w14:textId="77777777" w:rsidR="0013387A" w:rsidRPr="0013387A" w:rsidRDefault="0013387A" w:rsidP="0013387A">
            <w:pPr>
              <w:spacing w:after="0" w:line="240" w:lineRule="auto"/>
              <w:jc w:val="right"/>
              <w:rPr>
                <w:rFonts w:eastAsia="Times New Roman" w:cstheme="minorHAnsi"/>
                <w:b/>
                <w:bCs/>
                <w:color w:val="000000"/>
                <w:sz w:val="16"/>
                <w:szCs w:val="16"/>
                <w:lang w:eastAsia="en-AU"/>
              </w:rPr>
            </w:pPr>
            <w:r w:rsidRPr="0013387A">
              <w:rPr>
                <w:rFonts w:eastAsia="Times New Roman" w:cstheme="minorHAnsi"/>
                <w:b/>
                <w:bCs/>
                <w:color w:val="000000"/>
                <w:sz w:val="16"/>
                <w:szCs w:val="16"/>
                <w:lang w:eastAsia="en-AU"/>
              </w:rPr>
              <w:t xml:space="preserve">19,159,179 </w:t>
            </w:r>
          </w:p>
        </w:tc>
        <w:tc>
          <w:tcPr>
            <w:tcW w:w="320" w:type="pct"/>
            <w:tcBorders>
              <w:top w:val="nil"/>
              <w:left w:val="nil"/>
              <w:bottom w:val="single" w:sz="4" w:space="0" w:color="auto"/>
              <w:right w:val="single" w:sz="4" w:space="0" w:color="auto"/>
            </w:tcBorders>
            <w:shd w:val="clear" w:color="auto" w:fill="D5DBEF" w:themeFill="text2" w:themeFillTint="33"/>
            <w:noWrap/>
            <w:vAlign w:val="bottom"/>
            <w:hideMark/>
          </w:tcPr>
          <w:p w14:paraId="5BFDEF2E" w14:textId="77777777" w:rsidR="0013387A" w:rsidRPr="0013387A" w:rsidRDefault="0013387A" w:rsidP="0013387A">
            <w:pPr>
              <w:spacing w:after="0" w:line="240" w:lineRule="auto"/>
              <w:jc w:val="right"/>
              <w:rPr>
                <w:rFonts w:eastAsia="Times New Roman" w:cstheme="minorHAnsi"/>
                <w:b/>
                <w:bCs/>
                <w:color w:val="000000"/>
                <w:sz w:val="16"/>
                <w:szCs w:val="16"/>
                <w:lang w:eastAsia="en-AU"/>
              </w:rPr>
            </w:pPr>
            <w:r w:rsidRPr="0013387A">
              <w:rPr>
                <w:rFonts w:eastAsia="Times New Roman" w:cstheme="minorHAnsi"/>
                <w:b/>
                <w:bCs/>
                <w:color w:val="000000"/>
                <w:sz w:val="16"/>
                <w:szCs w:val="16"/>
                <w:lang w:eastAsia="en-AU"/>
              </w:rPr>
              <w:t xml:space="preserve">988,976 </w:t>
            </w:r>
          </w:p>
        </w:tc>
        <w:tc>
          <w:tcPr>
            <w:tcW w:w="320" w:type="pct"/>
            <w:tcBorders>
              <w:top w:val="nil"/>
              <w:left w:val="nil"/>
              <w:bottom w:val="single" w:sz="4" w:space="0" w:color="auto"/>
              <w:right w:val="single" w:sz="4" w:space="0" w:color="auto"/>
            </w:tcBorders>
            <w:shd w:val="clear" w:color="auto" w:fill="D5DBEF" w:themeFill="text2" w:themeFillTint="33"/>
            <w:noWrap/>
            <w:vAlign w:val="bottom"/>
            <w:hideMark/>
          </w:tcPr>
          <w:p w14:paraId="37CD9F7D" w14:textId="77777777" w:rsidR="0013387A" w:rsidRPr="0013387A" w:rsidRDefault="0013387A" w:rsidP="0013387A">
            <w:pPr>
              <w:spacing w:after="0" w:line="240" w:lineRule="auto"/>
              <w:jc w:val="right"/>
              <w:rPr>
                <w:rFonts w:eastAsia="Times New Roman" w:cstheme="minorHAnsi"/>
                <w:b/>
                <w:bCs/>
                <w:sz w:val="16"/>
                <w:szCs w:val="16"/>
                <w:lang w:eastAsia="en-AU"/>
              </w:rPr>
            </w:pPr>
            <w:r w:rsidRPr="0013387A">
              <w:rPr>
                <w:rFonts w:eastAsia="Times New Roman" w:cstheme="minorHAnsi"/>
                <w:b/>
                <w:bCs/>
                <w:sz w:val="16"/>
                <w:szCs w:val="16"/>
                <w:lang w:eastAsia="en-AU"/>
              </w:rPr>
              <w:t>5.2%</w:t>
            </w:r>
          </w:p>
        </w:tc>
        <w:tc>
          <w:tcPr>
            <w:tcW w:w="275" w:type="pct"/>
            <w:tcBorders>
              <w:top w:val="nil"/>
              <w:left w:val="nil"/>
              <w:bottom w:val="single" w:sz="4" w:space="0" w:color="auto"/>
              <w:right w:val="single" w:sz="4" w:space="0" w:color="auto"/>
            </w:tcBorders>
            <w:shd w:val="clear" w:color="auto" w:fill="D5DBEF" w:themeFill="text2" w:themeFillTint="33"/>
            <w:noWrap/>
            <w:vAlign w:val="bottom"/>
            <w:hideMark/>
          </w:tcPr>
          <w:p w14:paraId="666C47D6" w14:textId="68D0A1B9" w:rsidR="0013387A" w:rsidRPr="0013387A" w:rsidRDefault="0013387A" w:rsidP="0013387A">
            <w:pPr>
              <w:spacing w:after="0" w:line="240" w:lineRule="auto"/>
              <w:jc w:val="right"/>
              <w:rPr>
                <w:rFonts w:eastAsia="Times New Roman" w:cstheme="minorHAnsi"/>
                <w:b/>
                <w:bCs/>
                <w:color w:val="000000"/>
                <w:sz w:val="16"/>
                <w:szCs w:val="16"/>
                <w:lang w:eastAsia="en-AU"/>
              </w:rPr>
            </w:pPr>
            <w:r w:rsidRPr="0013387A">
              <w:rPr>
                <w:rFonts w:eastAsia="Times New Roman" w:cstheme="minorHAnsi"/>
                <w:b/>
                <w:bCs/>
                <w:color w:val="000000"/>
                <w:sz w:val="16"/>
                <w:szCs w:val="16"/>
                <w:lang w:eastAsia="en-AU"/>
              </w:rPr>
              <w:t>13,831,24</w:t>
            </w:r>
            <w:r w:rsidR="00046A7A">
              <w:rPr>
                <w:rFonts w:eastAsia="Times New Roman" w:cstheme="minorHAnsi"/>
                <w:b/>
                <w:bCs/>
                <w:color w:val="000000"/>
                <w:sz w:val="16"/>
                <w:szCs w:val="16"/>
                <w:lang w:eastAsia="en-AU"/>
              </w:rPr>
              <w:t>5</w:t>
            </w:r>
            <w:r w:rsidRPr="0013387A">
              <w:rPr>
                <w:rFonts w:eastAsia="Times New Roman" w:cstheme="minorHAnsi"/>
                <w:b/>
                <w:bCs/>
                <w:color w:val="000000"/>
                <w:sz w:val="16"/>
                <w:szCs w:val="16"/>
                <w:lang w:eastAsia="en-AU"/>
              </w:rPr>
              <w:t xml:space="preserve"> </w:t>
            </w:r>
          </w:p>
        </w:tc>
        <w:tc>
          <w:tcPr>
            <w:tcW w:w="275" w:type="pct"/>
            <w:tcBorders>
              <w:top w:val="nil"/>
              <w:left w:val="nil"/>
              <w:bottom w:val="single" w:sz="4" w:space="0" w:color="auto"/>
              <w:right w:val="single" w:sz="4" w:space="0" w:color="auto"/>
            </w:tcBorders>
            <w:shd w:val="clear" w:color="auto" w:fill="D5DBEF" w:themeFill="text2" w:themeFillTint="33"/>
            <w:noWrap/>
            <w:vAlign w:val="bottom"/>
            <w:hideMark/>
          </w:tcPr>
          <w:p w14:paraId="630CDD3E" w14:textId="77777777" w:rsidR="0013387A" w:rsidRPr="0013387A" w:rsidRDefault="0013387A" w:rsidP="0013387A">
            <w:pPr>
              <w:spacing w:after="0" w:line="240" w:lineRule="auto"/>
              <w:jc w:val="right"/>
              <w:rPr>
                <w:rFonts w:eastAsia="Times New Roman" w:cstheme="minorHAnsi"/>
                <w:b/>
                <w:bCs/>
                <w:color w:val="000000"/>
                <w:sz w:val="16"/>
                <w:szCs w:val="16"/>
                <w:lang w:eastAsia="en-AU"/>
              </w:rPr>
            </w:pPr>
            <w:r w:rsidRPr="0013387A">
              <w:rPr>
                <w:rFonts w:eastAsia="Times New Roman" w:cstheme="minorHAnsi"/>
                <w:b/>
                <w:bCs/>
                <w:color w:val="000000"/>
                <w:sz w:val="16"/>
                <w:szCs w:val="16"/>
                <w:lang w:eastAsia="en-AU"/>
              </w:rPr>
              <w:t xml:space="preserve">15,075,298 </w:t>
            </w:r>
          </w:p>
        </w:tc>
        <w:tc>
          <w:tcPr>
            <w:tcW w:w="275" w:type="pct"/>
            <w:tcBorders>
              <w:top w:val="nil"/>
              <w:left w:val="nil"/>
              <w:bottom w:val="single" w:sz="4" w:space="0" w:color="auto"/>
              <w:right w:val="single" w:sz="4" w:space="0" w:color="auto"/>
            </w:tcBorders>
            <w:shd w:val="clear" w:color="auto" w:fill="D5DBEF" w:themeFill="text2" w:themeFillTint="33"/>
            <w:noWrap/>
            <w:vAlign w:val="bottom"/>
            <w:hideMark/>
          </w:tcPr>
          <w:p w14:paraId="7F908111" w14:textId="7135236C" w:rsidR="0013387A" w:rsidRPr="0013387A" w:rsidRDefault="0013387A" w:rsidP="0013387A">
            <w:pPr>
              <w:spacing w:after="0" w:line="240" w:lineRule="auto"/>
              <w:jc w:val="right"/>
              <w:rPr>
                <w:rFonts w:eastAsia="Times New Roman" w:cstheme="minorHAnsi"/>
                <w:b/>
                <w:bCs/>
                <w:color w:val="000000"/>
                <w:sz w:val="16"/>
                <w:szCs w:val="16"/>
                <w:lang w:eastAsia="en-AU"/>
              </w:rPr>
            </w:pPr>
            <w:r w:rsidRPr="0013387A">
              <w:rPr>
                <w:rFonts w:eastAsia="Times New Roman" w:cstheme="minorHAnsi"/>
                <w:b/>
                <w:bCs/>
                <w:color w:val="FF0000"/>
                <w:sz w:val="16"/>
                <w:szCs w:val="16"/>
                <w:lang w:eastAsia="en-AU"/>
              </w:rPr>
              <w:t>-1,244,05</w:t>
            </w:r>
            <w:r w:rsidR="00046A7A">
              <w:rPr>
                <w:rFonts w:eastAsia="Times New Roman" w:cstheme="minorHAnsi"/>
                <w:b/>
                <w:bCs/>
                <w:color w:val="FF0000"/>
                <w:sz w:val="16"/>
                <w:szCs w:val="16"/>
                <w:lang w:eastAsia="en-AU"/>
              </w:rPr>
              <w:t>3</w:t>
            </w:r>
            <w:r w:rsidRPr="0013387A">
              <w:rPr>
                <w:rFonts w:eastAsia="Times New Roman" w:cstheme="minorHAnsi"/>
                <w:b/>
                <w:bCs/>
                <w:color w:val="FF0000"/>
                <w:sz w:val="16"/>
                <w:szCs w:val="16"/>
                <w:lang w:eastAsia="en-AU"/>
              </w:rPr>
              <w:t xml:space="preserve"> </w:t>
            </w:r>
          </w:p>
        </w:tc>
        <w:tc>
          <w:tcPr>
            <w:tcW w:w="275" w:type="pct"/>
            <w:tcBorders>
              <w:top w:val="single" w:sz="4" w:space="0" w:color="auto"/>
              <w:left w:val="single" w:sz="4" w:space="0" w:color="auto"/>
              <w:bottom w:val="single" w:sz="4" w:space="0" w:color="auto"/>
              <w:right w:val="single" w:sz="4" w:space="0" w:color="auto"/>
            </w:tcBorders>
            <w:shd w:val="clear" w:color="auto" w:fill="D5DBEF" w:themeFill="text2" w:themeFillTint="33"/>
            <w:noWrap/>
            <w:vAlign w:val="bottom"/>
            <w:hideMark/>
          </w:tcPr>
          <w:p w14:paraId="65B45871" w14:textId="77777777" w:rsidR="0013387A" w:rsidRPr="0013387A" w:rsidRDefault="0013387A" w:rsidP="0013387A">
            <w:pPr>
              <w:spacing w:after="0" w:line="240" w:lineRule="auto"/>
              <w:jc w:val="right"/>
              <w:rPr>
                <w:rFonts w:eastAsia="Times New Roman" w:cstheme="minorHAnsi"/>
                <w:b/>
                <w:bCs/>
                <w:color w:val="FF0000"/>
                <w:sz w:val="16"/>
                <w:szCs w:val="16"/>
                <w:lang w:eastAsia="en-AU"/>
              </w:rPr>
            </w:pPr>
            <w:r w:rsidRPr="0013387A">
              <w:rPr>
                <w:rFonts w:eastAsia="Times New Roman" w:cstheme="minorHAnsi"/>
                <w:b/>
                <w:bCs/>
                <w:color w:val="FF0000"/>
                <w:sz w:val="16"/>
                <w:szCs w:val="16"/>
                <w:lang w:eastAsia="en-AU"/>
              </w:rPr>
              <w:t>-8.3%</w:t>
            </w:r>
          </w:p>
        </w:tc>
      </w:tr>
    </w:tbl>
    <w:p w14:paraId="74ED4023" w14:textId="77777777" w:rsidR="00C452CC" w:rsidRDefault="00C452CC" w:rsidP="00C7551A">
      <w:pPr>
        <w:pStyle w:val="Heading1"/>
        <w:sectPr w:rsidR="00C452CC" w:rsidSect="00765D0C">
          <w:pgSz w:w="16838" w:h="11906" w:orient="landscape"/>
          <w:pgMar w:top="720" w:right="720" w:bottom="720" w:left="720" w:header="708" w:footer="1011" w:gutter="0"/>
          <w:cols w:space="708"/>
          <w:titlePg/>
          <w:docGrid w:linePitch="360"/>
        </w:sectPr>
      </w:pPr>
    </w:p>
    <w:p w14:paraId="626105F5" w14:textId="008B23E9" w:rsidR="00C7551A" w:rsidRPr="001311B7" w:rsidRDefault="00C7551A" w:rsidP="00C7551A">
      <w:pPr>
        <w:pStyle w:val="Heading1"/>
        <w:rPr>
          <w:rFonts w:asciiTheme="minorHAnsi" w:eastAsiaTheme="minorEastAsia" w:hAnsiTheme="minorHAnsi" w:cstheme="minorBidi"/>
          <w:b w:val="0"/>
          <w:bCs w:val="0"/>
          <w:color w:val="auto"/>
          <w:sz w:val="22"/>
          <w:szCs w:val="22"/>
        </w:rPr>
      </w:pPr>
      <w:bookmarkStart w:id="21" w:name="_Toc78463087"/>
      <w:r w:rsidRPr="001311B7">
        <w:lastRenderedPageBreak/>
        <w:t>Financial Position</w:t>
      </w:r>
      <w:bookmarkEnd w:id="20"/>
      <w:bookmarkEnd w:id="21"/>
    </w:p>
    <w:p w14:paraId="3F2E79BF" w14:textId="7A87E900" w:rsidR="00C7551A" w:rsidRPr="00FC2B0B" w:rsidRDefault="00C7551A" w:rsidP="00C7551A">
      <w:pPr>
        <w:pStyle w:val="ListParagraph"/>
        <w:numPr>
          <w:ilvl w:val="0"/>
          <w:numId w:val="25"/>
        </w:numPr>
        <w:spacing w:after="0"/>
      </w:pPr>
      <w:r w:rsidRPr="001311B7">
        <w:t xml:space="preserve">The financial position of </w:t>
      </w:r>
      <w:r w:rsidRPr="00CA2709">
        <w:t xml:space="preserve">universities </w:t>
      </w:r>
      <w:r w:rsidR="001311B7" w:rsidRPr="00CA2709">
        <w:t>remained strong</w:t>
      </w:r>
      <w:r w:rsidR="00CA2709" w:rsidRPr="00CA2709">
        <w:t xml:space="preserve"> throughout</w:t>
      </w:r>
      <w:r w:rsidR="00CA2709">
        <w:t xml:space="preserve"> the 2020 reporting period</w:t>
      </w:r>
      <w:r w:rsidRPr="001311B7">
        <w:t>, with net assets of $6</w:t>
      </w:r>
      <w:r w:rsidR="001311B7" w:rsidRPr="001311B7">
        <w:t>2.7</w:t>
      </w:r>
      <w:r w:rsidRPr="001311B7">
        <w:t xml:space="preserve"> </w:t>
      </w:r>
      <w:r w:rsidRPr="00FC2B0B">
        <w:t xml:space="preserve">billion reported across the sector as at 31 December </w:t>
      </w:r>
      <w:r w:rsidR="00F67E41" w:rsidRPr="00FC2B0B">
        <w:t>2020</w:t>
      </w:r>
      <w:r w:rsidRPr="00FC2B0B">
        <w:t xml:space="preserve">, up </w:t>
      </w:r>
      <w:r w:rsidR="001311B7" w:rsidRPr="00FC2B0B">
        <w:t>1.9</w:t>
      </w:r>
      <w:r w:rsidRPr="00FC2B0B">
        <w:t xml:space="preserve"> </w:t>
      </w:r>
      <w:r w:rsidR="00E43BD8">
        <w:t>per cent</w:t>
      </w:r>
      <w:r w:rsidRPr="00FC2B0B">
        <w:t xml:space="preserve"> from $</w:t>
      </w:r>
      <w:r w:rsidR="001311B7" w:rsidRPr="00FC2B0B">
        <w:t>61.6</w:t>
      </w:r>
      <w:r w:rsidRPr="00FC2B0B">
        <w:t xml:space="preserve"> billion in </w:t>
      </w:r>
      <w:r w:rsidR="00F67E41" w:rsidRPr="00FC2B0B">
        <w:t>2019</w:t>
      </w:r>
      <w:r w:rsidRPr="00FC2B0B">
        <w:t>.</w:t>
      </w:r>
    </w:p>
    <w:p w14:paraId="3DDE0EA5" w14:textId="02C5841E" w:rsidR="006C22C1" w:rsidRPr="00FC2B0B" w:rsidRDefault="00CA2709" w:rsidP="00081B1C">
      <w:pPr>
        <w:pStyle w:val="ListParagraph"/>
        <w:numPr>
          <w:ilvl w:val="0"/>
          <w:numId w:val="25"/>
        </w:numPr>
        <w:spacing w:after="0"/>
      </w:pPr>
      <w:r w:rsidRPr="00FC2B0B">
        <w:t xml:space="preserve">At the individual institution level, </w:t>
      </w:r>
      <w:proofErr w:type="gramStart"/>
      <w:r w:rsidRPr="00FC2B0B">
        <w:t>the majority of</w:t>
      </w:r>
      <w:proofErr w:type="gramEnd"/>
      <w:r w:rsidRPr="00FC2B0B">
        <w:t xml:space="preserve"> universities reported a rising net asset position</w:t>
      </w:r>
      <w:r w:rsidR="006D471B" w:rsidRPr="00FC2B0B">
        <w:t xml:space="preserve">, </w:t>
      </w:r>
      <w:r w:rsidR="007A08B0">
        <w:t>with 27 reporting an increase in their total net assets in 2020.</w:t>
      </w:r>
    </w:p>
    <w:p w14:paraId="750163E2" w14:textId="5C489725" w:rsidR="00C7551A" w:rsidRPr="00FC2B0B" w:rsidRDefault="006C22C1" w:rsidP="00081B1C">
      <w:pPr>
        <w:pStyle w:val="ListParagraph"/>
        <w:numPr>
          <w:ilvl w:val="0"/>
          <w:numId w:val="25"/>
        </w:numPr>
        <w:spacing w:after="0"/>
      </w:pPr>
      <w:r w:rsidRPr="00FC2B0B">
        <w:t>Twelve</w:t>
      </w:r>
      <w:r w:rsidR="006D471B" w:rsidRPr="00FC2B0B">
        <w:t xml:space="preserve"> universities reported a decline</w:t>
      </w:r>
      <w:r w:rsidRPr="00FC2B0B">
        <w:t xml:space="preserve"> in net asset</w:t>
      </w:r>
      <w:r w:rsidR="00534FFA">
        <w:t xml:space="preserve">s due to an increase in liabilities, a decline in assets, or combination of the two. Most of these universities incurred a net deficit during 2020, and the decline in net assets </w:t>
      </w:r>
      <w:proofErr w:type="gramStart"/>
      <w:r w:rsidR="00534FFA">
        <w:t>is a reflection of</w:t>
      </w:r>
      <w:proofErr w:type="gramEnd"/>
      <w:r w:rsidR="00534FFA">
        <w:t xml:space="preserve"> that.  </w:t>
      </w:r>
      <w:r w:rsidR="00C7551A" w:rsidRPr="00FC2B0B">
        <w:t xml:space="preserve">  </w:t>
      </w:r>
    </w:p>
    <w:p w14:paraId="5161CA97" w14:textId="77777777" w:rsidR="00C7551A" w:rsidRPr="00B53E24" w:rsidRDefault="00C7551A" w:rsidP="00C7551A">
      <w:pPr>
        <w:pStyle w:val="Heading2"/>
        <w:spacing w:after="120"/>
      </w:pPr>
      <w:bookmarkStart w:id="22" w:name="_Toc78463088"/>
      <w:r w:rsidRPr="00FC2B0B">
        <w:t>Assets</w:t>
      </w:r>
      <w:bookmarkEnd w:id="22"/>
      <w:r w:rsidRPr="00B53E24">
        <w:t xml:space="preserve"> </w:t>
      </w:r>
    </w:p>
    <w:p w14:paraId="2FA5D581" w14:textId="19F8496D" w:rsidR="00C7551A" w:rsidRPr="00B53E24" w:rsidRDefault="00C7551A" w:rsidP="00C7551A">
      <w:pPr>
        <w:pStyle w:val="ListParagraph"/>
        <w:numPr>
          <w:ilvl w:val="0"/>
          <w:numId w:val="26"/>
        </w:numPr>
      </w:pPr>
      <w:r w:rsidRPr="00B53E24">
        <w:t>Total assets across the sector were $9</w:t>
      </w:r>
      <w:r w:rsidR="001311B7" w:rsidRPr="00B53E24">
        <w:t>5.0</w:t>
      </w:r>
      <w:r w:rsidRPr="00B53E24">
        <w:t xml:space="preserve"> billion as at 31 December </w:t>
      </w:r>
      <w:r w:rsidR="00F67E41" w:rsidRPr="00B53E24">
        <w:t>2020</w:t>
      </w:r>
      <w:r w:rsidRPr="00B53E24">
        <w:t>, increasing from $</w:t>
      </w:r>
      <w:r w:rsidR="001311B7" w:rsidRPr="00B53E24">
        <w:t>90.4</w:t>
      </w:r>
      <w:r w:rsidRPr="00B53E24">
        <w:t xml:space="preserve"> billion in </w:t>
      </w:r>
      <w:r w:rsidR="00F67E41" w:rsidRPr="00B53E24">
        <w:t>2019</w:t>
      </w:r>
      <w:r w:rsidRPr="00B53E24">
        <w:t xml:space="preserve">.  </w:t>
      </w:r>
    </w:p>
    <w:p w14:paraId="07FC76C1" w14:textId="5BA66EF0" w:rsidR="00C7551A" w:rsidRPr="00B53E24" w:rsidRDefault="00C7551A" w:rsidP="00C7551A">
      <w:pPr>
        <w:pStyle w:val="ListParagraph"/>
        <w:numPr>
          <w:ilvl w:val="0"/>
          <w:numId w:val="26"/>
        </w:numPr>
      </w:pPr>
      <w:r w:rsidRPr="00B53E24">
        <w:t>Property, plant and equipment represented the largest component at $5</w:t>
      </w:r>
      <w:r w:rsidR="00B53E24" w:rsidRPr="00B53E24">
        <w:t xml:space="preserve">8.5 </w:t>
      </w:r>
      <w:r w:rsidRPr="00B53E24">
        <w:t>billion followed by investments at $</w:t>
      </w:r>
      <w:r w:rsidR="00D05073">
        <w:t>18.2</w:t>
      </w:r>
      <w:r w:rsidRPr="00B53E24">
        <w:t xml:space="preserve"> billion. </w:t>
      </w:r>
    </w:p>
    <w:p w14:paraId="7B648920" w14:textId="3F12B304" w:rsidR="00C7551A" w:rsidRPr="00B53E24" w:rsidRDefault="00C7551A" w:rsidP="00C7551A">
      <w:pPr>
        <w:pStyle w:val="ListParagraph"/>
        <w:numPr>
          <w:ilvl w:val="0"/>
          <w:numId w:val="26"/>
        </w:numPr>
      </w:pPr>
      <w:r w:rsidRPr="00B53E24">
        <w:t xml:space="preserve">A </w:t>
      </w:r>
      <w:r w:rsidR="00B53E24" w:rsidRPr="00B53E24">
        <w:t>4.9</w:t>
      </w:r>
      <w:r w:rsidRPr="00B53E24">
        <w:t xml:space="preserve"> </w:t>
      </w:r>
      <w:r w:rsidR="00E43BD8">
        <w:t>per cent</w:t>
      </w:r>
      <w:r w:rsidRPr="00B53E24">
        <w:t xml:space="preserve"> increase in property, plant and equipment was reported across the sector in </w:t>
      </w:r>
      <w:r w:rsidR="00F67E41" w:rsidRPr="00B53E24">
        <w:t>2020</w:t>
      </w:r>
      <w:r w:rsidRPr="00B53E24">
        <w:t xml:space="preserve">. This was driven by </w:t>
      </w:r>
      <w:r w:rsidR="000B28D2">
        <w:t xml:space="preserve">the recognition of service concession assets following the introduction of new accounting standards, as well as </w:t>
      </w:r>
      <w:r w:rsidRPr="00B53E24">
        <w:t>additions made during the year</w:t>
      </w:r>
      <w:r w:rsidR="00534FFA">
        <w:t xml:space="preserve"> as universities completed capital works that were already in progress at the start of the year</w:t>
      </w:r>
      <w:r w:rsidRPr="00B53E24">
        <w:t>.</w:t>
      </w:r>
      <w:r w:rsidR="00534FFA">
        <w:t xml:space="preserve"> </w:t>
      </w:r>
    </w:p>
    <w:p w14:paraId="5AED879C" w14:textId="4D7B1115" w:rsidR="00C7551A" w:rsidRPr="00B53E24" w:rsidRDefault="00C7551A" w:rsidP="00C7551A">
      <w:pPr>
        <w:pStyle w:val="ListParagraph"/>
        <w:numPr>
          <w:ilvl w:val="0"/>
          <w:numId w:val="26"/>
        </w:numPr>
      </w:pPr>
      <w:r w:rsidRPr="00B53E24">
        <w:t>Payments for property, plant and equipment were $</w:t>
      </w:r>
      <w:r w:rsidR="00B53E24" w:rsidRPr="00B53E24">
        <w:t>3.3</w:t>
      </w:r>
      <w:r w:rsidRPr="00B53E24">
        <w:t xml:space="preserve"> billion in </w:t>
      </w:r>
      <w:r w:rsidR="00F67E41" w:rsidRPr="00B53E24">
        <w:t>2020</w:t>
      </w:r>
      <w:r w:rsidR="00B53E24" w:rsidRPr="00B53E24">
        <w:t>, down 27.5</w:t>
      </w:r>
      <w:r w:rsidRPr="00B53E24">
        <w:t xml:space="preserve"> </w:t>
      </w:r>
      <w:r w:rsidR="00E43BD8">
        <w:t>per cent</w:t>
      </w:r>
      <w:r w:rsidRPr="00B53E24">
        <w:t xml:space="preserve"> from $4.</w:t>
      </w:r>
      <w:r w:rsidR="00B53E24" w:rsidRPr="00B53E24">
        <w:t>5</w:t>
      </w:r>
      <w:r w:rsidRPr="00B53E24">
        <w:t xml:space="preserve"> billion in </w:t>
      </w:r>
      <w:r w:rsidR="00F67E41" w:rsidRPr="00B53E24">
        <w:t>2019</w:t>
      </w:r>
      <w:r w:rsidRPr="00B53E24">
        <w:t>.</w:t>
      </w:r>
      <w:r w:rsidR="00B53E24" w:rsidRPr="00B53E24">
        <w:t xml:space="preserve"> This is to be expected as </w:t>
      </w:r>
      <w:r w:rsidR="00534FFA">
        <w:t>many</w:t>
      </w:r>
      <w:r w:rsidR="00B53E24" w:rsidRPr="00B53E24">
        <w:t xml:space="preserve"> universities chose to delay capital works </w:t>
      </w:r>
      <w:r w:rsidR="00534FFA">
        <w:t xml:space="preserve">where they were not already committed, </w:t>
      </w:r>
      <w:proofErr w:type="gramStart"/>
      <w:r w:rsidR="00B53E24" w:rsidRPr="00B53E24">
        <w:t xml:space="preserve">in </w:t>
      </w:r>
      <w:r w:rsidR="00534FFA">
        <w:t>order to</w:t>
      </w:r>
      <w:proofErr w:type="gramEnd"/>
      <w:r w:rsidR="00534FFA">
        <w:t xml:space="preserve"> reduce spending in </w:t>
      </w:r>
      <w:r w:rsidR="00B53E24" w:rsidRPr="00B53E24">
        <w:t xml:space="preserve">response to the pandemic. </w:t>
      </w:r>
      <w:r w:rsidRPr="00B53E24">
        <w:t xml:space="preserve">  </w:t>
      </w:r>
    </w:p>
    <w:p w14:paraId="116B25A4" w14:textId="722C3642" w:rsidR="00CF3876" w:rsidRDefault="00CF3876" w:rsidP="00CA2C75">
      <w:pPr>
        <w:rPr>
          <w:rStyle w:val="Strong"/>
          <w:bCs w:val="0"/>
          <w:sz w:val="20"/>
        </w:rPr>
      </w:pPr>
      <w:r w:rsidRPr="00D048B1">
        <w:rPr>
          <w:rStyle w:val="Strong"/>
          <w:bCs w:val="0"/>
          <w:sz w:val="20"/>
        </w:rPr>
        <w:t xml:space="preserve">Figure 4: Breakdown of </w:t>
      </w:r>
      <w:r w:rsidR="00F67E41" w:rsidRPr="00D048B1">
        <w:rPr>
          <w:rStyle w:val="Strong"/>
          <w:bCs w:val="0"/>
          <w:sz w:val="20"/>
        </w:rPr>
        <w:t>2019</w:t>
      </w:r>
      <w:r w:rsidRPr="00D048B1">
        <w:rPr>
          <w:rStyle w:val="Strong"/>
          <w:bCs w:val="0"/>
          <w:sz w:val="20"/>
        </w:rPr>
        <w:t xml:space="preserve"> and </w:t>
      </w:r>
      <w:r w:rsidR="00F67E41" w:rsidRPr="00D048B1">
        <w:rPr>
          <w:rStyle w:val="Strong"/>
          <w:bCs w:val="0"/>
          <w:sz w:val="20"/>
        </w:rPr>
        <w:t>2020</w:t>
      </w:r>
      <w:r w:rsidRPr="00D048B1">
        <w:rPr>
          <w:rStyle w:val="Strong"/>
          <w:bCs w:val="0"/>
          <w:sz w:val="20"/>
        </w:rPr>
        <w:t xml:space="preserve"> Assets</w:t>
      </w:r>
    </w:p>
    <w:p w14:paraId="252A6C14" w14:textId="7606BF7D" w:rsidR="0032263F" w:rsidRDefault="0032263F" w:rsidP="00CA2C75">
      <w:pPr>
        <w:rPr>
          <w:rStyle w:val="Strong"/>
          <w:bCs w:val="0"/>
          <w:sz w:val="20"/>
        </w:rPr>
      </w:pPr>
      <w:r>
        <w:rPr>
          <w:noProof/>
        </w:rPr>
        <w:drawing>
          <wp:inline distT="0" distB="0" distL="0" distR="0" wp14:anchorId="7BED208F" wp14:editId="572840FC">
            <wp:extent cx="4572000" cy="2952750"/>
            <wp:effectExtent l="0" t="0" r="0" b="0"/>
            <wp:docPr id="12" name="Chart 1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E9541F4" w14:textId="77777777" w:rsidR="00C7551A" w:rsidRPr="00DE77F5" w:rsidRDefault="00C7551A" w:rsidP="00C7551A">
      <w:pPr>
        <w:pStyle w:val="Heading2"/>
      </w:pPr>
      <w:bookmarkStart w:id="23" w:name="_Toc78463089"/>
      <w:r w:rsidRPr="00DE77F5">
        <w:t>Cash and investment reserves</w:t>
      </w:r>
      <w:bookmarkEnd w:id="23"/>
    </w:p>
    <w:p w14:paraId="0F0FE6D0" w14:textId="325A0DB8" w:rsidR="00C7551A" w:rsidRDefault="0014385F" w:rsidP="00C7551A">
      <w:pPr>
        <w:pStyle w:val="ListParagraph"/>
        <w:numPr>
          <w:ilvl w:val="0"/>
          <w:numId w:val="25"/>
        </w:numPr>
        <w:rPr>
          <w:rFonts w:cstheme="minorHAnsi"/>
        </w:rPr>
      </w:pPr>
      <w:r>
        <w:rPr>
          <w:rFonts w:cstheme="minorHAnsi"/>
        </w:rPr>
        <w:t xml:space="preserve">Liquidity remains strong across the sector, with </w:t>
      </w:r>
      <w:r w:rsidR="00AA1F1D">
        <w:rPr>
          <w:rFonts w:cstheme="minorHAnsi"/>
        </w:rPr>
        <w:t>significant growth in cash and investment reserves reported by most universities</w:t>
      </w:r>
      <w:r w:rsidR="00E42F06">
        <w:rPr>
          <w:rFonts w:cstheme="minorHAnsi"/>
        </w:rPr>
        <w:t>.</w:t>
      </w:r>
      <w:r w:rsidR="0047023A">
        <w:rPr>
          <w:rFonts w:cstheme="minorHAnsi"/>
        </w:rPr>
        <w:t xml:space="preserve"> T</w:t>
      </w:r>
      <w:r w:rsidR="00C7551A" w:rsidRPr="00DE77F5">
        <w:rPr>
          <w:rFonts w:cstheme="minorHAnsi"/>
        </w:rPr>
        <w:t>otal cash and investments of $2</w:t>
      </w:r>
      <w:r w:rsidR="00156908" w:rsidRPr="00DE77F5">
        <w:rPr>
          <w:rFonts w:cstheme="minorHAnsi"/>
        </w:rPr>
        <w:t>4.</w:t>
      </w:r>
      <w:r w:rsidR="00A86CC8">
        <w:rPr>
          <w:rFonts w:cstheme="minorHAnsi"/>
        </w:rPr>
        <w:t>6</w:t>
      </w:r>
      <w:r w:rsidR="00C7551A" w:rsidRPr="00DE77F5">
        <w:rPr>
          <w:rFonts w:cstheme="minorHAnsi"/>
        </w:rPr>
        <w:t xml:space="preserve"> billion </w:t>
      </w:r>
      <w:r w:rsidR="0047023A">
        <w:rPr>
          <w:rFonts w:cstheme="minorHAnsi"/>
        </w:rPr>
        <w:t xml:space="preserve">were held </w:t>
      </w:r>
      <w:r w:rsidR="00AA1F1D">
        <w:rPr>
          <w:rFonts w:cstheme="minorHAnsi"/>
        </w:rPr>
        <w:t xml:space="preserve">across the sector </w:t>
      </w:r>
      <w:r w:rsidR="00C7551A" w:rsidRPr="00DE77F5">
        <w:rPr>
          <w:rFonts w:cstheme="minorHAnsi"/>
        </w:rPr>
        <w:t xml:space="preserve">as at 31 December </w:t>
      </w:r>
      <w:r w:rsidR="00F67E41" w:rsidRPr="00DE77F5">
        <w:rPr>
          <w:rFonts w:cstheme="minorHAnsi"/>
        </w:rPr>
        <w:t>2020</w:t>
      </w:r>
      <w:r w:rsidR="00C7551A" w:rsidRPr="00DE77F5">
        <w:rPr>
          <w:rFonts w:cstheme="minorHAnsi"/>
        </w:rPr>
        <w:t xml:space="preserve">, up </w:t>
      </w:r>
      <w:r w:rsidR="00A86CC8">
        <w:rPr>
          <w:rFonts w:cstheme="minorHAnsi"/>
        </w:rPr>
        <w:t>9.8</w:t>
      </w:r>
      <w:r w:rsidR="00C7551A" w:rsidRPr="00DE77F5">
        <w:rPr>
          <w:rFonts w:cstheme="minorHAnsi"/>
        </w:rPr>
        <w:t xml:space="preserve"> </w:t>
      </w:r>
      <w:r w:rsidR="00E43BD8">
        <w:rPr>
          <w:rFonts w:cstheme="minorHAnsi"/>
        </w:rPr>
        <w:t>per cent</w:t>
      </w:r>
      <w:r w:rsidR="00C7551A" w:rsidRPr="00DE77F5">
        <w:rPr>
          <w:rFonts w:cstheme="minorHAnsi"/>
        </w:rPr>
        <w:t xml:space="preserve"> from $2</w:t>
      </w:r>
      <w:r w:rsidR="00156908" w:rsidRPr="00DE77F5">
        <w:rPr>
          <w:rFonts w:cstheme="minorHAnsi"/>
        </w:rPr>
        <w:t>2.4</w:t>
      </w:r>
      <w:r w:rsidR="00C7551A" w:rsidRPr="00DE77F5">
        <w:rPr>
          <w:rFonts w:cstheme="minorHAnsi"/>
        </w:rPr>
        <w:t xml:space="preserve"> billion in </w:t>
      </w:r>
      <w:r w:rsidR="00F67E41" w:rsidRPr="00DE77F5">
        <w:rPr>
          <w:rFonts w:cstheme="minorHAnsi"/>
        </w:rPr>
        <w:t>2019</w:t>
      </w:r>
      <w:r w:rsidR="00C7551A" w:rsidRPr="00DE77F5">
        <w:rPr>
          <w:rFonts w:cstheme="minorHAnsi"/>
        </w:rPr>
        <w:t xml:space="preserve">. </w:t>
      </w:r>
    </w:p>
    <w:p w14:paraId="172E6D7A" w14:textId="7022E8E1" w:rsidR="009B698F" w:rsidRPr="00DE77F5" w:rsidRDefault="009B698F" w:rsidP="00C7551A">
      <w:pPr>
        <w:pStyle w:val="ListParagraph"/>
        <w:numPr>
          <w:ilvl w:val="0"/>
          <w:numId w:val="25"/>
        </w:numPr>
        <w:rPr>
          <w:rFonts w:cstheme="minorHAnsi"/>
        </w:rPr>
      </w:pPr>
      <w:r>
        <w:rPr>
          <w:rFonts w:cstheme="minorHAnsi"/>
        </w:rPr>
        <w:t xml:space="preserve">This amount would be sufficient to cover the university operating expenses, on average, for more than </w:t>
      </w:r>
      <w:r w:rsidR="00385519">
        <w:rPr>
          <w:rFonts w:cstheme="minorHAnsi"/>
        </w:rPr>
        <w:t xml:space="preserve">eight </w:t>
      </w:r>
      <w:r>
        <w:rPr>
          <w:rFonts w:cstheme="minorHAnsi"/>
        </w:rPr>
        <w:t>months across the sector</w:t>
      </w:r>
      <w:r w:rsidR="007D3BBE">
        <w:rPr>
          <w:rFonts w:cstheme="minorHAnsi"/>
        </w:rPr>
        <w:t xml:space="preserve">, </w:t>
      </w:r>
      <w:r w:rsidR="00385519">
        <w:rPr>
          <w:rFonts w:cstheme="minorHAnsi"/>
        </w:rPr>
        <w:t>with a range of between two and seventeen</w:t>
      </w:r>
      <w:r w:rsidR="007D3BBE">
        <w:rPr>
          <w:rFonts w:cstheme="minorHAnsi"/>
        </w:rPr>
        <w:t xml:space="preserve"> months.</w:t>
      </w:r>
    </w:p>
    <w:p w14:paraId="7551A549" w14:textId="5F756FA8" w:rsidR="00892AD5" w:rsidRPr="00FB56C2" w:rsidRDefault="004A7626" w:rsidP="00C7551A">
      <w:pPr>
        <w:pStyle w:val="ListParagraph"/>
        <w:numPr>
          <w:ilvl w:val="0"/>
          <w:numId w:val="25"/>
        </w:numPr>
        <w:rPr>
          <w:rFonts w:cstheme="minorHAnsi"/>
        </w:rPr>
      </w:pPr>
      <w:r w:rsidRPr="00DE77F5">
        <w:rPr>
          <w:rFonts w:cstheme="minorHAnsi"/>
        </w:rPr>
        <w:lastRenderedPageBreak/>
        <w:t xml:space="preserve">An increase in cash </w:t>
      </w:r>
      <w:r w:rsidR="007A08B0">
        <w:rPr>
          <w:rFonts w:cstheme="minorHAnsi"/>
        </w:rPr>
        <w:t xml:space="preserve">and cash equivalents </w:t>
      </w:r>
      <w:r w:rsidRPr="00DE77F5">
        <w:rPr>
          <w:rFonts w:cstheme="minorHAnsi"/>
        </w:rPr>
        <w:t xml:space="preserve">was the main driver of this growth, with </w:t>
      </w:r>
      <w:r w:rsidR="00AA1F1D">
        <w:rPr>
          <w:rFonts w:cstheme="minorHAnsi"/>
        </w:rPr>
        <w:t>universities stockpiling cash</w:t>
      </w:r>
      <w:r w:rsidR="009B698F">
        <w:rPr>
          <w:rFonts w:cstheme="minorHAnsi"/>
        </w:rPr>
        <w:t xml:space="preserve"> that might previously have been slated for capital projects or other uses, and </w:t>
      </w:r>
      <w:r w:rsidR="006929AE">
        <w:rPr>
          <w:rFonts w:cstheme="minorHAnsi"/>
        </w:rPr>
        <w:t xml:space="preserve">some </w:t>
      </w:r>
      <w:r w:rsidRPr="00DE77F5">
        <w:rPr>
          <w:rFonts w:cstheme="minorHAnsi"/>
        </w:rPr>
        <w:t>choosing to liquidate investments or use the proceeds of borrowings in order to boost their cash holdings</w:t>
      </w:r>
      <w:r w:rsidR="009B698F">
        <w:rPr>
          <w:rFonts w:cstheme="minorHAnsi"/>
        </w:rPr>
        <w:t xml:space="preserve"> further</w:t>
      </w:r>
      <w:r w:rsidR="00892AD5" w:rsidRPr="00DE77F5">
        <w:rPr>
          <w:rFonts w:cstheme="minorHAnsi"/>
        </w:rPr>
        <w:t xml:space="preserve">, </w:t>
      </w:r>
      <w:r w:rsidR="00156908" w:rsidRPr="00DE77F5">
        <w:rPr>
          <w:rFonts w:cstheme="minorHAnsi"/>
        </w:rPr>
        <w:t xml:space="preserve">improve liquidity and </w:t>
      </w:r>
      <w:r w:rsidR="00156908" w:rsidRPr="00FB56C2">
        <w:rPr>
          <w:rFonts w:cstheme="minorHAnsi"/>
        </w:rPr>
        <w:t xml:space="preserve">provide a buffer to help weather the effects of the pandemic. </w:t>
      </w:r>
    </w:p>
    <w:p w14:paraId="701683BD" w14:textId="30C99522" w:rsidR="00C7551A" w:rsidRPr="00FB56C2" w:rsidRDefault="00156908" w:rsidP="00C7551A">
      <w:pPr>
        <w:pStyle w:val="ListParagraph"/>
        <w:numPr>
          <w:ilvl w:val="0"/>
          <w:numId w:val="25"/>
        </w:numPr>
        <w:rPr>
          <w:rFonts w:cstheme="minorHAnsi"/>
        </w:rPr>
      </w:pPr>
      <w:r w:rsidRPr="00FB56C2">
        <w:rPr>
          <w:rFonts w:cstheme="minorHAnsi"/>
        </w:rPr>
        <w:t xml:space="preserve">Total cash held across the sector </w:t>
      </w:r>
      <w:r w:rsidR="00892AD5" w:rsidRPr="00FB56C2">
        <w:rPr>
          <w:rFonts w:cstheme="minorHAnsi"/>
        </w:rPr>
        <w:t>was</w:t>
      </w:r>
      <w:r w:rsidR="00DE77F5" w:rsidRPr="00FB56C2">
        <w:rPr>
          <w:rFonts w:cstheme="minorHAnsi"/>
        </w:rPr>
        <w:t xml:space="preserve"> $6.4 billion as at 31 December 2020, up </w:t>
      </w:r>
      <w:r w:rsidRPr="00FB56C2">
        <w:rPr>
          <w:rFonts w:cstheme="minorHAnsi"/>
        </w:rPr>
        <w:t xml:space="preserve">$1.8 billion or 38.5 </w:t>
      </w:r>
      <w:r w:rsidR="00E43BD8">
        <w:rPr>
          <w:rFonts w:cstheme="minorHAnsi"/>
        </w:rPr>
        <w:t>per cent</w:t>
      </w:r>
      <w:r w:rsidRPr="00FB56C2">
        <w:rPr>
          <w:rFonts w:cstheme="minorHAnsi"/>
        </w:rPr>
        <w:t xml:space="preserve"> </w:t>
      </w:r>
      <w:r w:rsidR="00DE77F5" w:rsidRPr="00FB56C2">
        <w:rPr>
          <w:rFonts w:cstheme="minorHAnsi"/>
        </w:rPr>
        <w:t>from $4.6</w:t>
      </w:r>
      <w:r w:rsidRPr="00FB56C2">
        <w:rPr>
          <w:rFonts w:cstheme="minorHAnsi"/>
        </w:rPr>
        <w:t xml:space="preserve"> billion</w:t>
      </w:r>
      <w:r w:rsidR="00DE77F5" w:rsidRPr="00FB56C2">
        <w:rPr>
          <w:rFonts w:cstheme="minorHAnsi"/>
        </w:rPr>
        <w:t xml:space="preserve"> in 2019.</w:t>
      </w:r>
    </w:p>
    <w:p w14:paraId="16503E45" w14:textId="6741EB2B" w:rsidR="00C737DE" w:rsidRDefault="00C7551A" w:rsidP="00C7551A">
      <w:pPr>
        <w:pStyle w:val="ListParagraph"/>
        <w:numPr>
          <w:ilvl w:val="0"/>
          <w:numId w:val="25"/>
        </w:numPr>
        <w:rPr>
          <w:rFonts w:cstheme="minorHAnsi"/>
        </w:rPr>
      </w:pPr>
      <w:r w:rsidRPr="00FB56C2">
        <w:rPr>
          <w:rFonts w:cstheme="minorHAnsi"/>
        </w:rPr>
        <w:t xml:space="preserve">Individually, </w:t>
      </w:r>
      <w:r w:rsidR="005B20F6">
        <w:rPr>
          <w:rFonts w:cstheme="minorHAnsi"/>
        </w:rPr>
        <w:t>a total of 3</w:t>
      </w:r>
      <w:r w:rsidR="00E045B8">
        <w:rPr>
          <w:rFonts w:cstheme="minorHAnsi"/>
        </w:rPr>
        <w:t>1</w:t>
      </w:r>
      <w:r w:rsidR="005B20F6">
        <w:rPr>
          <w:rFonts w:cstheme="minorHAnsi"/>
        </w:rPr>
        <w:t xml:space="preserve"> universities increased their cash reserves during 2020, with</w:t>
      </w:r>
      <w:r w:rsidR="007C6D9A">
        <w:rPr>
          <w:rFonts w:cstheme="minorHAnsi"/>
        </w:rPr>
        <w:t xml:space="preserve"> nearly half of these increasing their cash by more than 50 </w:t>
      </w:r>
      <w:r w:rsidR="00E43BD8">
        <w:rPr>
          <w:rFonts w:cstheme="minorHAnsi"/>
        </w:rPr>
        <w:t>per cent</w:t>
      </w:r>
      <w:r w:rsidR="00C478BA">
        <w:rPr>
          <w:rFonts w:cstheme="minorHAnsi"/>
        </w:rPr>
        <w:t xml:space="preserve">. </w:t>
      </w:r>
    </w:p>
    <w:p w14:paraId="458AE977" w14:textId="7D2D51BC" w:rsidR="00D95D1B" w:rsidRDefault="00D90F4B" w:rsidP="00C7551A">
      <w:pPr>
        <w:pStyle w:val="ListParagraph"/>
        <w:numPr>
          <w:ilvl w:val="0"/>
          <w:numId w:val="25"/>
        </w:numPr>
        <w:rPr>
          <w:rFonts w:cstheme="minorHAnsi"/>
        </w:rPr>
      </w:pPr>
      <w:r>
        <w:rPr>
          <w:rFonts w:cstheme="minorHAnsi"/>
        </w:rPr>
        <w:t xml:space="preserve">The largest increase in cash and cash equivalents reported </w:t>
      </w:r>
      <w:r w:rsidR="00385519">
        <w:rPr>
          <w:rFonts w:cstheme="minorHAnsi"/>
        </w:rPr>
        <w:t>was</w:t>
      </w:r>
      <w:r w:rsidR="0011369A">
        <w:rPr>
          <w:rFonts w:cstheme="minorHAnsi"/>
        </w:rPr>
        <w:t xml:space="preserve"> </w:t>
      </w:r>
      <w:r w:rsidR="007B4A29">
        <w:rPr>
          <w:rFonts w:cstheme="minorHAnsi"/>
        </w:rPr>
        <w:t>$551.8</w:t>
      </w:r>
      <w:r w:rsidR="00E43BD8">
        <w:rPr>
          <w:rFonts w:cstheme="minorHAnsi"/>
        </w:rPr>
        <w:t> </w:t>
      </w:r>
      <w:r w:rsidR="007B4A29">
        <w:rPr>
          <w:rFonts w:cstheme="minorHAnsi"/>
        </w:rPr>
        <w:t>million</w:t>
      </w:r>
      <w:r w:rsidR="00313613">
        <w:rPr>
          <w:rFonts w:cstheme="minorHAnsi"/>
        </w:rPr>
        <w:t xml:space="preserve">. The largest decline in cash and cash equivalents reported </w:t>
      </w:r>
      <w:r w:rsidR="00385519">
        <w:rPr>
          <w:rFonts w:cstheme="minorHAnsi"/>
        </w:rPr>
        <w:t>was</w:t>
      </w:r>
      <w:r w:rsidR="00041D7C">
        <w:rPr>
          <w:rFonts w:cstheme="minorHAnsi"/>
        </w:rPr>
        <w:t xml:space="preserve"> $356.8 million. </w:t>
      </w:r>
      <w:r w:rsidR="00385519">
        <w:rPr>
          <w:rFonts w:cstheme="minorHAnsi"/>
        </w:rPr>
        <w:t>In some cases, a d</w:t>
      </w:r>
      <w:r w:rsidR="00487D8D">
        <w:rPr>
          <w:rFonts w:cstheme="minorHAnsi"/>
        </w:rPr>
        <w:t xml:space="preserve">ecline was due to the university holding a significantly larger than usual amount of cash at the end of 2019, likely </w:t>
      </w:r>
      <w:r w:rsidR="0047023A">
        <w:rPr>
          <w:rFonts w:cstheme="minorHAnsi"/>
        </w:rPr>
        <w:t>due to</w:t>
      </w:r>
      <w:r w:rsidR="00487D8D">
        <w:rPr>
          <w:rFonts w:cstheme="minorHAnsi"/>
        </w:rPr>
        <w:t xml:space="preserve"> timing difference</w:t>
      </w:r>
      <w:r w:rsidR="0047023A">
        <w:rPr>
          <w:rFonts w:cstheme="minorHAnsi"/>
        </w:rPr>
        <w:t>s</w:t>
      </w:r>
      <w:r w:rsidR="00487D8D">
        <w:rPr>
          <w:rFonts w:cstheme="minorHAnsi"/>
        </w:rPr>
        <w:t xml:space="preserve"> between the maturity </w:t>
      </w:r>
      <w:r w:rsidR="0047023A">
        <w:rPr>
          <w:rFonts w:cstheme="minorHAnsi"/>
        </w:rPr>
        <w:t xml:space="preserve">and reinvestment </w:t>
      </w:r>
      <w:r w:rsidR="00487D8D">
        <w:rPr>
          <w:rFonts w:cstheme="minorHAnsi"/>
        </w:rPr>
        <w:t xml:space="preserve">of </w:t>
      </w:r>
      <w:r w:rsidR="00E42F06">
        <w:rPr>
          <w:rFonts w:cstheme="minorHAnsi"/>
        </w:rPr>
        <w:t>financial assets</w:t>
      </w:r>
      <w:r w:rsidR="0047023A">
        <w:rPr>
          <w:rFonts w:cstheme="minorHAnsi"/>
        </w:rPr>
        <w:t>.</w:t>
      </w:r>
      <w:r w:rsidR="00487D8D">
        <w:rPr>
          <w:rFonts w:cstheme="minorHAnsi"/>
        </w:rPr>
        <w:t xml:space="preserve"> </w:t>
      </w:r>
      <w:r w:rsidR="00041D7C">
        <w:rPr>
          <w:rFonts w:cstheme="minorHAnsi"/>
        </w:rPr>
        <w:t>Overall, n</w:t>
      </w:r>
      <w:r w:rsidR="00D20E39">
        <w:rPr>
          <w:rFonts w:cstheme="minorHAnsi"/>
        </w:rPr>
        <w:t>ine universities reported a decline in the</w:t>
      </w:r>
      <w:r w:rsidR="00CA2F2E">
        <w:rPr>
          <w:rFonts w:cstheme="minorHAnsi"/>
        </w:rPr>
        <w:t>ir cash balances.</w:t>
      </w:r>
    </w:p>
    <w:p w14:paraId="3C45B076" w14:textId="36A3EBF7" w:rsidR="00CA2C75" w:rsidRPr="007D1FF6" w:rsidRDefault="00D95D1B" w:rsidP="007D1FF6">
      <w:pPr>
        <w:pStyle w:val="ListParagraph"/>
        <w:numPr>
          <w:ilvl w:val="0"/>
          <w:numId w:val="25"/>
        </w:numPr>
        <w:rPr>
          <w:rFonts w:cstheme="minorHAnsi"/>
        </w:rPr>
      </w:pPr>
      <w:proofErr w:type="gramStart"/>
      <w:r>
        <w:rPr>
          <w:rFonts w:cstheme="minorHAnsi"/>
        </w:rPr>
        <w:t>T</w:t>
      </w:r>
      <w:r w:rsidR="00C7551A" w:rsidRPr="00FB56C2">
        <w:t>he majority of</w:t>
      </w:r>
      <w:proofErr w:type="gramEnd"/>
      <w:r w:rsidR="00C7551A" w:rsidRPr="00FB56C2">
        <w:t xml:space="preserve"> universities continue to hold significant cash and investment reserves and relatively low borrowings.  </w:t>
      </w:r>
    </w:p>
    <w:p w14:paraId="684CC427" w14:textId="6F6437FA" w:rsidR="001950BA" w:rsidRDefault="001950BA" w:rsidP="00CA2C75">
      <w:pPr>
        <w:rPr>
          <w:rStyle w:val="Strong"/>
        </w:rPr>
      </w:pPr>
      <w:r w:rsidRPr="006A5440">
        <w:rPr>
          <w:rStyle w:val="Strong"/>
        </w:rPr>
        <w:t xml:space="preserve">Figure </w:t>
      </w:r>
      <w:r w:rsidR="0057623C" w:rsidRPr="006A5440">
        <w:rPr>
          <w:rStyle w:val="Strong"/>
        </w:rPr>
        <w:t>5</w:t>
      </w:r>
      <w:r w:rsidRPr="006A5440">
        <w:rPr>
          <w:rStyle w:val="Strong"/>
        </w:rPr>
        <w:t>: Total Cash and Investments by University</w:t>
      </w:r>
    </w:p>
    <w:p w14:paraId="72C45865" w14:textId="0DB13866" w:rsidR="0032263F" w:rsidRPr="007155BE" w:rsidRDefault="0032263F" w:rsidP="00CA2C75">
      <w:r>
        <w:rPr>
          <w:noProof/>
        </w:rPr>
        <w:drawing>
          <wp:inline distT="0" distB="0" distL="0" distR="0" wp14:anchorId="62CD48FD" wp14:editId="1122EFCF">
            <wp:extent cx="6286500" cy="3650615"/>
            <wp:effectExtent l="0" t="0" r="0" b="6985"/>
            <wp:docPr id="16" name="Chart 16">
              <a:extLst xmlns:a="http://schemas.openxmlformats.org/drawingml/2006/main">
                <a:ext uri="{FF2B5EF4-FFF2-40B4-BE49-F238E27FC236}">
                  <a16:creationId xmlns:a16="http://schemas.microsoft.com/office/drawing/2014/main" id="{CC1DBA40-A09A-4583-A68C-23D971CF44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0B6D934" w14:textId="0C0FD149" w:rsidR="007155BE" w:rsidRDefault="007155BE">
      <w:pPr>
        <w:rPr>
          <w:highlight w:val="yellow"/>
        </w:rPr>
      </w:pPr>
      <w:r>
        <w:rPr>
          <w:highlight w:val="yellow"/>
        </w:rPr>
        <w:br w:type="page"/>
      </w:r>
    </w:p>
    <w:p w14:paraId="22A53855" w14:textId="3347E986" w:rsidR="0057623C" w:rsidRPr="00017B02" w:rsidRDefault="0057623C" w:rsidP="0057623C">
      <w:pPr>
        <w:pStyle w:val="Heading2"/>
      </w:pPr>
      <w:bookmarkStart w:id="24" w:name="_Toc78463090"/>
      <w:r w:rsidRPr="00017B02">
        <w:lastRenderedPageBreak/>
        <w:t>Liabilities</w:t>
      </w:r>
      <w:bookmarkEnd w:id="24"/>
    </w:p>
    <w:p w14:paraId="376EE79A" w14:textId="24AA7125" w:rsidR="0057623C" w:rsidRPr="00017B02" w:rsidRDefault="0057623C" w:rsidP="0057623C">
      <w:pPr>
        <w:pStyle w:val="ListParagraph"/>
        <w:numPr>
          <w:ilvl w:val="0"/>
          <w:numId w:val="27"/>
        </w:numPr>
        <w:rPr>
          <w:bCs/>
        </w:rPr>
      </w:pPr>
      <w:bookmarkStart w:id="25" w:name="_Toc26884147"/>
      <w:r w:rsidRPr="00017B02">
        <w:t>Total liabilities were $</w:t>
      </w:r>
      <w:r w:rsidR="006A5AE4" w:rsidRPr="00017B02">
        <w:t>32.3</w:t>
      </w:r>
      <w:r w:rsidRPr="00017B02">
        <w:t xml:space="preserve"> billion at 31 December </w:t>
      </w:r>
      <w:r w:rsidR="00F67E41" w:rsidRPr="00017B02">
        <w:t>2020</w:t>
      </w:r>
      <w:r w:rsidRPr="00017B02">
        <w:t xml:space="preserve"> an increase of </w:t>
      </w:r>
      <w:r w:rsidR="006A5AE4" w:rsidRPr="00017B02">
        <w:t>12.0</w:t>
      </w:r>
      <w:r w:rsidRPr="00017B02">
        <w:t xml:space="preserve"> </w:t>
      </w:r>
      <w:r w:rsidR="00E43BD8">
        <w:t>per cent</w:t>
      </w:r>
      <w:r w:rsidRPr="00017B02">
        <w:t xml:space="preserve"> from $2</w:t>
      </w:r>
      <w:r w:rsidR="006A5AE4" w:rsidRPr="00017B02">
        <w:t>8.9</w:t>
      </w:r>
      <w:r w:rsidRPr="00017B02">
        <w:t xml:space="preserve"> billion in </w:t>
      </w:r>
      <w:r w:rsidR="00F67E41" w:rsidRPr="00017B02">
        <w:t>2019</w:t>
      </w:r>
      <w:r w:rsidRPr="00017B02">
        <w:t xml:space="preserve">. </w:t>
      </w:r>
    </w:p>
    <w:p w14:paraId="095287BC" w14:textId="6635B3AB" w:rsidR="0057623C" w:rsidRPr="00A55EC2" w:rsidRDefault="0057623C" w:rsidP="0057623C">
      <w:pPr>
        <w:pStyle w:val="ListParagraph"/>
        <w:numPr>
          <w:ilvl w:val="0"/>
          <w:numId w:val="27"/>
        </w:numPr>
        <w:rPr>
          <w:bCs/>
        </w:rPr>
      </w:pPr>
      <w:r w:rsidRPr="00017B02">
        <w:t>Provisions represented the largest component of liabilities at $13.</w:t>
      </w:r>
      <w:r w:rsidR="00017B02">
        <w:t>3</w:t>
      </w:r>
      <w:r w:rsidRPr="00017B02">
        <w:t xml:space="preserve"> billion, comprised mostly of provisions for employee benefits</w:t>
      </w:r>
      <w:r w:rsidR="00017B02" w:rsidRPr="00017B02">
        <w:t>. This was</w:t>
      </w:r>
      <w:r w:rsidRPr="00017B02">
        <w:t xml:space="preserve"> followed by </w:t>
      </w:r>
      <w:r w:rsidR="00017B02" w:rsidRPr="00017B02">
        <w:t>other liabilities at</w:t>
      </w:r>
      <w:r w:rsidRPr="00017B02">
        <w:t xml:space="preserve"> $</w:t>
      </w:r>
      <w:r w:rsidR="00017B02" w:rsidRPr="00017B02">
        <w:t>7.1</w:t>
      </w:r>
      <w:r w:rsidRPr="00017B02">
        <w:t xml:space="preserve"> billion</w:t>
      </w:r>
      <w:r w:rsidR="00017B02" w:rsidRPr="00017B02">
        <w:t xml:space="preserve">, and borrowings at </w:t>
      </w:r>
      <w:r w:rsidR="00115793">
        <w:t>$</w:t>
      </w:r>
      <w:r w:rsidR="00017B02" w:rsidRPr="00017B02">
        <w:t>7.0 billion.</w:t>
      </w:r>
      <w:bookmarkStart w:id="26" w:name="_Toc26884149"/>
      <w:bookmarkEnd w:id="25"/>
    </w:p>
    <w:p w14:paraId="01273905" w14:textId="6DF1BDF1" w:rsidR="00A55EC2" w:rsidRPr="00017B02" w:rsidRDefault="00A55EC2" w:rsidP="0057623C">
      <w:pPr>
        <w:pStyle w:val="ListParagraph"/>
        <w:numPr>
          <w:ilvl w:val="0"/>
          <w:numId w:val="27"/>
        </w:numPr>
        <w:rPr>
          <w:bCs/>
        </w:rPr>
      </w:pPr>
      <w:r>
        <w:t xml:space="preserve">The increase </w:t>
      </w:r>
      <w:r w:rsidR="000B28D2">
        <w:t>in other liabilities was driven by the recognition of service concession liabilities following the introduction of new accounting standards.</w:t>
      </w:r>
    </w:p>
    <w:p w14:paraId="3E2DE1EE" w14:textId="649B9CA9" w:rsidR="0057623C" w:rsidRDefault="0057623C" w:rsidP="0057623C">
      <w:pPr>
        <w:rPr>
          <w:rStyle w:val="Strong"/>
        </w:rPr>
      </w:pPr>
      <w:r w:rsidRPr="006A5440">
        <w:rPr>
          <w:rStyle w:val="Strong"/>
        </w:rPr>
        <w:t xml:space="preserve">Figure 6: Breakdown of </w:t>
      </w:r>
      <w:r w:rsidR="00F67E41" w:rsidRPr="006A5440">
        <w:rPr>
          <w:rStyle w:val="Strong"/>
        </w:rPr>
        <w:t>2019</w:t>
      </w:r>
      <w:r w:rsidRPr="006A5440">
        <w:rPr>
          <w:rStyle w:val="Strong"/>
        </w:rPr>
        <w:t xml:space="preserve"> and </w:t>
      </w:r>
      <w:r w:rsidR="00F67E41" w:rsidRPr="006A5440">
        <w:rPr>
          <w:rStyle w:val="Strong"/>
        </w:rPr>
        <w:t>2020</w:t>
      </w:r>
      <w:r w:rsidRPr="006A5440">
        <w:rPr>
          <w:rStyle w:val="Strong"/>
        </w:rPr>
        <w:t xml:space="preserve"> Liabilities</w:t>
      </w:r>
      <w:bookmarkEnd w:id="26"/>
    </w:p>
    <w:p w14:paraId="73C8F8AF" w14:textId="4A8C867A" w:rsidR="00026F56" w:rsidRPr="007155BE" w:rsidRDefault="0032263F" w:rsidP="007155BE">
      <w:pPr>
        <w:rPr>
          <w:b/>
          <w:bCs/>
        </w:rPr>
      </w:pPr>
      <w:r>
        <w:rPr>
          <w:noProof/>
        </w:rPr>
        <w:drawing>
          <wp:inline distT="0" distB="0" distL="0" distR="0" wp14:anchorId="21F7B068" wp14:editId="13AA6E65">
            <wp:extent cx="4572000" cy="2781300"/>
            <wp:effectExtent l="0" t="0" r="0" b="0"/>
            <wp:docPr id="15" name="Chart 15">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sectPr w:rsidR="00026F56" w:rsidRPr="007155BE" w:rsidSect="00765D0C">
      <w:pgSz w:w="11906" w:h="16838"/>
      <w:pgMar w:top="720" w:right="720" w:bottom="720" w:left="720" w:header="708" w:footer="10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7E87B" w14:textId="77777777" w:rsidR="00A47D13" w:rsidRDefault="00A47D13" w:rsidP="00130923">
      <w:pPr>
        <w:spacing w:after="0" w:line="240" w:lineRule="auto"/>
      </w:pPr>
      <w:r>
        <w:separator/>
      </w:r>
    </w:p>
  </w:endnote>
  <w:endnote w:type="continuationSeparator" w:id="0">
    <w:p w14:paraId="102BB8E3" w14:textId="77777777" w:rsidR="00A47D13" w:rsidRDefault="00A47D1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24733" w14:textId="77777777" w:rsidR="00A47D13" w:rsidRDefault="00A47D13"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1B2C3" w14:textId="77777777" w:rsidR="00A47D13" w:rsidRDefault="00A47D13" w:rsidP="00431F12">
    <w:pPr>
      <w:pStyle w:val="Footer"/>
      <w:jc w:val="right"/>
      <w:rPr>
        <w:caps/>
        <w:noProof/>
        <w:color w:val="3C54A5" w:themeColor="accent1"/>
      </w:rPr>
    </w:pPr>
    <w:r>
      <w:rPr>
        <w:caps/>
        <w:color w:val="3C54A5" w:themeColor="accent1"/>
      </w:rPr>
      <w:fldChar w:fldCharType="begin"/>
    </w:r>
    <w:r>
      <w:rPr>
        <w:caps/>
        <w:color w:val="3C54A5" w:themeColor="accent1"/>
      </w:rPr>
      <w:instrText xml:space="preserve"> PAGE   \* MERGEFORMAT </w:instrText>
    </w:r>
    <w:r>
      <w:rPr>
        <w:caps/>
        <w:color w:val="3C54A5" w:themeColor="accent1"/>
      </w:rPr>
      <w:fldChar w:fldCharType="separate"/>
    </w:r>
    <w:r>
      <w:rPr>
        <w:caps/>
        <w:noProof/>
        <w:color w:val="3C54A5" w:themeColor="accent1"/>
      </w:rPr>
      <w:t>2</w:t>
    </w:r>
    <w:r>
      <w:rPr>
        <w:caps/>
        <w:noProof/>
        <w:color w:val="3C54A5" w:themeColor="accent1"/>
      </w:rPr>
      <w:fldChar w:fldCharType="end"/>
    </w:r>
  </w:p>
  <w:p w14:paraId="2C5993B6" w14:textId="123E1614" w:rsidR="00A47D13" w:rsidRDefault="00A47D13" w:rsidP="00A73406">
    <w:pPr>
      <w:pStyle w:val="Footer"/>
      <w:tabs>
        <w:tab w:val="clear" w:pos="9026"/>
        <w:tab w:val="right" w:pos="8647"/>
      </w:tabs>
      <w:ind w:firstLine="72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8ECB7" w14:textId="77777777" w:rsidR="00A47D13" w:rsidRDefault="00A47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34D68" w14:textId="77777777" w:rsidR="00A47D13" w:rsidRDefault="00A47D13" w:rsidP="00130923">
      <w:pPr>
        <w:spacing w:after="0" w:line="240" w:lineRule="auto"/>
      </w:pPr>
      <w:r>
        <w:separator/>
      </w:r>
    </w:p>
  </w:footnote>
  <w:footnote w:type="continuationSeparator" w:id="0">
    <w:p w14:paraId="46694C88" w14:textId="77777777" w:rsidR="00A47D13" w:rsidRDefault="00A47D13"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89C2D" w14:textId="77777777" w:rsidR="00A47D13" w:rsidRDefault="00A47D13"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8F371" w14:textId="77777777" w:rsidR="00A47D13" w:rsidRDefault="00A47D13" w:rsidP="00560CA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4B3B02"/>
    <w:multiLevelType w:val="hybridMultilevel"/>
    <w:tmpl w:val="6C2E9E7A"/>
    <w:lvl w:ilvl="0" w:tplc="BD785B6E">
      <w:start w:val="1"/>
      <w:numFmt w:val="decimal"/>
      <w:lvlText w:val="%1."/>
      <w:lvlJc w:val="left"/>
      <w:pPr>
        <w:ind w:left="531" w:hanging="360"/>
      </w:pPr>
    </w:lvl>
    <w:lvl w:ilvl="1" w:tplc="044662FC" w:tentative="1">
      <w:start w:val="1"/>
      <w:numFmt w:val="lowerLetter"/>
      <w:lvlText w:val="%2."/>
      <w:lvlJc w:val="left"/>
      <w:pPr>
        <w:ind w:left="1251" w:hanging="360"/>
      </w:pPr>
    </w:lvl>
    <w:lvl w:ilvl="2" w:tplc="F66C5846" w:tentative="1">
      <w:start w:val="1"/>
      <w:numFmt w:val="lowerRoman"/>
      <w:lvlText w:val="%3."/>
      <w:lvlJc w:val="right"/>
      <w:pPr>
        <w:ind w:left="1971" w:hanging="180"/>
      </w:pPr>
    </w:lvl>
    <w:lvl w:ilvl="3" w:tplc="FF6A101A" w:tentative="1">
      <w:start w:val="1"/>
      <w:numFmt w:val="decimal"/>
      <w:lvlText w:val="%4."/>
      <w:lvlJc w:val="left"/>
      <w:pPr>
        <w:ind w:left="2691" w:hanging="360"/>
      </w:pPr>
    </w:lvl>
    <w:lvl w:ilvl="4" w:tplc="3476D8F0" w:tentative="1">
      <w:start w:val="1"/>
      <w:numFmt w:val="lowerLetter"/>
      <w:lvlText w:val="%5."/>
      <w:lvlJc w:val="left"/>
      <w:pPr>
        <w:ind w:left="3411" w:hanging="360"/>
      </w:pPr>
    </w:lvl>
    <w:lvl w:ilvl="5" w:tplc="1B60999C" w:tentative="1">
      <w:start w:val="1"/>
      <w:numFmt w:val="lowerRoman"/>
      <w:lvlText w:val="%6."/>
      <w:lvlJc w:val="right"/>
      <w:pPr>
        <w:ind w:left="4131" w:hanging="180"/>
      </w:pPr>
    </w:lvl>
    <w:lvl w:ilvl="6" w:tplc="6B3EBAAA" w:tentative="1">
      <w:start w:val="1"/>
      <w:numFmt w:val="decimal"/>
      <w:lvlText w:val="%7."/>
      <w:lvlJc w:val="left"/>
      <w:pPr>
        <w:ind w:left="4851" w:hanging="360"/>
      </w:pPr>
    </w:lvl>
    <w:lvl w:ilvl="7" w:tplc="B164D250" w:tentative="1">
      <w:start w:val="1"/>
      <w:numFmt w:val="lowerLetter"/>
      <w:lvlText w:val="%8."/>
      <w:lvlJc w:val="left"/>
      <w:pPr>
        <w:ind w:left="5571" w:hanging="360"/>
      </w:pPr>
    </w:lvl>
    <w:lvl w:ilvl="8" w:tplc="CECC0CD8" w:tentative="1">
      <w:start w:val="1"/>
      <w:numFmt w:val="lowerRoman"/>
      <w:lvlText w:val="%9."/>
      <w:lvlJc w:val="right"/>
      <w:pPr>
        <w:ind w:left="6291" w:hanging="180"/>
      </w:p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7EC786B"/>
    <w:multiLevelType w:val="hybridMultilevel"/>
    <w:tmpl w:val="E496D3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D497EA7"/>
    <w:multiLevelType w:val="hybridMultilevel"/>
    <w:tmpl w:val="2D2C50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A83EAC"/>
    <w:multiLevelType w:val="hybridMultilevel"/>
    <w:tmpl w:val="2F32F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56606592"/>
    <w:multiLevelType w:val="hybridMultilevel"/>
    <w:tmpl w:val="11A2F11C"/>
    <w:lvl w:ilvl="0" w:tplc="D0B43860">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B104FCE"/>
    <w:multiLevelType w:val="hybridMultilevel"/>
    <w:tmpl w:val="65FE1614"/>
    <w:lvl w:ilvl="0" w:tplc="E63C47BC">
      <w:start w:val="1"/>
      <w:numFmt w:val="decimal"/>
      <w:pStyle w:val="MBPoint"/>
      <w:lvlText w:val="%1."/>
      <w:lvlJc w:val="left"/>
      <w:pPr>
        <w:ind w:left="-207" w:hanging="360"/>
      </w:pPr>
      <w:rPr>
        <w:rFonts w:hint="default"/>
      </w:rPr>
    </w:lvl>
    <w:lvl w:ilvl="1" w:tplc="86E21E3C">
      <w:start w:val="1"/>
      <w:numFmt w:val="bullet"/>
      <w:lvlText w:val=""/>
      <w:lvlJc w:val="left"/>
      <w:pPr>
        <w:ind w:left="513" w:hanging="360"/>
      </w:pPr>
      <w:rPr>
        <w:rFonts w:ascii="Symbol" w:hAnsi="Symbol" w:hint="default"/>
      </w:rPr>
    </w:lvl>
    <w:lvl w:ilvl="2" w:tplc="3FA8790A">
      <w:start w:val="1"/>
      <w:numFmt w:val="bullet"/>
      <w:pStyle w:val="MBPointSub"/>
      <w:lvlText w:val="o"/>
      <w:lvlJc w:val="left"/>
      <w:pPr>
        <w:ind w:left="1233" w:hanging="180"/>
      </w:pPr>
      <w:rPr>
        <w:rFonts w:ascii="Courier New" w:hAnsi="Courier New" w:cs="Courier New" w:hint="default"/>
      </w:rPr>
    </w:lvl>
    <w:lvl w:ilvl="3" w:tplc="F6163CB6" w:tentative="1">
      <w:start w:val="1"/>
      <w:numFmt w:val="decimal"/>
      <w:lvlText w:val="%4."/>
      <w:lvlJc w:val="left"/>
      <w:pPr>
        <w:ind w:left="1953" w:hanging="360"/>
      </w:pPr>
    </w:lvl>
    <w:lvl w:ilvl="4" w:tplc="5F943688" w:tentative="1">
      <w:start w:val="1"/>
      <w:numFmt w:val="lowerLetter"/>
      <w:lvlText w:val="%5."/>
      <w:lvlJc w:val="left"/>
      <w:pPr>
        <w:ind w:left="2673" w:hanging="360"/>
      </w:pPr>
    </w:lvl>
    <w:lvl w:ilvl="5" w:tplc="63227E02" w:tentative="1">
      <w:start w:val="1"/>
      <w:numFmt w:val="lowerRoman"/>
      <w:lvlText w:val="%6."/>
      <w:lvlJc w:val="right"/>
      <w:pPr>
        <w:ind w:left="3393" w:hanging="180"/>
      </w:pPr>
    </w:lvl>
    <w:lvl w:ilvl="6" w:tplc="8482D85A" w:tentative="1">
      <w:start w:val="1"/>
      <w:numFmt w:val="decimal"/>
      <w:lvlText w:val="%7."/>
      <w:lvlJc w:val="left"/>
      <w:pPr>
        <w:ind w:left="4113" w:hanging="360"/>
      </w:pPr>
    </w:lvl>
    <w:lvl w:ilvl="7" w:tplc="A4862D58" w:tentative="1">
      <w:start w:val="1"/>
      <w:numFmt w:val="lowerLetter"/>
      <w:lvlText w:val="%8."/>
      <w:lvlJc w:val="left"/>
      <w:pPr>
        <w:ind w:left="4833" w:hanging="360"/>
      </w:pPr>
    </w:lvl>
    <w:lvl w:ilvl="8" w:tplc="0142B1C2" w:tentative="1">
      <w:start w:val="1"/>
      <w:numFmt w:val="lowerRoman"/>
      <w:lvlText w:val="%9."/>
      <w:lvlJc w:val="right"/>
      <w:pPr>
        <w:ind w:left="5553" w:hanging="180"/>
      </w:pPr>
    </w:lvl>
  </w:abstractNum>
  <w:abstractNum w:abstractNumId="21" w15:restartNumberingAfterBreak="0">
    <w:nsid w:val="625C2851"/>
    <w:multiLevelType w:val="hybridMultilevel"/>
    <w:tmpl w:val="1936B2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F0F67E6"/>
    <w:multiLevelType w:val="hybridMultilevel"/>
    <w:tmpl w:val="57A010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970580"/>
    <w:multiLevelType w:val="hybridMultilevel"/>
    <w:tmpl w:val="7988FC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3"/>
  </w:num>
  <w:num w:numId="15">
    <w:abstractNumId w:val="11"/>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0"/>
  </w:num>
  <w:num w:numId="21">
    <w:abstractNumId w:val="12"/>
  </w:num>
  <w:num w:numId="22">
    <w:abstractNumId w:val="24"/>
  </w:num>
  <w:num w:numId="23">
    <w:abstractNumId w:val="21"/>
  </w:num>
  <w:num w:numId="24">
    <w:abstractNumId w:val="10"/>
  </w:num>
  <w:num w:numId="25">
    <w:abstractNumId w:val="13"/>
  </w:num>
  <w:num w:numId="26">
    <w:abstractNumId w:val="15"/>
  </w:num>
  <w:num w:numId="27">
    <w:abstractNumId w:val="2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99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05505C"/>
    <w:rsid w:val="00002721"/>
    <w:rsid w:val="00007E0C"/>
    <w:rsid w:val="00007FEC"/>
    <w:rsid w:val="000108EB"/>
    <w:rsid w:val="00017B02"/>
    <w:rsid w:val="00024E24"/>
    <w:rsid w:val="00026F56"/>
    <w:rsid w:val="00032302"/>
    <w:rsid w:val="000343E3"/>
    <w:rsid w:val="00034EAA"/>
    <w:rsid w:val="000402B3"/>
    <w:rsid w:val="00040F2F"/>
    <w:rsid w:val="00041D7C"/>
    <w:rsid w:val="000433A1"/>
    <w:rsid w:val="00046A7A"/>
    <w:rsid w:val="00047BD8"/>
    <w:rsid w:val="000544E5"/>
    <w:rsid w:val="0005505C"/>
    <w:rsid w:val="00061DC8"/>
    <w:rsid w:val="0006609E"/>
    <w:rsid w:val="00072C66"/>
    <w:rsid w:val="00081B1C"/>
    <w:rsid w:val="000825A6"/>
    <w:rsid w:val="00083F1E"/>
    <w:rsid w:val="000861A6"/>
    <w:rsid w:val="00091056"/>
    <w:rsid w:val="00094B76"/>
    <w:rsid w:val="000B28D2"/>
    <w:rsid w:val="000B28F0"/>
    <w:rsid w:val="000B7F7D"/>
    <w:rsid w:val="000C18A9"/>
    <w:rsid w:val="000C1E2E"/>
    <w:rsid w:val="000C664D"/>
    <w:rsid w:val="000C7302"/>
    <w:rsid w:val="000D3EE0"/>
    <w:rsid w:val="000D6C9A"/>
    <w:rsid w:val="000D7FD3"/>
    <w:rsid w:val="000E115B"/>
    <w:rsid w:val="000E4261"/>
    <w:rsid w:val="000E696A"/>
    <w:rsid w:val="000E7E7B"/>
    <w:rsid w:val="000F02B3"/>
    <w:rsid w:val="000F1A90"/>
    <w:rsid w:val="000F24CF"/>
    <w:rsid w:val="000F3BA2"/>
    <w:rsid w:val="000F54FE"/>
    <w:rsid w:val="001009CC"/>
    <w:rsid w:val="00102312"/>
    <w:rsid w:val="00103D7F"/>
    <w:rsid w:val="00110CD9"/>
    <w:rsid w:val="0011369A"/>
    <w:rsid w:val="00115314"/>
    <w:rsid w:val="00115793"/>
    <w:rsid w:val="001175BF"/>
    <w:rsid w:val="00130923"/>
    <w:rsid w:val="001311B7"/>
    <w:rsid w:val="0013387A"/>
    <w:rsid w:val="001414F3"/>
    <w:rsid w:val="001428C9"/>
    <w:rsid w:val="0014385F"/>
    <w:rsid w:val="00143FCD"/>
    <w:rsid w:val="0014481F"/>
    <w:rsid w:val="00151B79"/>
    <w:rsid w:val="001550AD"/>
    <w:rsid w:val="00155818"/>
    <w:rsid w:val="00156908"/>
    <w:rsid w:val="00160FC6"/>
    <w:rsid w:val="00162827"/>
    <w:rsid w:val="00170DA5"/>
    <w:rsid w:val="00172348"/>
    <w:rsid w:val="00180812"/>
    <w:rsid w:val="00183079"/>
    <w:rsid w:val="00183EB6"/>
    <w:rsid w:val="00184879"/>
    <w:rsid w:val="0018615B"/>
    <w:rsid w:val="00190FB1"/>
    <w:rsid w:val="0019213F"/>
    <w:rsid w:val="0019322F"/>
    <w:rsid w:val="001950BA"/>
    <w:rsid w:val="00196FE5"/>
    <w:rsid w:val="001A3066"/>
    <w:rsid w:val="001A7C9C"/>
    <w:rsid w:val="001B068A"/>
    <w:rsid w:val="001B6467"/>
    <w:rsid w:val="001B662C"/>
    <w:rsid w:val="001C1772"/>
    <w:rsid w:val="001C1E25"/>
    <w:rsid w:val="001D0DEB"/>
    <w:rsid w:val="001D659B"/>
    <w:rsid w:val="001D6F9B"/>
    <w:rsid w:val="001E06EF"/>
    <w:rsid w:val="001E3103"/>
    <w:rsid w:val="001F1323"/>
    <w:rsid w:val="001F427D"/>
    <w:rsid w:val="0021083E"/>
    <w:rsid w:val="002116A8"/>
    <w:rsid w:val="00220FF1"/>
    <w:rsid w:val="0022381D"/>
    <w:rsid w:val="00223EB1"/>
    <w:rsid w:val="002264FD"/>
    <w:rsid w:val="00227E25"/>
    <w:rsid w:val="00231143"/>
    <w:rsid w:val="00234FB5"/>
    <w:rsid w:val="00235D13"/>
    <w:rsid w:val="00236917"/>
    <w:rsid w:val="00236F7A"/>
    <w:rsid w:val="00243D6B"/>
    <w:rsid w:val="002507F2"/>
    <w:rsid w:val="002519E1"/>
    <w:rsid w:val="002532CE"/>
    <w:rsid w:val="002543E2"/>
    <w:rsid w:val="00255D8F"/>
    <w:rsid w:val="00271E25"/>
    <w:rsid w:val="00282F00"/>
    <w:rsid w:val="00293E44"/>
    <w:rsid w:val="002950FE"/>
    <w:rsid w:val="002A170C"/>
    <w:rsid w:val="002A4971"/>
    <w:rsid w:val="002A4AF1"/>
    <w:rsid w:val="002A6826"/>
    <w:rsid w:val="002B06E6"/>
    <w:rsid w:val="002B5E5A"/>
    <w:rsid w:val="002B7F9E"/>
    <w:rsid w:val="002C141F"/>
    <w:rsid w:val="002C3AA1"/>
    <w:rsid w:val="002C4023"/>
    <w:rsid w:val="002D06EE"/>
    <w:rsid w:val="002D271F"/>
    <w:rsid w:val="002D5068"/>
    <w:rsid w:val="002D6386"/>
    <w:rsid w:val="002D797A"/>
    <w:rsid w:val="002D7C99"/>
    <w:rsid w:val="002E0FF7"/>
    <w:rsid w:val="002F0A2C"/>
    <w:rsid w:val="002F14B8"/>
    <w:rsid w:val="002F1999"/>
    <w:rsid w:val="002F2180"/>
    <w:rsid w:val="003022F9"/>
    <w:rsid w:val="00304440"/>
    <w:rsid w:val="00305B35"/>
    <w:rsid w:val="00306934"/>
    <w:rsid w:val="003070A1"/>
    <w:rsid w:val="00313613"/>
    <w:rsid w:val="003155A7"/>
    <w:rsid w:val="003166C5"/>
    <w:rsid w:val="0032263F"/>
    <w:rsid w:val="00324296"/>
    <w:rsid w:val="003242B9"/>
    <w:rsid w:val="00325E91"/>
    <w:rsid w:val="00332267"/>
    <w:rsid w:val="0033233B"/>
    <w:rsid w:val="00335ABF"/>
    <w:rsid w:val="003362F5"/>
    <w:rsid w:val="003374D0"/>
    <w:rsid w:val="00337BC3"/>
    <w:rsid w:val="00354E05"/>
    <w:rsid w:val="00374B85"/>
    <w:rsid w:val="00376209"/>
    <w:rsid w:val="00380FAC"/>
    <w:rsid w:val="003828F0"/>
    <w:rsid w:val="00385519"/>
    <w:rsid w:val="0039043C"/>
    <w:rsid w:val="0039075B"/>
    <w:rsid w:val="00393ABE"/>
    <w:rsid w:val="003963C8"/>
    <w:rsid w:val="003979FC"/>
    <w:rsid w:val="003A1A85"/>
    <w:rsid w:val="003A26B6"/>
    <w:rsid w:val="003A27DE"/>
    <w:rsid w:val="003A63AE"/>
    <w:rsid w:val="003A7CB6"/>
    <w:rsid w:val="003B0359"/>
    <w:rsid w:val="003B4255"/>
    <w:rsid w:val="003C1243"/>
    <w:rsid w:val="003C5ECD"/>
    <w:rsid w:val="003C7651"/>
    <w:rsid w:val="003D67FC"/>
    <w:rsid w:val="003E273C"/>
    <w:rsid w:val="003E7706"/>
    <w:rsid w:val="00400D66"/>
    <w:rsid w:val="00403183"/>
    <w:rsid w:val="00406E5A"/>
    <w:rsid w:val="00420FC1"/>
    <w:rsid w:val="00426208"/>
    <w:rsid w:val="00431F12"/>
    <w:rsid w:val="00433B5C"/>
    <w:rsid w:val="00434B02"/>
    <w:rsid w:val="00440562"/>
    <w:rsid w:val="004408E8"/>
    <w:rsid w:val="004412D1"/>
    <w:rsid w:val="00441A76"/>
    <w:rsid w:val="00445389"/>
    <w:rsid w:val="00451DAC"/>
    <w:rsid w:val="004524CA"/>
    <w:rsid w:val="00452A0F"/>
    <w:rsid w:val="00455B34"/>
    <w:rsid w:val="0046667A"/>
    <w:rsid w:val="00466DC6"/>
    <w:rsid w:val="0047023A"/>
    <w:rsid w:val="004726CD"/>
    <w:rsid w:val="00473C62"/>
    <w:rsid w:val="00475658"/>
    <w:rsid w:val="00477532"/>
    <w:rsid w:val="00481744"/>
    <w:rsid w:val="00481F02"/>
    <w:rsid w:val="00484187"/>
    <w:rsid w:val="00485BBD"/>
    <w:rsid w:val="0048762C"/>
    <w:rsid w:val="00487D8D"/>
    <w:rsid w:val="00493192"/>
    <w:rsid w:val="00494681"/>
    <w:rsid w:val="0049701B"/>
    <w:rsid w:val="004978F0"/>
    <w:rsid w:val="004A62B4"/>
    <w:rsid w:val="004A7626"/>
    <w:rsid w:val="004B01CF"/>
    <w:rsid w:val="004B1B8A"/>
    <w:rsid w:val="004B256F"/>
    <w:rsid w:val="004B2769"/>
    <w:rsid w:val="004B79FE"/>
    <w:rsid w:val="004C0DB2"/>
    <w:rsid w:val="004C7C10"/>
    <w:rsid w:val="004E2121"/>
    <w:rsid w:val="004E31A4"/>
    <w:rsid w:val="004F071E"/>
    <w:rsid w:val="004F6684"/>
    <w:rsid w:val="004F69FC"/>
    <w:rsid w:val="004F77CD"/>
    <w:rsid w:val="005019C8"/>
    <w:rsid w:val="00506A8C"/>
    <w:rsid w:val="005113B6"/>
    <w:rsid w:val="0051671C"/>
    <w:rsid w:val="005212B3"/>
    <w:rsid w:val="005232E2"/>
    <w:rsid w:val="00531817"/>
    <w:rsid w:val="00533ECD"/>
    <w:rsid w:val="00534FFA"/>
    <w:rsid w:val="00541059"/>
    <w:rsid w:val="00551CAA"/>
    <w:rsid w:val="0055315C"/>
    <w:rsid w:val="00553441"/>
    <w:rsid w:val="00557EFD"/>
    <w:rsid w:val="00560CA0"/>
    <w:rsid w:val="005624F3"/>
    <w:rsid w:val="00570B98"/>
    <w:rsid w:val="00570BF2"/>
    <w:rsid w:val="005740D7"/>
    <w:rsid w:val="0057623C"/>
    <w:rsid w:val="005811EF"/>
    <w:rsid w:val="005A3E9C"/>
    <w:rsid w:val="005B0878"/>
    <w:rsid w:val="005B20F6"/>
    <w:rsid w:val="005B3EC4"/>
    <w:rsid w:val="005B7481"/>
    <w:rsid w:val="005C15C0"/>
    <w:rsid w:val="005C1960"/>
    <w:rsid w:val="005C1F41"/>
    <w:rsid w:val="005C4321"/>
    <w:rsid w:val="005D6196"/>
    <w:rsid w:val="005D6CE2"/>
    <w:rsid w:val="005D73E9"/>
    <w:rsid w:val="005E7D05"/>
    <w:rsid w:val="005F259F"/>
    <w:rsid w:val="005F3355"/>
    <w:rsid w:val="005F5E4D"/>
    <w:rsid w:val="005F7609"/>
    <w:rsid w:val="00602BA6"/>
    <w:rsid w:val="00606358"/>
    <w:rsid w:val="006068EB"/>
    <w:rsid w:val="0060723E"/>
    <w:rsid w:val="00610654"/>
    <w:rsid w:val="00613786"/>
    <w:rsid w:val="006318B9"/>
    <w:rsid w:val="0063228C"/>
    <w:rsid w:val="006351D7"/>
    <w:rsid w:val="006420D0"/>
    <w:rsid w:val="006439C5"/>
    <w:rsid w:val="006475E4"/>
    <w:rsid w:val="00650512"/>
    <w:rsid w:val="00664D98"/>
    <w:rsid w:val="0067026C"/>
    <w:rsid w:val="0067258C"/>
    <w:rsid w:val="00676E3A"/>
    <w:rsid w:val="00677740"/>
    <w:rsid w:val="006826CE"/>
    <w:rsid w:val="006837C4"/>
    <w:rsid w:val="006870CB"/>
    <w:rsid w:val="006929AE"/>
    <w:rsid w:val="006A00CE"/>
    <w:rsid w:val="006A1100"/>
    <w:rsid w:val="006A3582"/>
    <w:rsid w:val="006A5440"/>
    <w:rsid w:val="006A5AE4"/>
    <w:rsid w:val="006B3BCB"/>
    <w:rsid w:val="006B5091"/>
    <w:rsid w:val="006B61E8"/>
    <w:rsid w:val="006C07FB"/>
    <w:rsid w:val="006C1BCD"/>
    <w:rsid w:val="006C22C1"/>
    <w:rsid w:val="006C3B51"/>
    <w:rsid w:val="006D296C"/>
    <w:rsid w:val="006D471B"/>
    <w:rsid w:val="006D7814"/>
    <w:rsid w:val="006E1ED9"/>
    <w:rsid w:val="006E2D49"/>
    <w:rsid w:val="006E751F"/>
    <w:rsid w:val="006F4176"/>
    <w:rsid w:val="00700A8A"/>
    <w:rsid w:val="00706385"/>
    <w:rsid w:val="00713528"/>
    <w:rsid w:val="007155BE"/>
    <w:rsid w:val="00716440"/>
    <w:rsid w:val="0071792B"/>
    <w:rsid w:val="00732AEA"/>
    <w:rsid w:val="007342A5"/>
    <w:rsid w:val="007468FC"/>
    <w:rsid w:val="0075004B"/>
    <w:rsid w:val="00752167"/>
    <w:rsid w:val="007645D5"/>
    <w:rsid w:val="00765D0C"/>
    <w:rsid w:val="00792CA3"/>
    <w:rsid w:val="00794317"/>
    <w:rsid w:val="007A08B0"/>
    <w:rsid w:val="007A38A5"/>
    <w:rsid w:val="007A4B50"/>
    <w:rsid w:val="007B2FDD"/>
    <w:rsid w:val="007B4A29"/>
    <w:rsid w:val="007C09DF"/>
    <w:rsid w:val="007C13EA"/>
    <w:rsid w:val="007C3B44"/>
    <w:rsid w:val="007C49AB"/>
    <w:rsid w:val="007C4E61"/>
    <w:rsid w:val="007C6D9A"/>
    <w:rsid w:val="007D0348"/>
    <w:rsid w:val="007D1FF6"/>
    <w:rsid w:val="007D3BBE"/>
    <w:rsid w:val="007D58FB"/>
    <w:rsid w:val="007D73EC"/>
    <w:rsid w:val="007D7876"/>
    <w:rsid w:val="007E07EB"/>
    <w:rsid w:val="007E30CE"/>
    <w:rsid w:val="007F6F54"/>
    <w:rsid w:val="008065F2"/>
    <w:rsid w:val="00807FDF"/>
    <w:rsid w:val="00824422"/>
    <w:rsid w:val="00832684"/>
    <w:rsid w:val="00832C6D"/>
    <w:rsid w:val="0083468A"/>
    <w:rsid w:val="00837733"/>
    <w:rsid w:val="008423DD"/>
    <w:rsid w:val="00842D43"/>
    <w:rsid w:val="00844D50"/>
    <w:rsid w:val="00856829"/>
    <w:rsid w:val="00856D1C"/>
    <w:rsid w:val="00862B46"/>
    <w:rsid w:val="00866437"/>
    <w:rsid w:val="00876AC0"/>
    <w:rsid w:val="008829E1"/>
    <w:rsid w:val="00883639"/>
    <w:rsid w:val="00883DD9"/>
    <w:rsid w:val="00885911"/>
    <w:rsid w:val="00890197"/>
    <w:rsid w:val="00892AD5"/>
    <w:rsid w:val="00894D19"/>
    <w:rsid w:val="008971B3"/>
    <w:rsid w:val="008975B5"/>
    <w:rsid w:val="008B1B8C"/>
    <w:rsid w:val="008B318B"/>
    <w:rsid w:val="008B463E"/>
    <w:rsid w:val="008B4FA4"/>
    <w:rsid w:val="008B7D28"/>
    <w:rsid w:val="008C0F30"/>
    <w:rsid w:val="008C13A3"/>
    <w:rsid w:val="008C22B2"/>
    <w:rsid w:val="008C5443"/>
    <w:rsid w:val="008D55E2"/>
    <w:rsid w:val="008E2A10"/>
    <w:rsid w:val="008F131C"/>
    <w:rsid w:val="008F5219"/>
    <w:rsid w:val="008F6591"/>
    <w:rsid w:val="008F7D6A"/>
    <w:rsid w:val="009006AE"/>
    <w:rsid w:val="00902A2D"/>
    <w:rsid w:val="00903408"/>
    <w:rsid w:val="009042E2"/>
    <w:rsid w:val="00910024"/>
    <w:rsid w:val="00911384"/>
    <w:rsid w:val="009116EA"/>
    <w:rsid w:val="00915181"/>
    <w:rsid w:val="00921006"/>
    <w:rsid w:val="00930586"/>
    <w:rsid w:val="00930F30"/>
    <w:rsid w:val="00933671"/>
    <w:rsid w:val="00933A8F"/>
    <w:rsid w:val="00935F82"/>
    <w:rsid w:val="00945485"/>
    <w:rsid w:val="009461D4"/>
    <w:rsid w:val="00950B8F"/>
    <w:rsid w:val="00952F51"/>
    <w:rsid w:val="00957443"/>
    <w:rsid w:val="00957867"/>
    <w:rsid w:val="00957D00"/>
    <w:rsid w:val="00961038"/>
    <w:rsid w:val="00964AE4"/>
    <w:rsid w:val="00967AD8"/>
    <w:rsid w:val="00972BF7"/>
    <w:rsid w:val="00972DD5"/>
    <w:rsid w:val="009805D8"/>
    <w:rsid w:val="00982A9C"/>
    <w:rsid w:val="00984879"/>
    <w:rsid w:val="00985632"/>
    <w:rsid w:val="00991760"/>
    <w:rsid w:val="00991B63"/>
    <w:rsid w:val="009979B5"/>
    <w:rsid w:val="009A4E65"/>
    <w:rsid w:val="009B07CD"/>
    <w:rsid w:val="009B2428"/>
    <w:rsid w:val="009B247F"/>
    <w:rsid w:val="009B3A71"/>
    <w:rsid w:val="009B5CB7"/>
    <w:rsid w:val="009B698F"/>
    <w:rsid w:val="009D0069"/>
    <w:rsid w:val="009D1B66"/>
    <w:rsid w:val="009D6400"/>
    <w:rsid w:val="009E0FC9"/>
    <w:rsid w:val="009E4C0E"/>
    <w:rsid w:val="009F0ED4"/>
    <w:rsid w:val="00A0248B"/>
    <w:rsid w:val="00A12347"/>
    <w:rsid w:val="00A2139C"/>
    <w:rsid w:val="00A22F1A"/>
    <w:rsid w:val="00A235FF"/>
    <w:rsid w:val="00A24AF9"/>
    <w:rsid w:val="00A31189"/>
    <w:rsid w:val="00A31242"/>
    <w:rsid w:val="00A315CA"/>
    <w:rsid w:val="00A33F69"/>
    <w:rsid w:val="00A401C7"/>
    <w:rsid w:val="00A475CB"/>
    <w:rsid w:val="00A47D13"/>
    <w:rsid w:val="00A502FA"/>
    <w:rsid w:val="00A52530"/>
    <w:rsid w:val="00A54F13"/>
    <w:rsid w:val="00A551BF"/>
    <w:rsid w:val="00A55EC2"/>
    <w:rsid w:val="00A562D7"/>
    <w:rsid w:val="00A61493"/>
    <w:rsid w:val="00A61AAF"/>
    <w:rsid w:val="00A62221"/>
    <w:rsid w:val="00A63BE1"/>
    <w:rsid w:val="00A70524"/>
    <w:rsid w:val="00A70AB3"/>
    <w:rsid w:val="00A720A5"/>
    <w:rsid w:val="00A72A35"/>
    <w:rsid w:val="00A73406"/>
    <w:rsid w:val="00A751A4"/>
    <w:rsid w:val="00A76446"/>
    <w:rsid w:val="00A768BA"/>
    <w:rsid w:val="00A82183"/>
    <w:rsid w:val="00A844DA"/>
    <w:rsid w:val="00A86CC8"/>
    <w:rsid w:val="00A97FCF"/>
    <w:rsid w:val="00AA1F1D"/>
    <w:rsid w:val="00AB2708"/>
    <w:rsid w:val="00AB4EAA"/>
    <w:rsid w:val="00AC65DA"/>
    <w:rsid w:val="00AD09E4"/>
    <w:rsid w:val="00AD427D"/>
    <w:rsid w:val="00AD59E1"/>
    <w:rsid w:val="00AD5B54"/>
    <w:rsid w:val="00AD5F62"/>
    <w:rsid w:val="00AD6CF2"/>
    <w:rsid w:val="00AD741E"/>
    <w:rsid w:val="00AE3F12"/>
    <w:rsid w:val="00AE6E9D"/>
    <w:rsid w:val="00AF1737"/>
    <w:rsid w:val="00AF1741"/>
    <w:rsid w:val="00AF5F9E"/>
    <w:rsid w:val="00B005C6"/>
    <w:rsid w:val="00B23317"/>
    <w:rsid w:val="00B265D1"/>
    <w:rsid w:val="00B2722A"/>
    <w:rsid w:val="00B275B3"/>
    <w:rsid w:val="00B3121E"/>
    <w:rsid w:val="00B32DC9"/>
    <w:rsid w:val="00B350F5"/>
    <w:rsid w:val="00B35110"/>
    <w:rsid w:val="00B40C26"/>
    <w:rsid w:val="00B41CC1"/>
    <w:rsid w:val="00B428AF"/>
    <w:rsid w:val="00B53E24"/>
    <w:rsid w:val="00B53E2B"/>
    <w:rsid w:val="00B56CCC"/>
    <w:rsid w:val="00B56D61"/>
    <w:rsid w:val="00B572CB"/>
    <w:rsid w:val="00B618BA"/>
    <w:rsid w:val="00B6293F"/>
    <w:rsid w:val="00B76321"/>
    <w:rsid w:val="00B82CA6"/>
    <w:rsid w:val="00B84520"/>
    <w:rsid w:val="00B86A41"/>
    <w:rsid w:val="00B87946"/>
    <w:rsid w:val="00B90037"/>
    <w:rsid w:val="00B913A1"/>
    <w:rsid w:val="00BA282D"/>
    <w:rsid w:val="00BA4D57"/>
    <w:rsid w:val="00BA5E59"/>
    <w:rsid w:val="00BA5F8C"/>
    <w:rsid w:val="00BB0B6D"/>
    <w:rsid w:val="00BB6260"/>
    <w:rsid w:val="00BB7303"/>
    <w:rsid w:val="00BC3EFB"/>
    <w:rsid w:val="00BC55C5"/>
    <w:rsid w:val="00BD4A6E"/>
    <w:rsid w:val="00BD7F81"/>
    <w:rsid w:val="00BE3388"/>
    <w:rsid w:val="00BE5A3B"/>
    <w:rsid w:val="00BE71E9"/>
    <w:rsid w:val="00BF2A28"/>
    <w:rsid w:val="00C05E74"/>
    <w:rsid w:val="00C06204"/>
    <w:rsid w:val="00C06224"/>
    <w:rsid w:val="00C06C73"/>
    <w:rsid w:val="00C0720C"/>
    <w:rsid w:val="00C107B3"/>
    <w:rsid w:val="00C1083A"/>
    <w:rsid w:val="00C10C19"/>
    <w:rsid w:val="00C143B8"/>
    <w:rsid w:val="00C15C8F"/>
    <w:rsid w:val="00C16096"/>
    <w:rsid w:val="00C16760"/>
    <w:rsid w:val="00C17D02"/>
    <w:rsid w:val="00C2009F"/>
    <w:rsid w:val="00C22F5B"/>
    <w:rsid w:val="00C2403B"/>
    <w:rsid w:val="00C25572"/>
    <w:rsid w:val="00C26DBA"/>
    <w:rsid w:val="00C319FC"/>
    <w:rsid w:val="00C32E3A"/>
    <w:rsid w:val="00C3424D"/>
    <w:rsid w:val="00C35C15"/>
    <w:rsid w:val="00C41B1B"/>
    <w:rsid w:val="00C43B4B"/>
    <w:rsid w:val="00C44E7C"/>
    <w:rsid w:val="00C452CC"/>
    <w:rsid w:val="00C478BA"/>
    <w:rsid w:val="00C47C9B"/>
    <w:rsid w:val="00C502EC"/>
    <w:rsid w:val="00C5649C"/>
    <w:rsid w:val="00C56801"/>
    <w:rsid w:val="00C57AA9"/>
    <w:rsid w:val="00C607B1"/>
    <w:rsid w:val="00C737DE"/>
    <w:rsid w:val="00C75486"/>
    <w:rsid w:val="00C7551A"/>
    <w:rsid w:val="00C81499"/>
    <w:rsid w:val="00C8202C"/>
    <w:rsid w:val="00C84E0C"/>
    <w:rsid w:val="00C90D91"/>
    <w:rsid w:val="00C90FF4"/>
    <w:rsid w:val="00C917F7"/>
    <w:rsid w:val="00C92A5B"/>
    <w:rsid w:val="00C94500"/>
    <w:rsid w:val="00C95DCC"/>
    <w:rsid w:val="00CA0227"/>
    <w:rsid w:val="00CA2709"/>
    <w:rsid w:val="00CA2C75"/>
    <w:rsid w:val="00CA2F2E"/>
    <w:rsid w:val="00CA46EC"/>
    <w:rsid w:val="00CA65BB"/>
    <w:rsid w:val="00CB4D3D"/>
    <w:rsid w:val="00CF3338"/>
    <w:rsid w:val="00CF3876"/>
    <w:rsid w:val="00CF631D"/>
    <w:rsid w:val="00D006FB"/>
    <w:rsid w:val="00D021FF"/>
    <w:rsid w:val="00D04666"/>
    <w:rsid w:val="00D048B1"/>
    <w:rsid w:val="00D04A54"/>
    <w:rsid w:val="00D05073"/>
    <w:rsid w:val="00D05B29"/>
    <w:rsid w:val="00D10043"/>
    <w:rsid w:val="00D1263A"/>
    <w:rsid w:val="00D13806"/>
    <w:rsid w:val="00D1394D"/>
    <w:rsid w:val="00D1630B"/>
    <w:rsid w:val="00D1771F"/>
    <w:rsid w:val="00D20E39"/>
    <w:rsid w:val="00D23072"/>
    <w:rsid w:val="00D350B8"/>
    <w:rsid w:val="00D42A50"/>
    <w:rsid w:val="00D44F80"/>
    <w:rsid w:val="00D47740"/>
    <w:rsid w:val="00D5411D"/>
    <w:rsid w:val="00D5420C"/>
    <w:rsid w:val="00D5752D"/>
    <w:rsid w:val="00D749A9"/>
    <w:rsid w:val="00D812B9"/>
    <w:rsid w:val="00D82572"/>
    <w:rsid w:val="00D87CBA"/>
    <w:rsid w:val="00D903FD"/>
    <w:rsid w:val="00D90F4B"/>
    <w:rsid w:val="00D92457"/>
    <w:rsid w:val="00D92D6E"/>
    <w:rsid w:val="00D94BC5"/>
    <w:rsid w:val="00D95D1B"/>
    <w:rsid w:val="00D96C08"/>
    <w:rsid w:val="00DA0E3E"/>
    <w:rsid w:val="00DA34EC"/>
    <w:rsid w:val="00DB1CF3"/>
    <w:rsid w:val="00DC2FE1"/>
    <w:rsid w:val="00DC3052"/>
    <w:rsid w:val="00DC40DC"/>
    <w:rsid w:val="00DC45D7"/>
    <w:rsid w:val="00DD44FF"/>
    <w:rsid w:val="00DD6639"/>
    <w:rsid w:val="00DE25A4"/>
    <w:rsid w:val="00DE77F5"/>
    <w:rsid w:val="00DF185B"/>
    <w:rsid w:val="00DF2D29"/>
    <w:rsid w:val="00DF46C4"/>
    <w:rsid w:val="00DF4CA3"/>
    <w:rsid w:val="00DF65F6"/>
    <w:rsid w:val="00DF7FF1"/>
    <w:rsid w:val="00E005FB"/>
    <w:rsid w:val="00E045B8"/>
    <w:rsid w:val="00E07376"/>
    <w:rsid w:val="00E1201C"/>
    <w:rsid w:val="00E20004"/>
    <w:rsid w:val="00E20E53"/>
    <w:rsid w:val="00E214A9"/>
    <w:rsid w:val="00E21858"/>
    <w:rsid w:val="00E22190"/>
    <w:rsid w:val="00E24375"/>
    <w:rsid w:val="00E26FCD"/>
    <w:rsid w:val="00E30F0C"/>
    <w:rsid w:val="00E3581A"/>
    <w:rsid w:val="00E376D2"/>
    <w:rsid w:val="00E4192C"/>
    <w:rsid w:val="00E42F06"/>
    <w:rsid w:val="00E43BD8"/>
    <w:rsid w:val="00E43F77"/>
    <w:rsid w:val="00E449AA"/>
    <w:rsid w:val="00E463C3"/>
    <w:rsid w:val="00E526EC"/>
    <w:rsid w:val="00E63F34"/>
    <w:rsid w:val="00E675DE"/>
    <w:rsid w:val="00E67D4E"/>
    <w:rsid w:val="00E724BF"/>
    <w:rsid w:val="00E8247F"/>
    <w:rsid w:val="00E8480A"/>
    <w:rsid w:val="00E8489D"/>
    <w:rsid w:val="00E85659"/>
    <w:rsid w:val="00E86CEE"/>
    <w:rsid w:val="00E87448"/>
    <w:rsid w:val="00EB2AC7"/>
    <w:rsid w:val="00EB4D0D"/>
    <w:rsid w:val="00EB618E"/>
    <w:rsid w:val="00EC062F"/>
    <w:rsid w:val="00EC3E4E"/>
    <w:rsid w:val="00EC68DE"/>
    <w:rsid w:val="00EC78E7"/>
    <w:rsid w:val="00EC7A48"/>
    <w:rsid w:val="00ED0B5C"/>
    <w:rsid w:val="00ED43D2"/>
    <w:rsid w:val="00ED4B8E"/>
    <w:rsid w:val="00ED799A"/>
    <w:rsid w:val="00EE12D8"/>
    <w:rsid w:val="00EE336D"/>
    <w:rsid w:val="00EE3B8C"/>
    <w:rsid w:val="00EE4CAE"/>
    <w:rsid w:val="00EE6423"/>
    <w:rsid w:val="00EF0656"/>
    <w:rsid w:val="00EF18B6"/>
    <w:rsid w:val="00EF4440"/>
    <w:rsid w:val="00EF4A38"/>
    <w:rsid w:val="00EF5845"/>
    <w:rsid w:val="00F046FC"/>
    <w:rsid w:val="00F11B8F"/>
    <w:rsid w:val="00F16FF3"/>
    <w:rsid w:val="00F24D33"/>
    <w:rsid w:val="00F25760"/>
    <w:rsid w:val="00F32890"/>
    <w:rsid w:val="00F33B55"/>
    <w:rsid w:val="00F375CD"/>
    <w:rsid w:val="00F44065"/>
    <w:rsid w:val="00F46934"/>
    <w:rsid w:val="00F47193"/>
    <w:rsid w:val="00F51503"/>
    <w:rsid w:val="00F53086"/>
    <w:rsid w:val="00F638AA"/>
    <w:rsid w:val="00F638ED"/>
    <w:rsid w:val="00F65B3A"/>
    <w:rsid w:val="00F67E41"/>
    <w:rsid w:val="00F7020F"/>
    <w:rsid w:val="00F70D46"/>
    <w:rsid w:val="00F71ED2"/>
    <w:rsid w:val="00F74011"/>
    <w:rsid w:val="00F74C13"/>
    <w:rsid w:val="00F7587E"/>
    <w:rsid w:val="00F76BCC"/>
    <w:rsid w:val="00F77645"/>
    <w:rsid w:val="00F77AA5"/>
    <w:rsid w:val="00F80415"/>
    <w:rsid w:val="00F80CFC"/>
    <w:rsid w:val="00F90806"/>
    <w:rsid w:val="00F914B7"/>
    <w:rsid w:val="00F95BC6"/>
    <w:rsid w:val="00FA032D"/>
    <w:rsid w:val="00FA6D45"/>
    <w:rsid w:val="00FA6E5A"/>
    <w:rsid w:val="00FA7C8B"/>
    <w:rsid w:val="00FB10CB"/>
    <w:rsid w:val="00FB446B"/>
    <w:rsid w:val="00FB56C2"/>
    <w:rsid w:val="00FC0067"/>
    <w:rsid w:val="00FC2B0B"/>
    <w:rsid w:val="00FC3154"/>
    <w:rsid w:val="00FD0D1D"/>
    <w:rsid w:val="00FD6F68"/>
    <w:rsid w:val="00FE3C60"/>
    <w:rsid w:val="00FE5847"/>
    <w:rsid w:val="00FE5E3E"/>
    <w:rsid w:val="00FF44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7F43B4A3"/>
  <w15:docId w15:val="{4F395788-B19F-430F-B467-24ADE4C8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DA"/>
  </w:style>
  <w:style w:type="paragraph" w:styleId="Heading1">
    <w:name w:val="heading 1"/>
    <w:basedOn w:val="Normal"/>
    <w:next w:val="Normal"/>
    <w:link w:val="Heading1Char"/>
    <w:uiPriority w:val="9"/>
    <w:qFormat/>
    <w:rsid w:val="00AF1741"/>
    <w:pPr>
      <w:spacing w:after="240" w:line="240" w:lineRule="auto"/>
      <w:contextualSpacing/>
      <w:outlineLvl w:val="0"/>
    </w:pPr>
    <w:rPr>
      <w:rFonts w:ascii="Calibri" w:eastAsiaTheme="majorEastAsia" w:hAnsi="Calibri" w:cstheme="majorBidi"/>
      <w:b/>
      <w:bCs/>
      <w:color w:val="3D1D48" w:themeColor="accent4" w:themeShade="BF"/>
      <w:sz w:val="36"/>
      <w:szCs w:val="28"/>
    </w:rPr>
  </w:style>
  <w:style w:type="paragraph" w:styleId="Heading2">
    <w:name w:val="heading 2"/>
    <w:basedOn w:val="Normal"/>
    <w:next w:val="Normal"/>
    <w:link w:val="Heading2Char"/>
    <w:uiPriority w:val="1"/>
    <w:unhideWhenUsed/>
    <w:qFormat/>
    <w:rsid w:val="00AF1741"/>
    <w:pPr>
      <w:spacing w:before="200" w:after="0"/>
      <w:outlineLvl w:val="1"/>
    </w:pPr>
    <w:rPr>
      <w:rFonts w:ascii="Calibri" w:eastAsiaTheme="majorEastAsia" w:hAnsi="Calibri" w:cstheme="majorBidi"/>
      <w:b/>
      <w:bCs/>
      <w:color w:val="3D1D48" w:themeColor="accent4" w:themeShade="BF"/>
      <w:sz w:val="28"/>
      <w:szCs w:val="26"/>
    </w:rPr>
  </w:style>
  <w:style w:type="paragraph" w:styleId="Heading3">
    <w:name w:val="heading 3"/>
    <w:basedOn w:val="Normal"/>
    <w:next w:val="Normal"/>
    <w:link w:val="Heading3Char"/>
    <w:uiPriority w:val="1"/>
    <w:unhideWhenUsed/>
    <w:qFormat/>
    <w:rsid w:val="00AF1741"/>
    <w:pPr>
      <w:spacing w:before="200" w:after="0"/>
      <w:outlineLvl w:val="2"/>
    </w:pPr>
    <w:rPr>
      <w:rFonts w:ascii="Calibri" w:eastAsiaTheme="majorEastAsia" w:hAnsi="Calibri" w:cstheme="majorBidi"/>
      <w:b/>
      <w:bCs/>
      <w:color w:val="3D1D48" w:themeColor="accent4" w:themeShade="BF"/>
      <w:sz w:val="24"/>
    </w:rPr>
  </w:style>
  <w:style w:type="paragraph" w:styleId="Heading4">
    <w:name w:val="heading 4"/>
    <w:basedOn w:val="Normal"/>
    <w:next w:val="Normal"/>
    <w:link w:val="Heading4Char"/>
    <w:uiPriority w:val="1"/>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AF1741"/>
    <w:rPr>
      <w:rFonts w:ascii="Calibri" w:eastAsiaTheme="majorEastAsia" w:hAnsi="Calibri" w:cstheme="majorBidi"/>
      <w:b/>
      <w:bCs/>
      <w:color w:val="3D1D48" w:themeColor="accent4" w:themeShade="BF"/>
      <w:sz w:val="36"/>
      <w:szCs w:val="28"/>
    </w:rPr>
  </w:style>
  <w:style w:type="character" w:customStyle="1" w:styleId="Heading2Char">
    <w:name w:val="Heading 2 Char"/>
    <w:basedOn w:val="DefaultParagraphFont"/>
    <w:link w:val="Heading2"/>
    <w:uiPriority w:val="1"/>
    <w:rsid w:val="00AF1741"/>
    <w:rPr>
      <w:rFonts w:ascii="Calibri" w:eastAsiaTheme="majorEastAsia" w:hAnsi="Calibri" w:cstheme="majorBidi"/>
      <w:b/>
      <w:bCs/>
      <w:color w:val="3D1D48" w:themeColor="accent4" w:themeShade="BF"/>
      <w:sz w:val="28"/>
      <w:szCs w:val="26"/>
    </w:rPr>
  </w:style>
  <w:style w:type="character" w:customStyle="1" w:styleId="Heading3Char">
    <w:name w:val="Heading 3 Char"/>
    <w:basedOn w:val="DefaultParagraphFont"/>
    <w:link w:val="Heading3"/>
    <w:uiPriority w:val="1"/>
    <w:rsid w:val="00AF1741"/>
    <w:rPr>
      <w:rFonts w:ascii="Calibri" w:eastAsiaTheme="majorEastAsia" w:hAnsi="Calibri" w:cstheme="majorBidi"/>
      <w:b/>
      <w:bCs/>
      <w:color w:val="3D1D48" w:themeColor="accent4" w:themeShade="BF"/>
      <w:sz w:val="24"/>
    </w:rPr>
  </w:style>
  <w:style w:type="character" w:customStyle="1" w:styleId="Heading4Char">
    <w:name w:val="Heading 4 Char"/>
    <w:basedOn w:val="DefaultParagraphFont"/>
    <w:link w:val="Heading4"/>
    <w:uiPriority w:val="1"/>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Bullet OSM,Bullets,CV text,Dot pt,F5 List Paragraph,FooterText,L,List Paragraph1,List Paragraph11,List Paragraph111,List Paragraph2,Medium Grid 1 - Accent 21,Numbered Paragraph,Proposal Bullet List,Recommendation,TOC style,Table text,lp1"/>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qFormat/>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82CA6"/>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customStyle="1" w:styleId="EducationTable">
    <w:name w:val="Education Table"/>
    <w:basedOn w:val="TableNormal"/>
    <w:uiPriority w:val="99"/>
    <w:rsid w:val="00A751A4"/>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styleId="CommentReference">
    <w:name w:val="annotation reference"/>
    <w:basedOn w:val="DefaultParagraphFont"/>
    <w:uiPriority w:val="99"/>
    <w:semiHidden/>
    <w:unhideWhenUsed/>
    <w:rsid w:val="00B6293F"/>
    <w:rPr>
      <w:sz w:val="16"/>
      <w:szCs w:val="16"/>
    </w:rPr>
  </w:style>
  <w:style w:type="paragraph" w:styleId="CommentText">
    <w:name w:val="annotation text"/>
    <w:basedOn w:val="Normal"/>
    <w:link w:val="CommentTextChar"/>
    <w:uiPriority w:val="99"/>
    <w:semiHidden/>
    <w:unhideWhenUsed/>
    <w:rsid w:val="00B6293F"/>
    <w:pPr>
      <w:spacing w:line="240" w:lineRule="auto"/>
    </w:pPr>
    <w:rPr>
      <w:sz w:val="20"/>
      <w:szCs w:val="20"/>
    </w:rPr>
  </w:style>
  <w:style w:type="character" w:customStyle="1" w:styleId="CommentTextChar">
    <w:name w:val="Comment Text Char"/>
    <w:basedOn w:val="DefaultParagraphFont"/>
    <w:link w:val="CommentText"/>
    <w:uiPriority w:val="99"/>
    <w:semiHidden/>
    <w:rsid w:val="00B6293F"/>
    <w:rPr>
      <w:sz w:val="20"/>
      <w:szCs w:val="20"/>
    </w:rPr>
  </w:style>
  <w:style w:type="paragraph" w:styleId="CommentSubject">
    <w:name w:val="annotation subject"/>
    <w:basedOn w:val="CommentText"/>
    <w:next w:val="CommentText"/>
    <w:link w:val="CommentSubjectChar"/>
    <w:uiPriority w:val="99"/>
    <w:semiHidden/>
    <w:unhideWhenUsed/>
    <w:rsid w:val="00B6293F"/>
    <w:rPr>
      <w:b/>
      <w:bCs/>
    </w:rPr>
  </w:style>
  <w:style w:type="character" w:customStyle="1" w:styleId="CommentSubjectChar">
    <w:name w:val="Comment Subject Char"/>
    <w:basedOn w:val="CommentTextChar"/>
    <w:link w:val="CommentSubject"/>
    <w:uiPriority w:val="99"/>
    <w:semiHidden/>
    <w:rsid w:val="00B6293F"/>
    <w:rPr>
      <w:b/>
      <w:bCs/>
      <w:sz w:val="20"/>
      <w:szCs w:val="20"/>
    </w:rPr>
  </w:style>
  <w:style w:type="paragraph" w:styleId="Revision">
    <w:name w:val="Revision"/>
    <w:hidden/>
    <w:uiPriority w:val="99"/>
    <w:semiHidden/>
    <w:rsid w:val="004B2769"/>
    <w:pPr>
      <w:spacing w:after="0" w:line="240" w:lineRule="auto"/>
    </w:pPr>
  </w:style>
  <w:style w:type="paragraph" w:customStyle="1" w:styleId="MBPoint">
    <w:name w:val="MB Point"/>
    <w:basedOn w:val="ListParagraph"/>
    <w:qFormat/>
    <w:rsid w:val="00952F51"/>
    <w:pPr>
      <w:numPr>
        <w:numId w:val="20"/>
      </w:numPr>
      <w:spacing w:after="60" w:line="240" w:lineRule="auto"/>
      <w:contextualSpacing w:val="0"/>
    </w:pPr>
    <w:rPr>
      <w:rFonts w:ascii="Times New Roman" w:eastAsiaTheme="minorHAnsi" w:hAnsi="Times New Roman" w:cs="Times New Roman"/>
      <w:sz w:val="24"/>
      <w:szCs w:val="24"/>
    </w:rPr>
  </w:style>
  <w:style w:type="paragraph" w:customStyle="1" w:styleId="MBPointSub">
    <w:name w:val="MB Point Sub"/>
    <w:basedOn w:val="ListParagraph"/>
    <w:qFormat/>
    <w:rsid w:val="00952F51"/>
    <w:pPr>
      <w:numPr>
        <w:ilvl w:val="2"/>
        <w:numId w:val="20"/>
      </w:numPr>
      <w:spacing w:after="120" w:line="240" w:lineRule="auto"/>
      <w:ind w:left="1231" w:hanging="380"/>
      <w:contextualSpacing w:val="0"/>
    </w:pPr>
    <w:rPr>
      <w:rFonts w:eastAsiaTheme="minorHAnsi" w:cstheme="minorHAnsi"/>
    </w:rPr>
  </w:style>
  <w:style w:type="paragraph" w:customStyle="1" w:styleId="MBNumbering">
    <w:name w:val="MB Numbering"/>
    <w:basedOn w:val="MBPoint"/>
    <w:rsid w:val="00952F51"/>
    <w:pPr>
      <w:spacing w:after="120"/>
      <w:ind w:left="425" w:hanging="357"/>
    </w:pPr>
    <w:rPr>
      <w:rFonts w:asciiTheme="minorHAnsi" w:hAnsiTheme="minorHAnsi" w:cstheme="minorHAnsi"/>
      <w:sz w:val="22"/>
      <w:szCs w:val="22"/>
    </w:rPr>
  </w:style>
  <w:style w:type="paragraph" w:styleId="FootnoteText">
    <w:name w:val="footnote text"/>
    <w:basedOn w:val="Normal"/>
    <w:link w:val="FootnoteTextChar"/>
    <w:uiPriority w:val="99"/>
    <w:semiHidden/>
    <w:unhideWhenUsed/>
    <w:rsid w:val="00E073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7376"/>
    <w:rPr>
      <w:sz w:val="20"/>
      <w:szCs w:val="20"/>
    </w:rPr>
  </w:style>
  <w:style w:type="character" w:styleId="FootnoteReference">
    <w:name w:val="footnote reference"/>
    <w:basedOn w:val="DefaultParagraphFont"/>
    <w:uiPriority w:val="99"/>
    <w:semiHidden/>
    <w:unhideWhenUsed/>
    <w:rsid w:val="00E07376"/>
    <w:rPr>
      <w:vertAlign w:val="superscript"/>
    </w:rPr>
  </w:style>
  <w:style w:type="character" w:customStyle="1" w:styleId="ListParagraphChar">
    <w:name w:val="List Paragraph Char"/>
    <w:aliases w:val="Bullet OSM Char,Bullets Char,CV text Char,Dot pt Char,F5 List Paragraph Char,FooterText Char,L Char,List Paragraph1 Char,List Paragraph11 Char,List Paragraph111 Char,List Paragraph2 Char,Medium Grid 1 - Accent 21 Char,TOC style Char"/>
    <w:basedOn w:val="DefaultParagraphFont"/>
    <w:link w:val="ListParagraph"/>
    <w:uiPriority w:val="34"/>
    <w:qFormat/>
    <w:locked/>
    <w:rsid w:val="00967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82066">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53362957">
      <w:bodyDiv w:val="1"/>
      <w:marLeft w:val="0"/>
      <w:marRight w:val="0"/>
      <w:marTop w:val="0"/>
      <w:marBottom w:val="0"/>
      <w:divBdr>
        <w:top w:val="none" w:sz="0" w:space="0" w:color="auto"/>
        <w:left w:val="none" w:sz="0" w:space="0" w:color="auto"/>
        <w:bottom w:val="none" w:sz="0" w:space="0" w:color="auto"/>
        <w:right w:val="none" w:sz="0" w:space="0" w:color="auto"/>
      </w:divBdr>
    </w:div>
    <w:div w:id="412238398">
      <w:bodyDiv w:val="1"/>
      <w:marLeft w:val="0"/>
      <w:marRight w:val="0"/>
      <w:marTop w:val="0"/>
      <w:marBottom w:val="0"/>
      <w:divBdr>
        <w:top w:val="none" w:sz="0" w:space="0" w:color="auto"/>
        <w:left w:val="none" w:sz="0" w:space="0" w:color="auto"/>
        <w:bottom w:val="none" w:sz="0" w:space="0" w:color="auto"/>
        <w:right w:val="none" w:sz="0" w:space="0" w:color="auto"/>
      </w:divBdr>
    </w:div>
    <w:div w:id="657071868">
      <w:bodyDiv w:val="1"/>
      <w:marLeft w:val="0"/>
      <w:marRight w:val="0"/>
      <w:marTop w:val="0"/>
      <w:marBottom w:val="0"/>
      <w:divBdr>
        <w:top w:val="none" w:sz="0" w:space="0" w:color="auto"/>
        <w:left w:val="none" w:sz="0" w:space="0" w:color="auto"/>
        <w:bottom w:val="none" w:sz="0" w:space="0" w:color="auto"/>
        <w:right w:val="none" w:sz="0" w:space="0" w:color="auto"/>
      </w:divBdr>
    </w:div>
    <w:div w:id="825240429">
      <w:bodyDiv w:val="1"/>
      <w:marLeft w:val="0"/>
      <w:marRight w:val="0"/>
      <w:marTop w:val="0"/>
      <w:marBottom w:val="0"/>
      <w:divBdr>
        <w:top w:val="none" w:sz="0" w:space="0" w:color="auto"/>
        <w:left w:val="none" w:sz="0" w:space="0" w:color="auto"/>
        <w:bottom w:val="none" w:sz="0" w:space="0" w:color="auto"/>
        <w:right w:val="none" w:sz="0" w:space="0" w:color="auto"/>
      </w:divBdr>
    </w:div>
    <w:div w:id="951519013">
      <w:bodyDiv w:val="1"/>
      <w:marLeft w:val="0"/>
      <w:marRight w:val="0"/>
      <w:marTop w:val="0"/>
      <w:marBottom w:val="0"/>
      <w:divBdr>
        <w:top w:val="none" w:sz="0" w:space="0" w:color="auto"/>
        <w:left w:val="none" w:sz="0" w:space="0" w:color="auto"/>
        <w:bottom w:val="none" w:sz="0" w:space="0" w:color="auto"/>
        <w:right w:val="none" w:sz="0" w:space="0" w:color="auto"/>
      </w:divBdr>
    </w:div>
    <w:div w:id="1141265376">
      <w:bodyDiv w:val="1"/>
      <w:marLeft w:val="0"/>
      <w:marRight w:val="0"/>
      <w:marTop w:val="0"/>
      <w:marBottom w:val="0"/>
      <w:divBdr>
        <w:top w:val="none" w:sz="0" w:space="0" w:color="auto"/>
        <w:left w:val="none" w:sz="0" w:space="0" w:color="auto"/>
        <w:bottom w:val="none" w:sz="0" w:space="0" w:color="auto"/>
        <w:right w:val="none" w:sz="0" w:space="0" w:color="auto"/>
      </w:divBdr>
    </w:div>
    <w:div w:id="1293174979">
      <w:bodyDiv w:val="1"/>
      <w:marLeft w:val="0"/>
      <w:marRight w:val="0"/>
      <w:marTop w:val="0"/>
      <w:marBottom w:val="0"/>
      <w:divBdr>
        <w:top w:val="none" w:sz="0" w:space="0" w:color="auto"/>
        <w:left w:val="none" w:sz="0" w:space="0" w:color="auto"/>
        <w:bottom w:val="none" w:sz="0" w:space="0" w:color="auto"/>
        <w:right w:val="none" w:sz="0" w:space="0" w:color="auto"/>
      </w:divBdr>
    </w:div>
    <w:div w:id="1498501889">
      <w:bodyDiv w:val="1"/>
      <w:marLeft w:val="0"/>
      <w:marRight w:val="0"/>
      <w:marTop w:val="0"/>
      <w:marBottom w:val="0"/>
      <w:divBdr>
        <w:top w:val="none" w:sz="0" w:space="0" w:color="auto"/>
        <w:left w:val="none" w:sz="0" w:space="0" w:color="auto"/>
        <w:bottom w:val="none" w:sz="0" w:space="0" w:color="auto"/>
        <w:right w:val="none" w:sz="0" w:space="0" w:color="auto"/>
      </w:divBdr>
    </w:div>
    <w:div w:id="1568034559">
      <w:bodyDiv w:val="1"/>
      <w:marLeft w:val="0"/>
      <w:marRight w:val="0"/>
      <w:marTop w:val="0"/>
      <w:marBottom w:val="0"/>
      <w:divBdr>
        <w:top w:val="none" w:sz="0" w:space="0" w:color="auto"/>
        <w:left w:val="none" w:sz="0" w:space="0" w:color="auto"/>
        <w:bottom w:val="none" w:sz="0" w:space="0" w:color="auto"/>
        <w:right w:val="none" w:sz="0" w:space="0" w:color="auto"/>
      </w:divBdr>
    </w:div>
    <w:div w:id="1593969890">
      <w:bodyDiv w:val="1"/>
      <w:marLeft w:val="0"/>
      <w:marRight w:val="0"/>
      <w:marTop w:val="0"/>
      <w:marBottom w:val="0"/>
      <w:divBdr>
        <w:top w:val="none" w:sz="0" w:space="0" w:color="auto"/>
        <w:left w:val="none" w:sz="0" w:space="0" w:color="auto"/>
        <w:bottom w:val="none" w:sz="0" w:space="0" w:color="auto"/>
        <w:right w:val="none" w:sz="0" w:space="0" w:color="auto"/>
      </w:divBdr>
    </w:div>
    <w:div w:id="1634604400">
      <w:bodyDiv w:val="1"/>
      <w:marLeft w:val="0"/>
      <w:marRight w:val="0"/>
      <w:marTop w:val="0"/>
      <w:marBottom w:val="0"/>
      <w:divBdr>
        <w:top w:val="none" w:sz="0" w:space="0" w:color="auto"/>
        <w:left w:val="none" w:sz="0" w:space="0" w:color="auto"/>
        <w:bottom w:val="none" w:sz="0" w:space="0" w:color="auto"/>
        <w:right w:val="none" w:sz="0" w:space="0" w:color="auto"/>
      </w:divBdr>
    </w:div>
    <w:div w:id="1932544053">
      <w:bodyDiv w:val="1"/>
      <w:marLeft w:val="0"/>
      <w:marRight w:val="0"/>
      <w:marTop w:val="0"/>
      <w:marBottom w:val="0"/>
      <w:divBdr>
        <w:top w:val="none" w:sz="0" w:space="0" w:color="auto"/>
        <w:left w:val="none" w:sz="0" w:space="0" w:color="auto"/>
        <w:bottom w:val="none" w:sz="0" w:space="0" w:color="auto"/>
        <w:right w:val="none" w:sz="0" w:space="0" w:color="auto"/>
      </w:divBdr>
    </w:div>
    <w:div w:id="2023312175">
      <w:bodyDiv w:val="1"/>
      <w:marLeft w:val="0"/>
      <w:marRight w:val="0"/>
      <w:marTop w:val="0"/>
      <w:marBottom w:val="0"/>
      <w:divBdr>
        <w:top w:val="none" w:sz="0" w:space="0" w:color="auto"/>
        <w:left w:val="none" w:sz="0" w:space="0" w:color="auto"/>
        <w:bottom w:val="none" w:sz="0" w:space="0" w:color="auto"/>
        <w:right w:val="none" w:sz="0" w:space="0" w:color="auto"/>
      </w:divBdr>
    </w:div>
    <w:div w:id="207153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7.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hart" Target="charts/chart5.xml"/><Relationship Id="rId27"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0\Brief\2020%20Briefing%20Tables%20-%20Actual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spPr>
            <a:solidFill>
              <a:schemeClr val="accent1">
                <a:lumMod val="60000"/>
                <a:lumOff val="40000"/>
              </a:schemeClr>
            </a:solidFill>
            <a:ln>
              <a:noFill/>
            </a:ln>
            <a:effectLst/>
          </c:spPr>
          <c:cat>
            <c:strRef>
              <c:f>'Figure 1 Margin'!$A$8:$A$46</c:f>
              <c:strCache>
                <c:ptCount val="39"/>
                <c:pt idx="0">
                  <c:v>Wollongong</c:v>
                </c:pt>
                <c:pt idx="1">
                  <c:v>CQU</c:v>
                </c:pt>
                <c:pt idx="2">
                  <c:v>La Trobe</c:v>
                </c:pt>
                <c:pt idx="3">
                  <c:v>RMIT</c:v>
                </c:pt>
                <c:pt idx="4">
                  <c:v>UNE</c:v>
                </c:pt>
                <c:pt idx="5">
                  <c:v>Macquarie</c:v>
                </c:pt>
                <c:pt idx="6">
                  <c:v>Swinburne</c:v>
                </c:pt>
                <c:pt idx="7">
                  <c:v>UTS</c:v>
                </c:pt>
                <c:pt idx="8">
                  <c:v>Murdoch</c:v>
                </c:pt>
                <c:pt idx="9">
                  <c:v>Notre Dame</c:v>
                </c:pt>
                <c:pt idx="10">
                  <c:v>ANU</c:v>
                </c:pt>
                <c:pt idx="11">
                  <c:v>UNSW</c:v>
                </c:pt>
                <c:pt idx="12">
                  <c:v>Southern Cross</c:v>
                </c:pt>
                <c:pt idx="13">
                  <c:v>Griffith</c:v>
                </c:pt>
                <c:pt idx="14">
                  <c:v>Curtin</c:v>
                </c:pt>
                <c:pt idx="15">
                  <c:v>Batchelor</c:v>
                </c:pt>
                <c:pt idx="16">
                  <c:v>Newcastle</c:v>
                </c:pt>
                <c:pt idx="17">
                  <c:v>FedUni</c:v>
                </c:pt>
                <c:pt idx="18">
                  <c:v>VU</c:v>
                </c:pt>
                <c:pt idx="19">
                  <c:v>QUT</c:v>
                </c:pt>
                <c:pt idx="20">
                  <c:v>WSU</c:v>
                </c:pt>
                <c:pt idx="21">
                  <c:v>UTAS</c:v>
                </c:pt>
                <c:pt idx="22">
                  <c:v>Deakin</c:v>
                </c:pt>
                <c:pt idx="23">
                  <c:v>JCU</c:v>
                </c:pt>
                <c:pt idx="24">
                  <c:v>USA</c:v>
                </c:pt>
                <c:pt idx="25">
                  <c:v>Charles Sturt</c:v>
                </c:pt>
                <c:pt idx="26">
                  <c:v>USQ</c:v>
                </c:pt>
                <c:pt idx="27">
                  <c:v>UQ</c:v>
                </c:pt>
                <c:pt idx="28">
                  <c:v>USYD</c:v>
                </c:pt>
                <c:pt idx="29">
                  <c:v>Adelaide</c:v>
                </c:pt>
                <c:pt idx="30">
                  <c:v>ECU</c:v>
                </c:pt>
                <c:pt idx="31">
                  <c:v>ACU</c:v>
                </c:pt>
                <c:pt idx="32">
                  <c:v>UWA</c:v>
                </c:pt>
                <c:pt idx="33">
                  <c:v>Melbourne</c:v>
                </c:pt>
                <c:pt idx="34">
                  <c:v>Flinders</c:v>
                </c:pt>
                <c:pt idx="35">
                  <c:v>Sunshine Coast</c:v>
                </c:pt>
                <c:pt idx="36">
                  <c:v>UC</c:v>
                </c:pt>
                <c:pt idx="37">
                  <c:v>Monash</c:v>
                </c:pt>
                <c:pt idx="38">
                  <c:v>CDU</c:v>
                </c:pt>
              </c:strCache>
            </c:strRef>
          </c:cat>
          <c:val>
            <c:numRef>
              <c:f>'Figure 1 Margin'!$B$8:$B$46</c:f>
              <c:numCache>
                <c:formatCode>0.0%</c:formatCode>
                <c:ptCount val="39"/>
                <c:pt idx="0">
                  <c:v>-8.5081962720623919E-2</c:v>
                </c:pt>
                <c:pt idx="1">
                  <c:v>-7.3721617110740212E-2</c:v>
                </c:pt>
                <c:pt idx="2">
                  <c:v>-6.5751891085730499E-2</c:v>
                </c:pt>
                <c:pt idx="3">
                  <c:v>-6.0989687816231139E-2</c:v>
                </c:pt>
                <c:pt idx="4">
                  <c:v>-5.4595256435313461E-2</c:v>
                </c:pt>
                <c:pt idx="5">
                  <c:v>-5.4125499954829542E-2</c:v>
                </c:pt>
                <c:pt idx="6">
                  <c:v>-4.7865337722588518E-2</c:v>
                </c:pt>
                <c:pt idx="7">
                  <c:v>-4.0684116524221096E-2</c:v>
                </c:pt>
                <c:pt idx="8">
                  <c:v>-2.8946659553902954E-2</c:v>
                </c:pt>
                <c:pt idx="9">
                  <c:v>-2.511615277861582E-2</c:v>
                </c:pt>
                <c:pt idx="10">
                  <c:v>-1.3640700601303724E-2</c:v>
                </c:pt>
                <c:pt idx="11">
                  <c:v>-1.1174638698087776E-2</c:v>
                </c:pt>
                <c:pt idx="12">
                  <c:v>-9.5438847043798885E-3</c:v>
                </c:pt>
                <c:pt idx="13">
                  <c:v>-5.2264142168388303E-3</c:v>
                </c:pt>
                <c:pt idx="14">
                  <c:v>-1.2163307356142304E-3</c:v>
                </c:pt>
                <c:pt idx="15">
                  <c:v>-6.8504113447933673E-3</c:v>
                </c:pt>
                <c:pt idx="16">
                  <c:v>7.3730318873250775E-3</c:v>
                </c:pt>
                <c:pt idx="17">
                  <c:v>1.1275556422930946E-2</c:v>
                </c:pt>
                <c:pt idx="18">
                  <c:v>1.2068463864185506E-2</c:v>
                </c:pt>
                <c:pt idx="19">
                  <c:v>2.392227395357838E-2</c:v>
                </c:pt>
                <c:pt idx="20">
                  <c:v>2.4753997366811692E-2</c:v>
                </c:pt>
                <c:pt idx="21">
                  <c:v>2.5263444207031534E-2</c:v>
                </c:pt>
                <c:pt idx="22">
                  <c:v>2.6235229815613197E-2</c:v>
                </c:pt>
                <c:pt idx="23">
                  <c:v>2.9284417533292056E-2</c:v>
                </c:pt>
                <c:pt idx="24">
                  <c:v>3.0292320533983862E-2</c:v>
                </c:pt>
                <c:pt idx="25">
                  <c:v>3.3355000790569383E-2</c:v>
                </c:pt>
                <c:pt idx="26">
                  <c:v>3.6466727734424824E-2</c:v>
                </c:pt>
                <c:pt idx="27">
                  <c:v>3.9123717055059008E-2</c:v>
                </c:pt>
                <c:pt idx="28">
                  <c:v>4.0297152883608189E-2</c:v>
                </c:pt>
                <c:pt idx="29">
                  <c:v>4.1780887823393446E-2</c:v>
                </c:pt>
                <c:pt idx="30">
                  <c:v>4.958320935086271E-2</c:v>
                </c:pt>
                <c:pt idx="31">
                  <c:v>5.6508857088823049E-2</c:v>
                </c:pt>
                <c:pt idx="32">
                  <c:v>5.995541197477474E-2</c:v>
                </c:pt>
                <c:pt idx="33">
                  <c:v>6.7060299408723087E-2</c:v>
                </c:pt>
                <c:pt idx="34">
                  <c:v>7.1016802017294309E-2</c:v>
                </c:pt>
                <c:pt idx="35">
                  <c:v>7.4896292656835978E-2</c:v>
                </c:pt>
                <c:pt idx="36">
                  <c:v>9.3991075601308566E-2</c:v>
                </c:pt>
                <c:pt idx="37">
                  <c:v>9.9100932956324356E-2</c:v>
                </c:pt>
                <c:pt idx="38">
                  <c:v>0.13884302881886443</c:v>
                </c:pt>
              </c:numCache>
            </c:numRef>
          </c:val>
          <c:extLst>
            <c:ext xmlns:c16="http://schemas.microsoft.com/office/drawing/2014/chart" uri="{C3380CC4-5D6E-409C-BE32-E72D297353CC}">
              <c16:uniqueId val="{00000000-71D1-4208-83C9-0D5BC6976E2A}"/>
            </c:ext>
          </c:extLst>
        </c:ser>
        <c:dLbls>
          <c:showLegendKey val="0"/>
          <c:showVal val="0"/>
          <c:showCatName val="0"/>
          <c:showSerName val="0"/>
          <c:showPercent val="0"/>
          <c:showBubbleSize val="0"/>
        </c:dLbls>
        <c:axId val="850399920"/>
        <c:axId val="680319200"/>
      </c:areaChart>
      <c:catAx>
        <c:axId val="8503999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319200"/>
        <c:crosses val="autoZero"/>
        <c:auto val="1"/>
        <c:lblAlgn val="ctr"/>
        <c:lblOffset val="100"/>
        <c:tickLblSkip val="1"/>
        <c:noMultiLvlLbl val="0"/>
      </c:catAx>
      <c:valAx>
        <c:axId val="680319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0399920"/>
        <c:crosses val="autoZero"/>
        <c:crossBetween val="midCat"/>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2 Revenue'!$N$8</c:f>
              <c:strCache>
                <c:ptCount val="1"/>
                <c:pt idx="0">
                  <c:v>2020</c:v>
                </c:pt>
              </c:strCache>
            </c:strRef>
          </c:tx>
          <c:spPr>
            <a:solidFill>
              <a:schemeClr val="accent1"/>
            </a:solidFill>
            <a:ln>
              <a:noFill/>
            </a:ln>
            <a:effectLst/>
          </c:spPr>
          <c:invertIfNegative val="0"/>
          <c:cat>
            <c:strRef>
              <c:f>'Figure 2 Revenue'!$K$9:$K$17</c:f>
              <c:strCache>
                <c:ptCount val="9"/>
                <c:pt idx="0">
                  <c:v>Upfront Student Contributions</c:v>
                </c:pt>
                <c:pt idx="1">
                  <c:v>State and Local Government Financial Assistance</c:v>
                </c:pt>
                <c:pt idx="2">
                  <c:v>Investment Revenue</c:v>
                </c:pt>
                <c:pt idx="3">
                  <c:v>Consultancy and Contracts</c:v>
                </c:pt>
                <c:pt idx="4">
                  <c:v>Other Fees and Charges</c:v>
                </c:pt>
                <c:pt idx="5">
                  <c:v>Other Income *</c:v>
                </c:pt>
                <c:pt idx="6">
                  <c:v>HELP Payments</c:v>
                </c:pt>
                <c:pt idx="7">
                  <c:v>International Student Fees</c:v>
                </c:pt>
                <c:pt idx="8">
                  <c:v>Australian Government Grants</c:v>
                </c:pt>
              </c:strCache>
            </c:strRef>
          </c:cat>
          <c:val>
            <c:numRef>
              <c:f>'Figure 2 Revenue'!$N$9:$N$17</c:f>
              <c:numCache>
                <c:formatCode>_(* #,##0_);_(* \(#,##0\);_(* "-"??_);_(@_)</c:formatCode>
                <c:ptCount val="9"/>
                <c:pt idx="0">
                  <c:v>455532000</c:v>
                </c:pt>
                <c:pt idx="1">
                  <c:v>763738000</c:v>
                </c:pt>
                <c:pt idx="2">
                  <c:v>927414000</c:v>
                </c:pt>
                <c:pt idx="3">
                  <c:v>1628787000</c:v>
                </c:pt>
                <c:pt idx="4">
                  <c:v>1454207000</c:v>
                </c:pt>
                <c:pt idx="5">
                  <c:v>2012149000</c:v>
                </c:pt>
                <c:pt idx="6">
                  <c:v>6063971000</c:v>
                </c:pt>
                <c:pt idx="7">
                  <c:v>9222983000</c:v>
                </c:pt>
                <c:pt idx="8">
                  <c:v>12122312000</c:v>
                </c:pt>
              </c:numCache>
            </c:numRef>
          </c:val>
          <c:extLst>
            <c:ext xmlns:c16="http://schemas.microsoft.com/office/drawing/2014/chart" uri="{C3380CC4-5D6E-409C-BE32-E72D297353CC}">
              <c16:uniqueId val="{00000000-51EC-497E-9F95-D0441C933D3D}"/>
            </c:ext>
          </c:extLst>
        </c:ser>
        <c:ser>
          <c:idx val="1"/>
          <c:order val="1"/>
          <c:tx>
            <c:strRef>
              <c:f>'Figure 2 Revenue'!$O$8</c:f>
              <c:strCache>
                <c:ptCount val="1"/>
                <c:pt idx="0">
                  <c:v>2019</c:v>
                </c:pt>
              </c:strCache>
            </c:strRef>
          </c:tx>
          <c:spPr>
            <a:solidFill>
              <a:schemeClr val="bg2"/>
            </a:solidFill>
            <a:ln>
              <a:noFill/>
            </a:ln>
            <a:effectLst/>
          </c:spPr>
          <c:invertIfNegative val="0"/>
          <c:cat>
            <c:strRef>
              <c:f>'Figure 2 Revenue'!$K$9:$K$17</c:f>
              <c:strCache>
                <c:ptCount val="9"/>
                <c:pt idx="0">
                  <c:v>Upfront Student Contributions</c:v>
                </c:pt>
                <c:pt idx="1">
                  <c:v>State and Local Government Financial Assistance</c:v>
                </c:pt>
                <c:pt idx="2">
                  <c:v>Investment Revenue</c:v>
                </c:pt>
                <c:pt idx="3">
                  <c:v>Consultancy and Contracts</c:v>
                </c:pt>
                <c:pt idx="4">
                  <c:v>Other Fees and Charges</c:v>
                </c:pt>
                <c:pt idx="5">
                  <c:v>Other Income *</c:v>
                </c:pt>
                <c:pt idx="6">
                  <c:v>HELP Payments</c:v>
                </c:pt>
                <c:pt idx="7">
                  <c:v>International Student Fees</c:v>
                </c:pt>
                <c:pt idx="8">
                  <c:v>Australian Government Grants</c:v>
                </c:pt>
              </c:strCache>
            </c:strRef>
          </c:cat>
          <c:val>
            <c:numRef>
              <c:f>'Figure 2 Revenue'!$O$9:$O$17</c:f>
              <c:numCache>
                <c:formatCode>_(* #,##0_);_(* \(#,##0\);_(* "-"??_);_(@_)</c:formatCode>
                <c:ptCount val="9"/>
                <c:pt idx="0">
                  <c:v>459066000</c:v>
                </c:pt>
                <c:pt idx="1">
                  <c:v>725351000</c:v>
                </c:pt>
                <c:pt idx="2">
                  <c:v>2191312000</c:v>
                </c:pt>
                <c:pt idx="3">
                  <c:v>1567755000</c:v>
                </c:pt>
                <c:pt idx="4">
                  <c:v>1814300000</c:v>
                </c:pt>
                <c:pt idx="5">
                  <c:v>2000053000</c:v>
                </c:pt>
                <c:pt idx="6">
                  <c:v>5806178000</c:v>
                </c:pt>
                <c:pt idx="7">
                  <c:v>9978794000</c:v>
                </c:pt>
                <c:pt idx="8">
                  <c:v>11976440000</c:v>
                </c:pt>
              </c:numCache>
            </c:numRef>
          </c:val>
          <c:extLst>
            <c:ext xmlns:c16="http://schemas.microsoft.com/office/drawing/2014/chart" uri="{C3380CC4-5D6E-409C-BE32-E72D297353CC}">
              <c16:uniqueId val="{00000001-51EC-497E-9F95-D0441C933D3D}"/>
            </c:ext>
          </c:extLst>
        </c:ser>
        <c:dLbls>
          <c:showLegendKey val="0"/>
          <c:showVal val="0"/>
          <c:showCatName val="0"/>
          <c:showSerName val="0"/>
          <c:showPercent val="0"/>
          <c:showBubbleSize val="0"/>
        </c:dLbls>
        <c:gapWidth val="182"/>
        <c:axId val="692692576"/>
        <c:axId val="692693232"/>
      </c:barChart>
      <c:catAx>
        <c:axId val="692692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93232"/>
        <c:crossesAt val="0"/>
        <c:auto val="1"/>
        <c:lblAlgn val="ctr"/>
        <c:lblOffset val="100"/>
        <c:noMultiLvlLbl val="0"/>
      </c:catAx>
      <c:valAx>
        <c:axId val="692693232"/>
        <c:scaling>
          <c:orientation val="minMax"/>
        </c:scaling>
        <c:delete val="0"/>
        <c:axPos val="b"/>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92576"/>
        <c:crosses val="autoZero"/>
        <c:crossBetween val="between"/>
        <c:dispUnits>
          <c:builtInUnit val="billions"/>
          <c:dispUnitsLbl>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9973238639288"/>
          <c:y val="3.2682079123671187E-2"/>
          <c:w val="0.85506149966548284"/>
          <c:h val="0.76723372229073772"/>
        </c:manualLayout>
      </c:layout>
      <c:areaChart>
        <c:grouping val="stacked"/>
        <c:varyColors val="0"/>
        <c:ser>
          <c:idx val="0"/>
          <c:order val="0"/>
          <c:tx>
            <c:strRef>
              <c:f>'Revenue &amp; Expenses over time'!$B$9</c:f>
              <c:strCache>
                <c:ptCount val="1"/>
                <c:pt idx="0">
                  <c:v>Australian Government Grants</c:v>
                </c:pt>
              </c:strCache>
            </c:strRef>
          </c:tx>
          <c:spPr>
            <a:solidFill>
              <a:schemeClr val="accent1"/>
            </a:solidFill>
            <a:ln>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time'!$C$9:$H$9</c:f>
              <c:numCache>
                <c:formatCode>#,##0_);[Red]\(#,##0\)</c:formatCode>
                <c:ptCount val="6"/>
                <c:pt idx="0">
                  <c:v>12122312</c:v>
                </c:pt>
                <c:pt idx="1">
                  <c:v>11976440</c:v>
                </c:pt>
                <c:pt idx="2">
                  <c:v>11985759</c:v>
                </c:pt>
                <c:pt idx="3">
                  <c:v>11679178</c:v>
                </c:pt>
                <c:pt idx="4">
                  <c:v>11639037</c:v>
                </c:pt>
                <c:pt idx="5">
                  <c:v>11307774</c:v>
                </c:pt>
              </c:numCache>
            </c:numRef>
          </c:val>
          <c:extLst>
            <c:ext xmlns:c16="http://schemas.microsoft.com/office/drawing/2014/chart" uri="{C3380CC4-5D6E-409C-BE32-E72D297353CC}">
              <c16:uniqueId val="{00000000-4D29-444E-A23B-F19C4FCBE3C6}"/>
            </c:ext>
          </c:extLst>
        </c:ser>
        <c:ser>
          <c:idx val="12"/>
          <c:order val="1"/>
          <c:tx>
            <c:strRef>
              <c:f>'Revenue &amp; Expenses over time'!$B$10</c:f>
              <c:strCache>
                <c:ptCount val="1"/>
                <c:pt idx="0">
                  <c:v>HELP Payments</c:v>
                </c:pt>
              </c:strCache>
            </c:strRef>
          </c:tx>
          <c:spPr>
            <a:solidFill>
              <a:schemeClr val="tx2">
                <a:lumMod val="60000"/>
                <a:lumOff val="40000"/>
              </a:schemeClr>
            </a:solidFill>
            <a:ln w="25400">
              <a:noFill/>
            </a:ln>
            <a:effectLst/>
          </c:spPr>
          <c:val>
            <c:numRef>
              <c:f>'Revenue &amp; Expenses over time'!$C$10:$H$10</c:f>
              <c:numCache>
                <c:formatCode>#,##0_);[Red]\(#,##0\)</c:formatCode>
                <c:ptCount val="6"/>
                <c:pt idx="0">
                  <c:v>6063971</c:v>
                </c:pt>
                <c:pt idx="1">
                  <c:v>5806178</c:v>
                </c:pt>
                <c:pt idx="2">
                  <c:v>5633166</c:v>
                </c:pt>
                <c:pt idx="3">
                  <c:v>5472474</c:v>
                </c:pt>
                <c:pt idx="4">
                  <c:v>5287106</c:v>
                </c:pt>
                <c:pt idx="5">
                  <c:v>5098590</c:v>
                </c:pt>
              </c:numCache>
            </c:numRef>
          </c:val>
          <c:extLst>
            <c:ext xmlns:c16="http://schemas.microsoft.com/office/drawing/2014/chart" uri="{C3380CC4-5D6E-409C-BE32-E72D297353CC}">
              <c16:uniqueId val="{00000001-4D29-444E-A23B-F19C4FCBE3C6}"/>
            </c:ext>
          </c:extLst>
        </c:ser>
        <c:ser>
          <c:idx val="1"/>
          <c:order val="2"/>
          <c:tx>
            <c:strRef>
              <c:f>'Revenue &amp; Expenses over time'!$B$11</c:f>
              <c:strCache>
                <c:ptCount val="1"/>
                <c:pt idx="0">
                  <c:v>International Student Fees</c:v>
                </c:pt>
              </c:strCache>
            </c:strRef>
          </c:tx>
          <c:spPr>
            <a:solidFill>
              <a:schemeClr val="bg2"/>
            </a:solidFill>
            <a:ln>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time'!$C$11:$H$11</c:f>
              <c:numCache>
                <c:formatCode>#,##0_);[Red]\(#,##0\)</c:formatCode>
                <c:ptCount val="6"/>
                <c:pt idx="0">
                  <c:v>9222983</c:v>
                </c:pt>
                <c:pt idx="1">
                  <c:v>9978794</c:v>
                </c:pt>
                <c:pt idx="2">
                  <c:v>8838891</c:v>
                </c:pt>
                <c:pt idx="3">
                  <c:v>7457002</c:v>
                </c:pt>
                <c:pt idx="4">
                  <c:v>6249049</c:v>
                </c:pt>
                <c:pt idx="5">
                  <c:v>5349879</c:v>
                </c:pt>
              </c:numCache>
            </c:numRef>
          </c:val>
          <c:extLst>
            <c:ext xmlns:c16="http://schemas.microsoft.com/office/drawing/2014/chart" uri="{C3380CC4-5D6E-409C-BE32-E72D297353CC}">
              <c16:uniqueId val="{00000002-4D29-444E-A23B-F19C4FCBE3C6}"/>
            </c:ext>
          </c:extLst>
        </c:ser>
        <c:ser>
          <c:idx val="2"/>
          <c:order val="3"/>
          <c:tx>
            <c:strRef>
              <c:f>'Revenue &amp; Expenses over time'!$B$12</c:f>
              <c:strCache>
                <c:ptCount val="1"/>
                <c:pt idx="0">
                  <c:v>Investment Income</c:v>
                </c:pt>
              </c:strCache>
            </c:strRef>
          </c:tx>
          <c:spPr>
            <a:solidFill>
              <a:schemeClr val="accent4">
                <a:lumMod val="60000"/>
                <a:lumOff val="40000"/>
              </a:schemeClr>
            </a:solidFill>
            <a:ln>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time'!$C$12:$H$12</c:f>
              <c:numCache>
                <c:formatCode>#,##0_);[Red]\(#,##0\)</c:formatCode>
                <c:ptCount val="6"/>
                <c:pt idx="0">
                  <c:v>927414</c:v>
                </c:pt>
                <c:pt idx="1">
                  <c:v>2191312</c:v>
                </c:pt>
                <c:pt idx="2">
                  <c:v>731221</c:v>
                </c:pt>
                <c:pt idx="3">
                  <c:v>1233927</c:v>
                </c:pt>
                <c:pt idx="4">
                  <c:v>964876</c:v>
                </c:pt>
                <c:pt idx="5">
                  <c:v>919578</c:v>
                </c:pt>
              </c:numCache>
            </c:numRef>
          </c:val>
          <c:extLst>
            <c:ext xmlns:c16="http://schemas.microsoft.com/office/drawing/2014/chart" uri="{C3380CC4-5D6E-409C-BE32-E72D297353CC}">
              <c16:uniqueId val="{00000003-4D29-444E-A23B-F19C4FCBE3C6}"/>
            </c:ext>
          </c:extLst>
        </c:ser>
        <c:ser>
          <c:idx val="3"/>
          <c:order val="4"/>
          <c:tx>
            <c:strRef>
              <c:f>'Revenue &amp; Expenses over time'!$B$13</c:f>
              <c:strCache>
                <c:ptCount val="1"/>
                <c:pt idx="0">
                  <c:v>Consultancy and Contracts</c:v>
                </c:pt>
              </c:strCache>
            </c:strRef>
          </c:tx>
          <c:spPr>
            <a:solidFill>
              <a:schemeClr val="accent4"/>
            </a:solidFill>
            <a:ln>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time'!$C$13:$H$13</c:f>
              <c:numCache>
                <c:formatCode>#,##0_);[Red]\(#,##0\)</c:formatCode>
                <c:ptCount val="6"/>
                <c:pt idx="0">
                  <c:v>1628787</c:v>
                </c:pt>
                <c:pt idx="1">
                  <c:v>1567755</c:v>
                </c:pt>
                <c:pt idx="2">
                  <c:v>1481776</c:v>
                </c:pt>
                <c:pt idx="3">
                  <c:v>1320398</c:v>
                </c:pt>
                <c:pt idx="4">
                  <c:v>1196689</c:v>
                </c:pt>
                <c:pt idx="5">
                  <c:v>1204343</c:v>
                </c:pt>
              </c:numCache>
            </c:numRef>
          </c:val>
          <c:extLst>
            <c:ext xmlns:c16="http://schemas.microsoft.com/office/drawing/2014/chart" uri="{C3380CC4-5D6E-409C-BE32-E72D297353CC}">
              <c16:uniqueId val="{00000004-4D29-444E-A23B-F19C4FCBE3C6}"/>
            </c:ext>
          </c:extLst>
        </c:ser>
        <c:ser>
          <c:idx val="4"/>
          <c:order val="5"/>
          <c:spPr>
            <a:solidFill>
              <a:schemeClr val="accent5"/>
            </a:solidFill>
            <a:ln>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time'!$C$14:$H$14</c:f>
            </c:numRef>
          </c:val>
          <c:extLst>
            <c:ext xmlns:c16="http://schemas.microsoft.com/office/drawing/2014/chart" uri="{C3380CC4-5D6E-409C-BE32-E72D297353CC}">
              <c16:uniqueId val="{00000005-4D29-444E-A23B-F19C4FCBE3C6}"/>
            </c:ext>
          </c:extLst>
        </c:ser>
        <c:ser>
          <c:idx val="5"/>
          <c:order val="6"/>
          <c:spPr>
            <a:solidFill>
              <a:schemeClr val="accent6"/>
            </a:solidFill>
            <a:ln>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time'!$C$15:$H$15</c:f>
            </c:numRef>
          </c:val>
          <c:extLst>
            <c:ext xmlns:c16="http://schemas.microsoft.com/office/drawing/2014/chart" uri="{C3380CC4-5D6E-409C-BE32-E72D297353CC}">
              <c16:uniqueId val="{00000006-4D29-444E-A23B-F19C4FCBE3C6}"/>
            </c:ext>
          </c:extLst>
        </c:ser>
        <c:ser>
          <c:idx val="6"/>
          <c:order val="7"/>
          <c:spPr>
            <a:solidFill>
              <a:schemeClr val="accent1">
                <a:lumMod val="60000"/>
              </a:schemeClr>
            </a:solidFill>
            <a:ln w="25400">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time'!$C$16:$H$16</c:f>
            </c:numRef>
          </c:val>
          <c:extLst>
            <c:ext xmlns:c16="http://schemas.microsoft.com/office/drawing/2014/chart" uri="{C3380CC4-5D6E-409C-BE32-E72D297353CC}">
              <c16:uniqueId val="{00000007-4D29-444E-A23B-F19C4FCBE3C6}"/>
            </c:ext>
          </c:extLst>
        </c:ser>
        <c:ser>
          <c:idx val="7"/>
          <c:order val="8"/>
          <c:spPr>
            <a:solidFill>
              <a:schemeClr val="accent2">
                <a:lumMod val="60000"/>
              </a:schemeClr>
            </a:solidFill>
            <a:ln w="25400">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time'!$C$17:$H$17</c:f>
            </c:numRef>
          </c:val>
          <c:extLst>
            <c:ext xmlns:c16="http://schemas.microsoft.com/office/drawing/2014/chart" uri="{C3380CC4-5D6E-409C-BE32-E72D297353CC}">
              <c16:uniqueId val="{00000008-4D29-444E-A23B-F19C4FCBE3C6}"/>
            </c:ext>
          </c:extLst>
        </c:ser>
        <c:ser>
          <c:idx val="8"/>
          <c:order val="9"/>
          <c:spPr>
            <a:solidFill>
              <a:schemeClr val="accent3">
                <a:lumMod val="60000"/>
              </a:schemeClr>
            </a:solidFill>
            <a:ln w="25400">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time'!$C$18:$H$18</c:f>
            </c:numRef>
          </c:val>
          <c:extLst>
            <c:ext xmlns:c16="http://schemas.microsoft.com/office/drawing/2014/chart" uri="{C3380CC4-5D6E-409C-BE32-E72D297353CC}">
              <c16:uniqueId val="{00000009-4D29-444E-A23B-F19C4FCBE3C6}"/>
            </c:ext>
          </c:extLst>
        </c:ser>
        <c:ser>
          <c:idx val="9"/>
          <c:order val="10"/>
          <c:spPr>
            <a:solidFill>
              <a:schemeClr val="accent4">
                <a:lumMod val="60000"/>
              </a:schemeClr>
            </a:solidFill>
            <a:ln w="25400">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time'!$C$19:$H$19</c:f>
            </c:numRef>
          </c:val>
          <c:extLst>
            <c:ext xmlns:c16="http://schemas.microsoft.com/office/drawing/2014/chart" uri="{C3380CC4-5D6E-409C-BE32-E72D297353CC}">
              <c16:uniqueId val="{0000000A-4D29-444E-A23B-F19C4FCBE3C6}"/>
            </c:ext>
          </c:extLst>
        </c:ser>
        <c:ser>
          <c:idx val="10"/>
          <c:order val="11"/>
          <c:spPr>
            <a:solidFill>
              <a:schemeClr val="accent5">
                <a:lumMod val="60000"/>
              </a:schemeClr>
            </a:solidFill>
            <a:ln w="25400">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time'!$C$20:$H$20</c:f>
            </c:numRef>
          </c:val>
          <c:extLst>
            <c:ext xmlns:c16="http://schemas.microsoft.com/office/drawing/2014/chart" uri="{C3380CC4-5D6E-409C-BE32-E72D297353CC}">
              <c16:uniqueId val="{0000000B-4D29-444E-A23B-F19C4FCBE3C6}"/>
            </c:ext>
          </c:extLst>
        </c:ser>
        <c:ser>
          <c:idx val="11"/>
          <c:order val="12"/>
          <c:tx>
            <c:strRef>
              <c:f>'Revenue &amp; Expenses over time'!$B$21</c:f>
              <c:strCache>
                <c:ptCount val="1"/>
                <c:pt idx="0">
                  <c:v>Other Revenue</c:v>
                </c:pt>
              </c:strCache>
            </c:strRef>
          </c:tx>
          <c:spPr>
            <a:solidFill>
              <a:schemeClr val="accent2">
                <a:lumMod val="60000"/>
                <a:lumOff val="40000"/>
              </a:schemeClr>
            </a:solidFill>
            <a:ln w="25400">
              <a:noFill/>
            </a:ln>
            <a:effectLst/>
          </c:spPr>
          <c:cat>
            <c:numRef>
              <c:f>'Revenue &amp; Expenses over time'!$C$8:$H$8</c:f>
              <c:numCache>
                <c:formatCode>General</c:formatCode>
                <c:ptCount val="6"/>
                <c:pt idx="0">
                  <c:v>2020</c:v>
                </c:pt>
                <c:pt idx="1">
                  <c:v>2019</c:v>
                </c:pt>
                <c:pt idx="2">
                  <c:v>2018</c:v>
                </c:pt>
                <c:pt idx="3">
                  <c:v>2017</c:v>
                </c:pt>
                <c:pt idx="4">
                  <c:v>2016</c:v>
                </c:pt>
                <c:pt idx="5">
                  <c:v>2015</c:v>
                </c:pt>
              </c:numCache>
            </c:numRef>
          </c:cat>
          <c:val>
            <c:numRef>
              <c:f>'Revenue &amp; Expenses over time'!$C$21:$H$21</c:f>
              <c:numCache>
                <c:formatCode>#,##0_);[Red]\(#,##0\)</c:formatCode>
                <c:ptCount val="6"/>
                <c:pt idx="0">
                  <c:v>4685626</c:v>
                </c:pt>
                <c:pt idx="1">
                  <c:v>4998770</c:v>
                </c:pt>
                <c:pt idx="2">
                  <c:v>5071097</c:v>
                </c:pt>
                <c:pt idx="3">
                  <c:v>4865112</c:v>
                </c:pt>
                <c:pt idx="4">
                  <c:v>4810322</c:v>
                </c:pt>
                <c:pt idx="5">
                  <c:v>4729815</c:v>
                </c:pt>
              </c:numCache>
            </c:numRef>
          </c:val>
          <c:extLst>
            <c:ext xmlns:c16="http://schemas.microsoft.com/office/drawing/2014/chart" uri="{C3380CC4-5D6E-409C-BE32-E72D297353CC}">
              <c16:uniqueId val="{0000000C-4D29-444E-A23B-F19C4FCBE3C6}"/>
            </c:ext>
          </c:extLst>
        </c:ser>
        <c:dLbls>
          <c:showLegendKey val="0"/>
          <c:showVal val="0"/>
          <c:showCatName val="0"/>
          <c:showSerName val="0"/>
          <c:showPercent val="0"/>
          <c:showBubbleSize val="0"/>
        </c:dLbls>
        <c:axId val="1459424768"/>
        <c:axId val="342343520"/>
      </c:areaChart>
      <c:catAx>
        <c:axId val="1459424768"/>
        <c:scaling>
          <c:orientation val="maxMin"/>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343520"/>
        <c:crosses val="autoZero"/>
        <c:auto val="1"/>
        <c:lblAlgn val="ctr"/>
        <c:lblOffset val="100"/>
        <c:noMultiLvlLbl val="0"/>
      </c:catAx>
      <c:valAx>
        <c:axId val="342343520"/>
        <c:scaling>
          <c:orientation val="minMax"/>
          <c:max val="37000000"/>
          <c:min val="0"/>
        </c:scaling>
        <c:delete val="0"/>
        <c:axPos val="r"/>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424768"/>
        <c:crosses val="autoZero"/>
        <c:crossBetween val="midCat"/>
        <c:dispUnits>
          <c:builtInUnit val="millions"/>
          <c:dispUnitsLbl>
            <c:layout>
              <c:manualLayout>
                <c:xMode val="edge"/>
                <c:yMode val="edge"/>
                <c:x val="1.3874907793388569E-2"/>
                <c:y val="0.41794963985666173"/>
              </c:manualLayout>
            </c:layout>
            <c:tx>
              <c:rich>
                <a:bodyPr rot="-5400000" spcFirstLastPara="1" vertOverflow="ellipsis" vert="horz" wrap="square" anchor="t" anchorCtr="1"/>
                <a:lstStyle/>
                <a:p>
                  <a:pPr>
                    <a:defRPr sz="1000" b="0" i="0" u="none" strike="noStrike" kern="1200" baseline="0">
                      <a:solidFill>
                        <a:schemeClr val="tx1">
                          <a:lumMod val="65000"/>
                          <a:lumOff val="35000"/>
                        </a:schemeClr>
                      </a:solidFill>
                      <a:latin typeface="+mn-lt"/>
                      <a:ea typeface="+mn-ea"/>
                      <a:cs typeface="+mn-cs"/>
                    </a:defRPr>
                  </a:pPr>
                  <a:r>
                    <a:rPr lang="en-US"/>
                    <a:t>Billions</a:t>
                  </a:r>
                </a:p>
              </c:rich>
            </c:tx>
            <c:spPr>
              <a:noFill/>
              <a:ln>
                <a:noFill/>
              </a:ln>
              <a:effectLst/>
            </c:spPr>
            <c:txPr>
              <a:bodyPr rot="-5400000" spcFirstLastPara="1" vertOverflow="ellipsis" vert="horz" wrap="square" anchor="t"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ayout>
        <c:manualLayout>
          <c:xMode val="edge"/>
          <c:yMode val="edge"/>
          <c:x val="0.19815033268442922"/>
          <c:y val="0.84976955862168602"/>
          <c:w val="0.59877928543064962"/>
          <c:h val="0.15023044137831396"/>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3 Expenses'!$L$33</c:f>
              <c:strCache>
                <c:ptCount val="1"/>
                <c:pt idx="0">
                  <c:v>2020</c:v>
                </c:pt>
              </c:strCache>
            </c:strRef>
          </c:tx>
          <c:spPr>
            <a:solidFill>
              <a:schemeClr val="accent1"/>
            </a:solidFill>
            <a:ln>
              <a:noFill/>
            </a:ln>
            <a:effectLst/>
          </c:spPr>
          <c:invertIfNegative val="0"/>
          <c:cat>
            <c:strRef>
              <c:f>'Figure 3 Expenses'!$K$34:$K$38</c:f>
              <c:strCache>
                <c:ptCount val="5"/>
                <c:pt idx="0">
                  <c:v>Repairs and Maintenance</c:v>
                </c:pt>
                <c:pt idx="1">
                  <c:v>Payroll Tax</c:v>
                </c:pt>
                <c:pt idx="2">
                  <c:v>Depreciation and Amortisation</c:v>
                </c:pt>
                <c:pt idx="3">
                  <c:v>Other Expenses **</c:v>
                </c:pt>
                <c:pt idx="4">
                  <c:v>Total Employee Benefits</c:v>
                </c:pt>
              </c:strCache>
            </c:strRef>
          </c:cat>
          <c:val>
            <c:numRef>
              <c:f>'Figure 3 Expenses'!$L$34:$L$38</c:f>
              <c:numCache>
                <c:formatCode>_(* #,##0_);_(* \(#,##0\);_(* "-"??_);_(@_)</c:formatCode>
                <c:ptCount val="5"/>
                <c:pt idx="0">
                  <c:v>778849000</c:v>
                </c:pt>
                <c:pt idx="1">
                  <c:v>923873000</c:v>
                </c:pt>
                <c:pt idx="2">
                  <c:v>2696808000</c:v>
                </c:pt>
                <c:pt idx="3">
                  <c:v>10355588000</c:v>
                </c:pt>
                <c:pt idx="4">
                  <c:v>19224282000</c:v>
                </c:pt>
              </c:numCache>
            </c:numRef>
          </c:val>
          <c:extLst>
            <c:ext xmlns:c16="http://schemas.microsoft.com/office/drawing/2014/chart" uri="{C3380CC4-5D6E-409C-BE32-E72D297353CC}">
              <c16:uniqueId val="{00000000-D6CA-4A9E-AE3F-A921065E5CFD}"/>
            </c:ext>
          </c:extLst>
        </c:ser>
        <c:ser>
          <c:idx val="1"/>
          <c:order val="1"/>
          <c:tx>
            <c:strRef>
              <c:f>'Figure 3 Expenses'!$M$33</c:f>
              <c:strCache>
                <c:ptCount val="1"/>
                <c:pt idx="0">
                  <c:v>2019</c:v>
                </c:pt>
              </c:strCache>
            </c:strRef>
          </c:tx>
          <c:spPr>
            <a:solidFill>
              <a:schemeClr val="accent3"/>
            </a:solidFill>
            <a:ln>
              <a:noFill/>
            </a:ln>
            <a:effectLst/>
          </c:spPr>
          <c:invertIfNegative val="0"/>
          <c:cat>
            <c:strRef>
              <c:f>'Figure 3 Expenses'!$K$34:$K$38</c:f>
              <c:strCache>
                <c:ptCount val="5"/>
                <c:pt idx="0">
                  <c:v>Repairs and Maintenance</c:v>
                </c:pt>
                <c:pt idx="1">
                  <c:v>Payroll Tax</c:v>
                </c:pt>
                <c:pt idx="2">
                  <c:v>Depreciation and Amortisation</c:v>
                </c:pt>
                <c:pt idx="3">
                  <c:v>Other Expenses **</c:v>
                </c:pt>
                <c:pt idx="4">
                  <c:v>Total Employee Benefits</c:v>
                </c:pt>
              </c:strCache>
            </c:strRef>
          </c:cat>
          <c:val>
            <c:numRef>
              <c:f>'Figure 3 Expenses'!$M$34:$M$38</c:f>
              <c:numCache>
                <c:formatCode>_(* #,##0_);_(* \(#,##0\);_(* "-"??_);_(@_)</c:formatCode>
                <c:ptCount val="5"/>
                <c:pt idx="0">
                  <c:v>820986000</c:v>
                </c:pt>
                <c:pt idx="1">
                  <c:v>922654000</c:v>
                </c:pt>
                <c:pt idx="2">
                  <c:v>2655470000</c:v>
                </c:pt>
                <c:pt idx="3">
                  <c:v>11598842000</c:v>
                </c:pt>
                <c:pt idx="4">
                  <c:v>18236525000</c:v>
                </c:pt>
              </c:numCache>
            </c:numRef>
          </c:val>
          <c:extLst>
            <c:ext xmlns:c16="http://schemas.microsoft.com/office/drawing/2014/chart" uri="{C3380CC4-5D6E-409C-BE32-E72D297353CC}">
              <c16:uniqueId val="{00000001-D6CA-4A9E-AE3F-A921065E5CFD}"/>
            </c:ext>
          </c:extLst>
        </c:ser>
        <c:dLbls>
          <c:showLegendKey val="0"/>
          <c:showVal val="0"/>
          <c:showCatName val="0"/>
          <c:showSerName val="0"/>
          <c:showPercent val="0"/>
          <c:showBubbleSize val="0"/>
        </c:dLbls>
        <c:gapWidth val="182"/>
        <c:axId val="547822680"/>
        <c:axId val="547824648"/>
      </c:barChart>
      <c:catAx>
        <c:axId val="547822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824648"/>
        <c:crosses val="autoZero"/>
        <c:auto val="1"/>
        <c:lblAlgn val="ctr"/>
        <c:lblOffset val="100"/>
        <c:noMultiLvlLbl val="0"/>
      </c:catAx>
      <c:valAx>
        <c:axId val="547824648"/>
        <c:scaling>
          <c:orientation val="minMax"/>
          <c:max val="20000000000"/>
        </c:scaling>
        <c:delete val="0"/>
        <c:axPos val="b"/>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822680"/>
        <c:crosses val="autoZero"/>
        <c:crossBetween val="between"/>
        <c:dispUnits>
          <c:builtInUnit val="billions"/>
          <c:dispUnitsLbl>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154758118886187E-2"/>
          <c:y val="6.8125859811893313E-2"/>
          <c:w val="0.86927658275348862"/>
          <c:h val="0.77796591932002657"/>
        </c:manualLayout>
      </c:layout>
      <c:areaChart>
        <c:grouping val="stacked"/>
        <c:varyColors val="0"/>
        <c:ser>
          <c:idx val="0"/>
          <c:order val="0"/>
          <c:tx>
            <c:strRef>
              <c:f>'Revenue &amp; Expenses over time'!$B$25</c:f>
              <c:strCache>
                <c:ptCount val="1"/>
                <c:pt idx="0">
                  <c:v>Employee Related Expenses and On-Costs</c:v>
                </c:pt>
              </c:strCache>
            </c:strRef>
          </c:tx>
          <c:spPr>
            <a:solidFill>
              <a:schemeClr val="accent1"/>
            </a:solidFill>
            <a:ln>
              <a:noFill/>
            </a:ln>
            <a:effectLst/>
          </c:spPr>
          <c:cat>
            <c:numRef>
              <c:f>'Revenue &amp; Expenses over time'!$C$24:$H$24</c:f>
              <c:numCache>
                <c:formatCode>General</c:formatCode>
                <c:ptCount val="6"/>
                <c:pt idx="0">
                  <c:v>2020</c:v>
                </c:pt>
                <c:pt idx="1">
                  <c:v>2019</c:v>
                </c:pt>
                <c:pt idx="2">
                  <c:v>2018</c:v>
                </c:pt>
                <c:pt idx="3">
                  <c:v>2017</c:v>
                </c:pt>
                <c:pt idx="4">
                  <c:v>2016</c:v>
                </c:pt>
                <c:pt idx="5">
                  <c:v>2015</c:v>
                </c:pt>
              </c:numCache>
            </c:numRef>
          </c:cat>
          <c:val>
            <c:numRef>
              <c:f>'Revenue &amp; Expenses over time'!$C$25:$H$25</c:f>
              <c:numCache>
                <c:formatCode>#,##0_);[Red]\(#,##0\)</c:formatCode>
                <c:ptCount val="6"/>
                <c:pt idx="0">
                  <c:v>20148155</c:v>
                </c:pt>
                <c:pt idx="1">
                  <c:v>19159179</c:v>
                </c:pt>
                <c:pt idx="2">
                  <c:v>18096813</c:v>
                </c:pt>
                <c:pt idx="3">
                  <c:v>17141243</c:v>
                </c:pt>
                <c:pt idx="4">
                  <c:v>16305404</c:v>
                </c:pt>
                <c:pt idx="5">
                  <c:v>15443278</c:v>
                </c:pt>
              </c:numCache>
            </c:numRef>
          </c:val>
          <c:extLst>
            <c:ext xmlns:c16="http://schemas.microsoft.com/office/drawing/2014/chart" uri="{C3380CC4-5D6E-409C-BE32-E72D297353CC}">
              <c16:uniqueId val="{00000000-BFC2-431A-AE5C-9B933F50D827}"/>
            </c:ext>
          </c:extLst>
        </c:ser>
        <c:ser>
          <c:idx val="1"/>
          <c:order val="1"/>
          <c:tx>
            <c:strRef>
              <c:f>'Revenue &amp; Expenses over time'!$B$26</c:f>
              <c:strCache>
                <c:ptCount val="1"/>
                <c:pt idx="0">
                  <c:v>Depreciation and Amortisation</c:v>
                </c:pt>
              </c:strCache>
            </c:strRef>
          </c:tx>
          <c:spPr>
            <a:solidFill>
              <a:schemeClr val="accent2"/>
            </a:solidFill>
            <a:ln>
              <a:noFill/>
            </a:ln>
            <a:effectLst/>
          </c:spPr>
          <c:cat>
            <c:numRef>
              <c:f>'Revenue &amp; Expenses over time'!$C$24:$H$24</c:f>
              <c:numCache>
                <c:formatCode>General</c:formatCode>
                <c:ptCount val="6"/>
                <c:pt idx="0">
                  <c:v>2020</c:v>
                </c:pt>
                <c:pt idx="1">
                  <c:v>2019</c:v>
                </c:pt>
                <c:pt idx="2">
                  <c:v>2018</c:v>
                </c:pt>
                <c:pt idx="3">
                  <c:v>2017</c:v>
                </c:pt>
                <c:pt idx="4">
                  <c:v>2016</c:v>
                </c:pt>
                <c:pt idx="5">
                  <c:v>2015</c:v>
                </c:pt>
              </c:numCache>
            </c:numRef>
          </c:cat>
          <c:val>
            <c:numRef>
              <c:f>'Revenue &amp; Expenses over time'!$C$26:$H$26</c:f>
              <c:numCache>
                <c:formatCode>#,##0_);[Red]\(#,##0\)</c:formatCode>
                <c:ptCount val="6"/>
                <c:pt idx="0">
                  <c:v>2696808</c:v>
                </c:pt>
                <c:pt idx="1">
                  <c:v>2655470</c:v>
                </c:pt>
                <c:pt idx="2">
                  <c:v>2228843</c:v>
                </c:pt>
                <c:pt idx="3">
                  <c:v>2154107</c:v>
                </c:pt>
                <c:pt idx="4">
                  <c:v>2059284</c:v>
                </c:pt>
                <c:pt idx="5">
                  <c:v>1925014</c:v>
                </c:pt>
              </c:numCache>
            </c:numRef>
          </c:val>
          <c:extLst>
            <c:ext xmlns:c16="http://schemas.microsoft.com/office/drawing/2014/chart" uri="{C3380CC4-5D6E-409C-BE32-E72D297353CC}">
              <c16:uniqueId val="{00000001-BFC2-431A-AE5C-9B933F50D827}"/>
            </c:ext>
          </c:extLst>
        </c:ser>
        <c:ser>
          <c:idx val="2"/>
          <c:order val="2"/>
          <c:tx>
            <c:strRef>
              <c:f>'Revenue &amp; Expenses over time'!$B$27</c:f>
              <c:strCache>
                <c:ptCount val="1"/>
                <c:pt idx="0">
                  <c:v>Repairs and Maintenance</c:v>
                </c:pt>
              </c:strCache>
            </c:strRef>
          </c:tx>
          <c:spPr>
            <a:solidFill>
              <a:schemeClr val="accent4"/>
            </a:solidFill>
            <a:ln>
              <a:noFill/>
            </a:ln>
            <a:effectLst/>
          </c:spPr>
          <c:cat>
            <c:numRef>
              <c:f>'Revenue &amp; Expenses over time'!$C$24:$H$24</c:f>
              <c:numCache>
                <c:formatCode>General</c:formatCode>
                <c:ptCount val="6"/>
                <c:pt idx="0">
                  <c:v>2020</c:v>
                </c:pt>
                <c:pt idx="1">
                  <c:v>2019</c:v>
                </c:pt>
                <c:pt idx="2">
                  <c:v>2018</c:v>
                </c:pt>
                <c:pt idx="3">
                  <c:v>2017</c:v>
                </c:pt>
                <c:pt idx="4">
                  <c:v>2016</c:v>
                </c:pt>
                <c:pt idx="5">
                  <c:v>2015</c:v>
                </c:pt>
              </c:numCache>
            </c:numRef>
          </c:cat>
          <c:val>
            <c:numRef>
              <c:f>'Revenue &amp; Expenses over time'!$C$27:$H$27</c:f>
              <c:numCache>
                <c:formatCode>#,##0_);[Red]\(#,##0\)</c:formatCode>
                <c:ptCount val="6"/>
                <c:pt idx="0">
                  <c:v>778849</c:v>
                </c:pt>
                <c:pt idx="1">
                  <c:v>820986</c:v>
                </c:pt>
                <c:pt idx="2">
                  <c:v>809316</c:v>
                </c:pt>
                <c:pt idx="3">
                  <c:v>777085</c:v>
                </c:pt>
                <c:pt idx="4">
                  <c:v>771837</c:v>
                </c:pt>
                <c:pt idx="5">
                  <c:v>755950</c:v>
                </c:pt>
              </c:numCache>
            </c:numRef>
          </c:val>
          <c:extLst>
            <c:ext xmlns:c16="http://schemas.microsoft.com/office/drawing/2014/chart" uri="{C3380CC4-5D6E-409C-BE32-E72D297353CC}">
              <c16:uniqueId val="{00000002-BFC2-431A-AE5C-9B933F50D827}"/>
            </c:ext>
          </c:extLst>
        </c:ser>
        <c:ser>
          <c:idx val="3"/>
          <c:order val="3"/>
          <c:spPr>
            <a:solidFill>
              <a:schemeClr val="accent4"/>
            </a:solidFill>
            <a:ln>
              <a:noFill/>
            </a:ln>
            <a:effectLst/>
          </c:spPr>
          <c:cat>
            <c:numRef>
              <c:f>'Revenue &amp; Expenses over time'!$C$24:$H$24</c:f>
              <c:numCache>
                <c:formatCode>General</c:formatCode>
                <c:ptCount val="6"/>
                <c:pt idx="0">
                  <c:v>2020</c:v>
                </c:pt>
                <c:pt idx="1">
                  <c:v>2019</c:v>
                </c:pt>
                <c:pt idx="2">
                  <c:v>2018</c:v>
                </c:pt>
                <c:pt idx="3">
                  <c:v>2017</c:v>
                </c:pt>
                <c:pt idx="4">
                  <c:v>2016</c:v>
                </c:pt>
                <c:pt idx="5">
                  <c:v>2015</c:v>
                </c:pt>
              </c:numCache>
            </c:numRef>
          </c:cat>
          <c:val>
            <c:numRef>
              <c:f>'Revenue &amp; Expenses over time'!$C$28:$H$28</c:f>
            </c:numRef>
          </c:val>
          <c:extLst>
            <c:ext xmlns:c16="http://schemas.microsoft.com/office/drawing/2014/chart" uri="{C3380CC4-5D6E-409C-BE32-E72D297353CC}">
              <c16:uniqueId val="{00000003-BFC2-431A-AE5C-9B933F50D827}"/>
            </c:ext>
          </c:extLst>
        </c:ser>
        <c:ser>
          <c:idx val="4"/>
          <c:order val="4"/>
          <c:spPr>
            <a:solidFill>
              <a:schemeClr val="accent5"/>
            </a:solidFill>
            <a:ln>
              <a:noFill/>
            </a:ln>
            <a:effectLst/>
          </c:spPr>
          <c:cat>
            <c:numRef>
              <c:f>'Revenue &amp; Expenses over time'!$C$24:$H$24</c:f>
              <c:numCache>
                <c:formatCode>General</c:formatCode>
                <c:ptCount val="6"/>
                <c:pt idx="0">
                  <c:v>2020</c:v>
                </c:pt>
                <c:pt idx="1">
                  <c:v>2019</c:v>
                </c:pt>
                <c:pt idx="2">
                  <c:v>2018</c:v>
                </c:pt>
                <c:pt idx="3">
                  <c:v>2017</c:v>
                </c:pt>
                <c:pt idx="4">
                  <c:v>2016</c:v>
                </c:pt>
                <c:pt idx="5">
                  <c:v>2015</c:v>
                </c:pt>
              </c:numCache>
            </c:numRef>
          </c:cat>
          <c:val>
            <c:numRef>
              <c:f>'Revenue &amp; Expenses over time'!$C$29:$H$29</c:f>
            </c:numRef>
          </c:val>
          <c:extLst>
            <c:ext xmlns:c16="http://schemas.microsoft.com/office/drawing/2014/chart" uri="{C3380CC4-5D6E-409C-BE32-E72D297353CC}">
              <c16:uniqueId val="{00000004-BFC2-431A-AE5C-9B933F50D827}"/>
            </c:ext>
          </c:extLst>
        </c:ser>
        <c:ser>
          <c:idx val="5"/>
          <c:order val="5"/>
          <c:spPr>
            <a:solidFill>
              <a:schemeClr val="accent6"/>
            </a:solidFill>
            <a:ln>
              <a:noFill/>
            </a:ln>
            <a:effectLst/>
          </c:spPr>
          <c:cat>
            <c:numRef>
              <c:f>'Revenue &amp; Expenses over time'!$C$24:$H$24</c:f>
              <c:numCache>
                <c:formatCode>General</c:formatCode>
                <c:ptCount val="6"/>
                <c:pt idx="0">
                  <c:v>2020</c:v>
                </c:pt>
                <c:pt idx="1">
                  <c:v>2019</c:v>
                </c:pt>
                <c:pt idx="2">
                  <c:v>2018</c:v>
                </c:pt>
                <c:pt idx="3">
                  <c:v>2017</c:v>
                </c:pt>
                <c:pt idx="4">
                  <c:v>2016</c:v>
                </c:pt>
                <c:pt idx="5">
                  <c:v>2015</c:v>
                </c:pt>
              </c:numCache>
            </c:numRef>
          </c:cat>
          <c:val>
            <c:numRef>
              <c:f>'Revenue &amp; Expenses over time'!$C$30:$H$30</c:f>
            </c:numRef>
          </c:val>
          <c:extLst>
            <c:ext xmlns:c16="http://schemas.microsoft.com/office/drawing/2014/chart" uri="{C3380CC4-5D6E-409C-BE32-E72D297353CC}">
              <c16:uniqueId val="{00000005-BFC2-431A-AE5C-9B933F50D827}"/>
            </c:ext>
          </c:extLst>
        </c:ser>
        <c:ser>
          <c:idx val="6"/>
          <c:order val="6"/>
          <c:spPr>
            <a:solidFill>
              <a:schemeClr val="accent1">
                <a:lumMod val="60000"/>
              </a:schemeClr>
            </a:solidFill>
            <a:ln w="25400">
              <a:noFill/>
            </a:ln>
            <a:effectLst/>
          </c:spPr>
          <c:cat>
            <c:numRef>
              <c:f>'Revenue &amp; Expenses over time'!$C$24:$H$24</c:f>
              <c:numCache>
                <c:formatCode>General</c:formatCode>
                <c:ptCount val="6"/>
                <c:pt idx="0">
                  <c:v>2020</c:v>
                </c:pt>
                <c:pt idx="1">
                  <c:v>2019</c:v>
                </c:pt>
                <c:pt idx="2">
                  <c:v>2018</c:v>
                </c:pt>
                <c:pt idx="3">
                  <c:v>2017</c:v>
                </c:pt>
                <c:pt idx="4">
                  <c:v>2016</c:v>
                </c:pt>
                <c:pt idx="5">
                  <c:v>2015</c:v>
                </c:pt>
              </c:numCache>
            </c:numRef>
          </c:cat>
          <c:val>
            <c:numRef>
              <c:f>'Revenue &amp; Expenses over time'!$C$31:$H$31</c:f>
            </c:numRef>
          </c:val>
          <c:extLst>
            <c:ext xmlns:c16="http://schemas.microsoft.com/office/drawing/2014/chart" uri="{C3380CC4-5D6E-409C-BE32-E72D297353CC}">
              <c16:uniqueId val="{00000006-BFC2-431A-AE5C-9B933F50D827}"/>
            </c:ext>
          </c:extLst>
        </c:ser>
        <c:ser>
          <c:idx val="7"/>
          <c:order val="7"/>
          <c:spPr>
            <a:solidFill>
              <a:schemeClr val="accent2">
                <a:lumMod val="60000"/>
              </a:schemeClr>
            </a:solidFill>
            <a:ln w="25400">
              <a:noFill/>
            </a:ln>
            <a:effectLst/>
          </c:spPr>
          <c:cat>
            <c:numRef>
              <c:f>'Revenue &amp; Expenses over time'!$C$24:$H$24</c:f>
              <c:numCache>
                <c:formatCode>General</c:formatCode>
                <c:ptCount val="6"/>
                <c:pt idx="0">
                  <c:v>2020</c:v>
                </c:pt>
                <c:pt idx="1">
                  <c:v>2019</c:v>
                </c:pt>
                <c:pt idx="2">
                  <c:v>2018</c:v>
                </c:pt>
                <c:pt idx="3">
                  <c:v>2017</c:v>
                </c:pt>
                <c:pt idx="4">
                  <c:v>2016</c:v>
                </c:pt>
                <c:pt idx="5">
                  <c:v>2015</c:v>
                </c:pt>
              </c:numCache>
            </c:numRef>
          </c:cat>
          <c:val>
            <c:numRef>
              <c:f>'Revenue &amp; Expenses over time'!$C$32:$H$32</c:f>
            </c:numRef>
          </c:val>
          <c:extLst>
            <c:ext xmlns:c16="http://schemas.microsoft.com/office/drawing/2014/chart" uri="{C3380CC4-5D6E-409C-BE32-E72D297353CC}">
              <c16:uniqueId val="{00000007-BFC2-431A-AE5C-9B933F50D827}"/>
            </c:ext>
          </c:extLst>
        </c:ser>
        <c:ser>
          <c:idx val="8"/>
          <c:order val="8"/>
          <c:tx>
            <c:strRef>
              <c:f>'Revenue &amp; Expenses over time'!$B$33</c:f>
              <c:strCache>
                <c:ptCount val="1"/>
                <c:pt idx="0">
                  <c:v>Other Expenses</c:v>
                </c:pt>
              </c:strCache>
            </c:strRef>
          </c:tx>
          <c:spPr>
            <a:solidFill>
              <a:schemeClr val="bg2"/>
            </a:solidFill>
            <a:ln w="25400">
              <a:noFill/>
            </a:ln>
            <a:effectLst/>
          </c:spPr>
          <c:cat>
            <c:numRef>
              <c:f>'Revenue &amp; Expenses over time'!$C$24:$H$24</c:f>
              <c:numCache>
                <c:formatCode>General</c:formatCode>
                <c:ptCount val="6"/>
                <c:pt idx="0">
                  <c:v>2020</c:v>
                </c:pt>
                <c:pt idx="1">
                  <c:v>2019</c:v>
                </c:pt>
                <c:pt idx="2">
                  <c:v>2018</c:v>
                </c:pt>
                <c:pt idx="3">
                  <c:v>2017</c:v>
                </c:pt>
                <c:pt idx="4">
                  <c:v>2016</c:v>
                </c:pt>
                <c:pt idx="5">
                  <c:v>2015</c:v>
                </c:pt>
              </c:numCache>
            </c:numRef>
          </c:cat>
          <c:val>
            <c:numRef>
              <c:f>'Revenue &amp; Expenses over time'!$C$33:$H$33</c:f>
              <c:numCache>
                <c:formatCode>#,##0_);[Red]\(#,##0\)</c:formatCode>
                <c:ptCount val="6"/>
                <c:pt idx="0">
                  <c:v>10355588</c:v>
                </c:pt>
                <c:pt idx="1">
                  <c:v>11598842</c:v>
                </c:pt>
                <c:pt idx="2">
                  <c:v>11144173</c:v>
                </c:pt>
                <c:pt idx="3">
                  <c:v>9966636</c:v>
                </c:pt>
                <c:pt idx="4">
                  <c:v>9449333</c:v>
                </c:pt>
                <c:pt idx="5">
                  <c:v>8834205</c:v>
                </c:pt>
              </c:numCache>
            </c:numRef>
          </c:val>
          <c:extLst>
            <c:ext xmlns:c16="http://schemas.microsoft.com/office/drawing/2014/chart" uri="{C3380CC4-5D6E-409C-BE32-E72D297353CC}">
              <c16:uniqueId val="{00000008-BFC2-431A-AE5C-9B933F50D827}"/>
            </c:ext>
          </c:extLst>
        </c:ser>
        <c:dLbls>
          <c:showLegendKey val="0"/>
          <c:showVal val="0"/>
          <c:showCatName val="0"/>
          <c:showSerName val="0"/>
          <c:showPercent val="0"/>
          <c:showBubbleSize val="0"/>
        </c:dLbls>
        <c:axId val="525224144"/>
        <c:axId val="342375136"/>
      </c:areaChart>
      <c:catAx>
        <c:axId val="525224144"/>
        <c:scaling>
          <c:orientation val="maxMin"/>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375136"/>
        <c:crosses val="autoZero"/>
        <c:auto val="1"/>
        <c:lblAlgn val="ctr"/>
        <c:lblOffset val="100"/>
        <c:noMultiLvlLbl val="0"/>
      </c:catAx>
      <c:valAx>
        <c:axId val="342375136"/>
        <c:scaling>
          <c:orientation val="minMax"/>
          <c:max val="35000000"/>
        </c:scaling>
        <c:delete val="0"/>
        <c:axPos val="r"/>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224144"/>
        <c:crosses val="autoZero"/>
        <c:crossBetween val="midCat"/>
        <c:dispUnits>
          <c:builtInUnit val="millions"/>
          <c:dispUnitsLbl>
            <c:layout>
              <c:manualLayout>
                <c:xMode val="edge"/>
                <c:yMode val="edge"/>
                <c:x val="1.0038712850715956E-2"/>
                <c:y val="0.4437860866439961"/>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ayout>
        <c:manualLayout>
          <c:xMode val="edge"/>
          <c:yMode val="edge"/>
          <c:x val="0.11072231479950305"/>
          <c:y val="0.90126614396157845"/>
          <c:w val="0.79363328372321795"/>
          <c:h val="8.824893245039817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4 &amp; 6'!$H$7</c:f>
              <c:strCache>
                <c:ptCount val="1"/>
                <c:pt idx="0">
                  <c:v>2019</c:v>
                </c:pt>
              </c:strCache>
            </c:strRef>
          </c:tx>
          <c:spPr>
            <a:solidFill>
              <a:schemeClr val="bg2"/>
            </a:solidFill>
            <a:ln>
              <a:noFill/>
            </a:ln>
            <a:effectLst/>
          </c:spPr>
          <c:invertIfNegative val="0"/>
          <c:cat>
            <c:strRef>
              <c:f>'Figure 4 &amp; 6'!$G$8:$G$12</c:f>
              <c:strCache>
                <c:ptCount val="5"/>
                <c:pt idx="0">
                  <c:v>Property, Plant and Equipment</c:v>
                </c:pt>
                <c:pt idx="1">
                  <c:v>Investments</c:v>
                </c:pt>
                <c:pt idx="2">
                  <c:v>Receivables</c:v>
                </c:pt>
                <c:pt idx="3">
                  <c:v>Cash and Cash Equivalents</c:v>
                </c:pt>
                <c:pt idx="4">
                  <c:v>Other Assets</c:v>
                </c:pt>
              </c:strCache>
            </c:strRef>
          </c:cat>
          <c:val>
            <c:numRef>
              <c:f>'Figure 4 &amp; 6'!$H$8:$H$12</c:f>
              <c:numCache>
                <c:formatCode>#,##0</c:formatCode>
                <c:ptCount val="5"/>
                <c:pt idx="0">
                  <c:v>55733290000</c:v>
                </c:pt>
                <c:pt idx="1">
                  <c:v>17758617000</c:v>
                </c:pt>
                <c:pt idx="2">
                  <c:v>9946951000</c:v>
                </c:pt>
                <c:pt idx="3">
                  <c:v>4640359000</c:v>
                </c:pt>
                <c:pt idx="4">
                  <c:v>2330247000</c:v>
                </c:pt>
              </c:numCache>
            </c:numRef>
          </c:val>
          <c:extLst>
            <c:ext xmlns:c16="http://schemas.microsoft.com/office/drawing/2014/chart" uri="{C3380CC4-5D6E-409C-BE32-E72D297353CC}">
              <c16:uniqueId val="{00000000-8D59-4C7A-B93F-C93A465E4DE4}"/>
            </c:ext>
          </c:extLst>
        </c:ser>
        <c:ser>
          <c:idx val="1"/>
          <c:order val="1"/>
          <c:tx>
            <c:strRef>
              <c:f>'Figure 4 &amp; 6'!$I$7</c:f>
              <c:strCache>
                <c:ptCount val="1"/>
                <c:pt idx="0">
                  <c:v>2020</c:v>
                </c:pt>
              </c:strCache>
            </c:strRef>
          </c:tx>
          <c:spPr>
            <a:solidFill>
              <a:schemeClr val="accent1"/>
            </a:solidFill>
            <a:ln>
              <a:noFill/>
            </a:ln>
            <a:effectLst/>
          </c:spPr>
          <c:invertIfNegative val="0"/>
          <c:cat>
            <c:strRef>
              <c:f>'Figure 4 &amp; 6'!$G$8:$G$12</c:f>
              <c:strCache>
                <c:ptCount val="5"/>
                <c:pt idx="0">
                  <c:v>Property, Plant and Equipment</c:v>
                </c:pt>
                <c:pt idx="1">
                  <c:v>Investments</c:v>
                </c:pt>
                <c:pt idx="2">
                  <c:v>Receivables</c:v>
                </c:pt>
                <c:pt idx="3">
                  <c:v>Cash and Cash Equivalents</c:v>
                </c:pt>
                <c:pt idx="4">
                  <c:v>Other Assets</c:v>
                </c:pt>
              </c:strCache>
            </c:strRef>
          </c:cat>
          <c:val>
            <c:numRef>
              <c:f>'Figure 4 &amp; 6'!$I$8:$I$12</c:f>
              <c:numCache>
                <c:formatCode>#,##0</c:formatCode>
                <c:ptCount val="5"/>
                <c:pt idx="0">
                  <c:v>58453923000</c:v>
                </c:pt>
                <c:pt idx="1">
                  <c:v>18170553000</c:v>
                </c:pt>
                <c:pt idx="2">
                  <c:v>9386132000</c:v>
                </c:pt>
                <c:pt idx="3">
                  <c:v>6426778000</c:v>
                </c:pt>
                <c:pt idx="4">
                  <c:v>2604023000</c:v>
                </c:pt>
              </c:numCache>
            </c:numRef>
          </c:val>
          <c:extLst>
            <c:ext xmlns:c16="http://schemas.microsoft.com/office/drawing/2014/chart" uri="{C3380CC4-5D6E-409C-BE32-E72D297353CC}">
              <c16:uniqueId val="{00000001-8D59-4C7A-B93F-C93A465E4DE4}"/>
            </c:ext>
          </c:extLst>
        </c:ser>
        <c:dLbls>
          <c:showLegendKey val="0"/>
          <c:showVal val="0"/>
          <c:showCatName val="0"/>
          <c:showSerName val="0"/>
          <c:showPercent val="0"/>
          <c:showBubbleSize val="0"/>
        </c:dLbls>
        <c:gapWidth val="219"/>
        <c:overlap val="-27"/>
        <c:axId val="851015800"/>
        <c:axId val="851017768"/>
      </c:barChart>
      <c:catAx>
        <c:axId val="8510158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1017768"/>
        <c:crosses val="autoZero"/>
        <c:auto val="1"/>
        <c:lblAlgn val="ctr"/>
        <c:lblOffset val="100"/>
        <c:noMultiLvlLbl val="0"/>
      </c:catAx>
      <c:valAx>
        <c:axId val="851017768"/>
        <c:scaling>
          <c:orientation val="minMax"/>
          <c:max val="60000000000"/>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1015800"/>
        <c:crosses val="autoZero"/>
        <c:crossBetween val="between"/>
        <c:dispUnits>
          <c:builtInUnit val="billions"/>
          <c:dispUnitsLbl>
            <c:layout>
              <c:manualLayout>
                <c:xMode val="edge"/>
                <c:yMode val="edge"/>
                <c:x val="2.7777777777777776E-2"/>
                <c:y val="0.35648148148148145"/>
              </c:manualLayout>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'Cash &amp; Investments'!$C$57</c:f>
              <c:strCache>
                <c:ptCount val="1"/>
                <c:pt idx="0">
                  <c:v>2019</c:v>
                </c:pt>
              </c:strCache>
            </c:strRef>
          </c:tx>
          <c:spPr>
            <a:solidFill>
              <a:srgbClr val="FFC000"/>
            </a:solidFill>
            <a:ln>
              <a:noFill/>
            </a:ln>
            <a:effectLst/>
          </c:spPr>
          <c:invertIfNegative val="0"/>
          <c:cat>
            <c:strRef>
              <c:f>'Cash &amp; Investments'!$A$58:$A$96</c:f>
              <c:strCache>
                <c:ptCount val="39"/>
                <c:pt idx="0">
                  <c:v>Melbourne</c:v>
                </c:pt>
                <c:pt idx="1">
                  <c:v>USYD</c:v>
                </c:pt>
                <c:pt idx="2">
                  <c:v>ANU</c:v>
                </c:pt>
                <c:pt idx="3">
                  <c:v>UQ</c:v>
                </c:pt>
                <c:pt idx="4">
                  <c:v>UNSW</c:v>
                </c:pt>
                <c:pt idx="5">
                  <c:v>Monash</c:v>
                </c:pt>
                <c:pt idx="6">
                  <c:v>UWA</c:v>
                </c:pt>
                <c:pt idx="7">
                  <c:v>Deakin</c:v>
                </c:pt>
                <c:pt idx="8">
                  <c:v>QUT</c:v>
                </c:pt>
                <c:pt idx="9">
                  <c:v>Wollongong</c:v>
                </c:pt>
                <c:pt idx="10">
                  <c:v>Griffith</c:v>
                </c:pt>
                <c:pt idx="11">
                  <c:v>Curtin</c:v>
                </c:pt>
                <c:pt idx="12">
                  <c:v>Adelaide</c:v>
                </c:pt>
                <c:pt idx="13">
                  <c:v>WSU</c:v>
                </c:pt>
                <c:pt idx="14">
                  <c:v>Newcastle</c:v>
                </c:pt>
                <c:pt idx="15">
                  <c:v>ECU</c:v>
                </c:pt>
                <c:pt idx="16">
                  <c:v>UTAS</c:v>
                </c:pt>
                <c:pt idx="17">
                  <c:v>Murdoch</c:v>
                </c:pt>
                <c:pt idx="18">
                  <c:v>USA</c:v>
                </c:pt>
                <c:pt idx="19">
                  <c:v>FedUni</c:v>
                </c:pt>
                <c:pt idx="20">
                  <c:v>Swinburne</c:v>
                </c:pt>
                <c:pt idx="21">
                  <c:v>Charles Sturt</c:v>
                </c:pt>
                <c:pt idx="22">
                  <c:v>RMIT</c:v>
                </c:pt>
                <c:pt idx="23">
                  <c:v>JCU</c:v>
                </c:pt>
                <c:pt idx="24">
                  <c:v>La Trobe</c:v>
                </c:pt>
                <c:pt idx="25">
                  <c:v>Flinders</c:v>
                </c:pt>
                <c:pt idx="26">
                  <c:v>Macquarie</c:v>
                </c:pt>
                <c:pt idx="27">
                  <c:v>ACU</c:v>
                </c:pt>
                <c:pt idx="28">
                  <c:v>USQ</c:v>
                </c:pt>
                <c:pt idx="29">
                  <c:v>VU</c:v>
                </c:pt>
                <c:pt idx="30">
                  <c:v>CQU</c:v>
                </c:pt>
                <c:pt idx="31">
                  <c:v>Sunshine Coast</c:v>
                </c:pt>
                <c:pt idx="32">
                  <c:v>UNE</c:v>
                </c:pt>
                <c:pt idx="33">
                  <c:v>UTS</c:v>
                </c:pt>
                <c:pt idx="34">
                  <c:v>CDU</c:v>
                </c:pt>
                <c:pt idx="35">
                  <c:v>Southern Cross</c:v>
                </c:pt>
                <c:pt idx="36">
                  <c:v>UC</c:v>
                </c:pt>
                <c:pt idx="37">
                  <c:v>Notre Dame</c:v>
                </c:pt>
                <c:pt idx="38">
                  <c:v>Batchelor</c:v>
                </c:pt>
              </c:strCache>
            </c:strRef>
          </c:cat>
          <c:val>
            <c:numRef>
              <c:f>'Cash &amp; Investments'!$C$58:$C$96</c:f>
              <c:numCache>
                <c:formatCode>#,##0</c:formatCode>
                <c:ptCount val="39"/>
                <c:pt idx="0">
                  <c:v>3331504000</c:v>
                </c:pt>
                <c:pt idx="1">
                  <c:v>2276174000</c:v>
                </c:pt>
                <c:pt idx="2">
                  <c:v>1999387000</c:v>
                </c:pt>
                <c:pt idx="3">
                  <c:v>1070910000</c:v>
                </c:pt>
                <c:pt idx="4">
                  <c:v>1043314000</c:v>
                </c:pt>
                <c:pt idx="5">
                  <c:v>912153000</c:v>
                </c:pt>
                <c:pt idx="6">
                  <c:v>954065000</c:v>
                </c:pt>
                <c:pt idx="7">
                  <c:v>885369000</c:v>
                </c:pt>
                <c:pt idx="8">
                  <c:v>739635000</c:v>
                </c:pt>
                <c:pt idx="9">
                  <c:v>510493000</c:v>
                </c:pt>
                <c:pt idx="10">
                  <c:v>686529000</c:v>
                </c:pt>
                <c:pt idx="11">
                  <c:v>687358000</c:v>
                </c:pt>
                <c:pt idx="12">
                  <c:v>472891000</c:v>
                </c:pt>
                <c:pt idx="13">
                  <c:v>456661000</c:v>
                </c:pt>
                <c:pt idx="14">
                  <c:v>565573000</c:v>
                </c:pt>
                <c:pt idx="15">
                  <c:v>528507000</c:v>
                </c:pt>
                <c:pt idx="16">
                  <c:v>592419000</c:v>
                </c:pt>
                <c:pt idx="17">
                  <c:v>431375000</c:v>
                </c:pt>
                <c:pt idx="18">
                  <c:v>298564000</c:v>
                </c:pt>
                <c:pt idx="19">
                  <c:v>338244000</c:v>
                </c:pt>
                <c:pt idx="20">
                  <c:v>301658000</c:v>
                </c:pt>
                <c:pt idx="21">
                  <c:v>380135000</c:v>
                </c:pt>
                <c:pt idx="22">
                  <c:v>177220000</c:v>
                </c:pt>
                <c:pt idx="23">
                  <c:v>276323000</c:v>
                </c:pt>
                <c:pt idx="24">
                  <c:v>155809000</c:v>
                </c:pt>
                <c:pt idx="25">
                  <c:v>226835000</c:v>
                </c:pt>
                <c:pt idx="26">
                  <c:v>559502000</c:v>
                </c:pt>
                <c:pt idx="27">
                  <c:v>178304000</c:v>
                </c:pt>
                <c:pt idx="28">
                  <c:v>213550000</c:v>
                </c:pt>
                <c:pt idx="29">
                  <c:v>207755000</c:v>
                </c:pt>
                <c:pt idx="30">
                  <c:v>194121000</c:v>
                </c:pt>
                <c:pt idx="31">
                  <c:v>149866000</c:v>
                </c:pt>
                <c:pt idx="32">
                  <c:v>136710000</c:v>
                </c:pt>
                <c:pt idx="33">
                  <c:v>174521000</c:v>
                </c:pt>
                <c:pt idx="34">
                  <c:v>114304000</c:v>
                </c:pt>
                <c:pt idx="35">
                  <c:v>78586000</c:v>
                </c:pt>
                <c:pt idx="36">
                  <c:v>60915000</c:v>
                </c:pt>
                <c:pt idx="37">
                  <c:v>24289000</c:v>
                </c:pt>
                <c:pt idx="38">
                  <c:v>7448000</c:v>
                </c:pt>
              </c:numCache>
            </c:numRef>
          </c:val>
          <c:extLst>
            <c:ext xmlns:c16="http://schemas.microsoft.com/office/drawing/2014/chart" uri="{C3380CC4-5D6E-409C-BE32-E72D297353CC}">
              <c16:uniqueId val="{00000000-658E-4E71-954F-0799D8D671DE}"/>
            </c:ext>
          </c:extLst>
        </c:ser>
        <c:ser>
          <c:idx val="0"/>
          <c:order val="1"/>
          <c:tx>
            <c:strRef>
              <c:f>'Cash &amp; Investments'!$B$57</c:f>
              <c:strCache>
                <c:ptCount val="1"/>
                <c:pt idx="0">
                  <c:v>2020</c:v>
                </c:pt>
              </c:strCache>
            </c:strRef>
          </c:tx>
          <c:spPr>
            <a:solidFill>
              <a:schemeClr val="accent1"/>
            </a:solidFill>
            <a:ln>
              <a:noFill/>
            </a:ln>
            <a:effectLst/>
          </c:spPr>
          <c:invertIfNegative val="0"/>
          <c:cat>
            <c:strRef>
              <c:f>'Cash &amp; Investments'!$A$58:$A$96</c:f>
              <c:strCache>
                <c:ptCount val="39"/>
                <c:pt idx="0">
                  <c:v>Melbourne</c:v>
                </c:pt>
                <c:pt idx="1">
                  <c:v>USYD</c:v>
                </c:pt>
                <c:pt idx="2">
                  <c:v>ANU</c:v>
                </c:pt>
                <c:pt idx="3">
                  <c:v>UQ</c:v>
                </c:pt>
                <c:pt idx="4">
                  <c:v>UNSW</c:v>
                </c:pt>
                <c:pt idx="5">
                  <c:v>Monash</c:v>
                </c:pt>
                <c:pt idx="6">
                  <c:v>UWA</c:v>
                </c:pt>
                <c:pt idx="7">
                  <c:v>Deakin</c:v>
                </c:pt>
                <c:pt idx="8">
                  <c:v>QUT</c:v>
                </c:pt>
                <c:pt idx="9">
                  <c:v>Wollongong</c:v>
                </c:pt>
                <c:pt idx="10">
                  <c:v>Griffith</c:v>
                </c:pt>
                <c:pt idx="11">
                  <c:v>Curtin</c:v>
                </c:pt>
                <c:pt idx="12">
                  <c:v>Adelaide</c:v>
                </c:pt>
                <c:pt idx="13">
                  <c:v>WSU</c:v>
                </c:pt>
                <c:pt idx="14">
                  <c:v>Newcastle</c:v>
                </c:pt>
                <c:pt idx="15">
                  <c:v>ECU</c:v>
                </c:pt>
                <c:pt idx="16">
                  <c:v>UTAS</c:v>
                </c:pt>
                <c:pt idx="17">
                  <c:v>Murdoch</c:v>
                </c:pt>
                <c:pt idx="18">
                  <c:v>USA</c:v>
                </c:pt>
                <c:pt idx="19">
                  <c:v>FedUni</c:v>
                </c:pt>
                <c:pt idx="20">
                  <c:v>Swinburne</c:v>
                </c:pt>
                <c:pt idx="21">
                  <c:v>Charles Sturt</c:v>
                </c:pt>
                <c:pt idx="22">
                  <c:v>RMIT</c:v>
                </c:pt>
                <c:pt idx="23">
                  <c:v>JCU</c:v>
                </c:pt>
                <c:pt idx="24">
                  <c:v>La Trobe</c:v>
                </c:pt>
                <c:pt idx="25">
                  <c:v>Flinders</c:v>
                </c:pt>
                <c:pt idx="26">
                  <c:v>Macquarie</c:v>
                </c:pt>
                <c:pt idx="27">
                  <c:v>ACU</c:v>
                </c:pt>
                <c:pt idx="28">
                  <c:v>USQ</c:v>
                </c:pt>
                <c:pt idx="29">
                  <c:v>VU</c:v>
                </c:pt>
                <c:pt idx="30">
                  <c:v>CQU</c:v>
                </c:pt>
                <c:pt idx="31">
                  <c:v>Sunshine Coast</c:v>
                </c:pt>
                <c:pt idx="32">
                  <c:v>UNE</c:v>
                </c:pt>
                <c:pt idx="33">
                  <c:v>UTS</c:v>
                </c:pt>
                <c:pt idx="34">
                  <c:v>CDU</c:v>
                </c:pt>
                <c:pt idx="35">
                  <c:v>Southern Cross</c:v>
                </c:pt>
                <c:pt idx="36">
                  <c:v>UC</c:v>
                </c:pt>
                <c:pt idx="37">
                  <c:v>Notre Dame</c:v>
                </c:pt>
                <c:pt idx="38">
                  <c:v>Batchelor</c:v>
                </c:pt>
              </c:strCache>
            </c:strRef>
          </c:cat>
          <c:val>
            <c:numRef>
              <c:f>'Cash &amp; Investments'!$B$58:$B$96</c:f>
              <c:numCache>
                <c:formatCode>#,##0</c:formatCode>
                <c:ptCount val="39"/>
                <c:pt idx="0">
                  <c:v>3487547000</c:v>
                </c:pt>
                <c:pt idx="1">
                  <c:v>2604724000</c:v>
                </c:pt>
                <c:pt idx="2">
                  <c:v>1874429000</c:v>
                </c:pt>
                <c:pt idx="3">
                  <c:v>1337674000</c:v>
                </c:pt>
                <c:pt idx="4">
                  <c:v>1300126000</c:v>
                </c:pt>
                <c:pt idx="5">
                  <c:v>1228034000</c:v>
                </c:pt>
                <c:pt idx="6">
                  <c:v>1090456000</c:v>
                </c:pt>
                <c:pt idx="7">
                  <c:v>984686000</c:v>
                </c:pt>
                <c:pt idx="8">
                  <c:v>816850000</c:v>
                </c:pt>
                <c:pt idx="9">
                  <c:v>767572000</c:v>
                </c:pt>
                <c:pt idx="10">
                  <c:v>710255000</c:v>
                </c:pt>
                <c:pt idx="11">
                  <c:v>638002000</c:v>
                </c:pt>
                <c:pt idx="12">
                  <c:v>563299000</c:v>
                </c:pt>
                <c:pt idx="13">
                  <c:v>556613000</c:v>
                </c:pt>
                <c:pt idx="14">
                  <c:v>547303000</c:v>
                </c:pt>
                <c:pt idx="15">
                  <c:v>529187000</c:v>
                </c:pt>
                <c:pt idx="16">
                  <c:v>440668000</c:v>
                </c:pt>
                <c:pt idx="17">
                  <c:v>432620000</c:v>
                </c:pt>
                <c:pt idx="18">
                  <c:v>384440000</c:v>
                </c:pt>
                <c:pt idx="19">
                  <c:v>351869000</c:v>
                </c:pt>
                <c:pt idx="20">
                  <c:v>343865000</c:v>
                </c:pt>
                <c:pt idx="21">
                  <c:v>339718000</c:v>
                </c:pt>
                <c:pt idx="22">
                  <c:v>225626000</c:v>
                </c:pt>
                <c:pt idx="23">
                  <c:v>296918000</c:v>
                </c:pt>
                <c:pt idx="24">
                  <c:v>282663000</c:v>
                </c:pt>
                <c:pt idx="25">
                  <c:v>273200000</c:v>
                </c:pt>
                <c:pt idx="26">
                  <c:v>264161000</c:v>
                </c:pt>
                <c:pt idx="27">
                  <c:v>255327000</c:v>
                </c:pt>
                <c:pt idx="28">
                  <c:v>246360000</c:v>
                </c:pt>
                <c:pt idx="29">
                  <c:v>228041000</c:v>
                </c:pt>
                <c:pt idx="30">
                  <c:v>216629000</c:v>
                </c:pt>
                <c:pt idx="31">
                  <c:v>200568000</c:v>
                </c:pt>
                <c:pt idx="32">
                  <c:v>187910000</c:v>
                </c:pt>
                <c:pt idx="33">
                  <c:v>185652000</c:v>
                </c:pt>
                <c:pt idx="34">
                  <c:v>158408000</c:v>
                </c:pt>
                <c:pt idx="35">
                  <c:v>107610000</c:v>
                </c:pt>
                <c:pt idx="36">
                  <c:v>97237000</c:v>
                </c:pt>
                <c:pt idx="37">
                  <c:v>34469000</c:v>
                </c:pt>
                <c:pt idx="38">
                  <c:v>6615000</c:v>
                </c:pt>
              </c:numCache>
            </c:numRef>
          </c:val>
          <c:extLst>
            <c:ext xmlns:c16="http://schemas.microsoft.com/office/drawing/2014/chart" uri="{C3380CC4-5D6E-409C-BE32-E72D297353CC}">
              <c16:uniqueId val="{00000001-658E-4E71-954F-0799D8D671DE}"/>
            </c:ext>
          </c:extLst>
        </c:ser>
        <c:dLbls>
          <c:showLegendKey val="0"/>
          <c:showVal val="0"/>
          <c:showCatName val="0"/>
          <c:showSerName val="0"/>
          <c:showPercent val="0"/>
          <c:showBubbleSize val="0"/>
        </c:dLbls>
        <c:gapWidth val="219"/>
        <c:overlap val="-27"/>
        <c:axId val="636224816"/>
        <c:axId val="681434704"/>
      </c:barChart>
      <c:catAx>
        <c:axId val="63622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1434704"/>
        <c:crosses val="autoZero"/>
        <c:auto val="1"/>
        <c:lblAlgn val="ctr"/>
        <c:lblOffset val="100"/>
        <c:noMultiLvlLbl val="0"/>
      </c:catAx>
      <c:valAx>
        <c:axId val="681434704"/>
        <c:scaling>
          <c:orientation val="minMax"/>
          <c:max val="35000000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224816"/>
        <c:crosses val="autoZero"/>
        <c:crossBetween val="between"/>
        <c:dispUnits>
          <c:builtInUnit val="billions"/>
          <c:dispUnitsLbl>
            <c:layout>
              <c:manualLayout>
                <c:xMode val="edge"/>
                <c:yMode val="edge"/>
                <c:x val="1.6299918500407497E-2"/>
                <c:y val="0.38991146748927158"/>
              </c:manualLayout>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4 &amp; 6'!$H$23</c:f>
              <c:strCache>
                <c:ptCount val="1"/>
                <c:pt idx="0">
                  <c:v>2019</c:v>
                </c:pt>
              </c:strCache>
            </c:strRef>
          </c:tx>
          <c:spPr>
            <a:solidFill>
              <a:schemeClr val="bg2"/>
            </a:solidFill>
            <a:ln>
              <a:noFill/>
            </a:ln>
            <a:effectLst/>
          </c:spPr>
          <c:invertIfNegative val="0"/>
          <c:cat>
            <c:strRef>
              <c:f>'Figure 4 &amp; 6'!$G$24:$G$28</c:f>
              <c:strCache>
                <c:ptCount val="5"/>
                <c:pt idx="0">
                  <c:v>Provisions</c:v>
                </c:pt>
                <c:pt idx="1">
                  <c:v>Other Liabilities</c:v>
                </c:pt>
                <c:pt idx="2">
                  <c:v>Borrowings</c:v>
                </c:pt>
                <c:pt idx="3">
                  <c:v>Payables</c:v>
                </c:pt>
                <c:pt idx="4">
                  <c:v>Lease Liabilities</c:v>
                </c:pt>
              </c:strCache>
            </c:strRef>
          </c:cat>
          <c:val>
            <c:numRef>
              <c:f>'Figure 4 &amp; 6'!$H$24:$H$28</c:f>
              <c:numCache>
                <c:formatCode>#,##0</c:formatCode>
                <c:ptCount val="5"/>
                <c:pt idx="0">
                  <c:v>13354040000</c:v>
                </c:pt>
                <c:pt idx="1">
                  <c:v>4778131000</c:v>
                </c:pt>
                <c:pt idx="2">
                  <c:v>6161759000</c:v>
                </c:pt>
                <c:pt idx="3">
                  <c:v>2610614000</c:v>
                </c:pt>
                <c:pt idx="4">
                  <c:v>1952335000</c:v>
                </c:pt>
              </c:numCache>
            </c:numRef>
          </c:val>
          <c:extLst>
            <c:ext xmlns:c16="http://schemas.microsoft.com/office/drawing/2014/chart" uri="{C3380CC4-5D6E-409C-BE32-E72D297353CC}">
              <c16:uniqueId val="{00000000-E6D5-4F5B-AC31-AE674A6D4172}"/>
            </c:ext>
          </c:extLst>
        </c:ser>
        <c:ser>
          <c:idx val="1"/>
          <c:order val="1"/>
          <c:tx>
            <c:strRef>
              <c:f>'Figure 4 &amp; 6'!$I$23</c:f>
              <c:strCache>
                <c:ptCount val="1"/>
                <c:pt idx="0">
                  <c:v>2020</c:v>
                </c:pt>
              </c:strCache>
            </c:strRef>
          </c:tx>
          <c:spPr>
            <a:solidFill>
              <a:schemeClr val="accent1"/>
            </a:solidFill>
            <a:ln>
              <a:noFill/>
            </a:ln>
            <a:effectLst/>
          </c:spPr>
          <c:invertIfNegative val="0"/>
          <c:cat>
            <c:strRef>
              <c:f>'Figure 4 &amp; 6'!$G$24:$G$28</c:f>
              <c:strCache>
                <c:ptCount val="5"/>
                <c:pt idx="0">
                  <c:v>Provisions</c:v>
                </c:pt>
                <c:pt idx="1">
                  <c:v>Other Liabilities</c:v>
                </c:pt>
                <c:pt idx="2">
                  <c:v>Borrowings</c:v>
                </c:pt>
                <c:pt idx="3">
                  <c:v>Payables</c:v>
                </c:pt>
                <c:pt idx="4">
                  <c:v>Lease Liabilities</c:v>
                </c:pt>
              </c:strCache>
            </c:strRef>
          </c:cat>
          <c:val>
            <c:numRef>
              <c:f>'Figure 4 &amp; 6'!$I$24:$I$28</c:f>
              <c:numCache>
                <c:formatCode>#,##0</c:formatCode>
                <c:ptCount val="5"/>
                <c:pt idx="0">
                  <c:v>13323229000</c:v>
                </c:pt>
                <c:pt idx="1">
                  <c:v>7142958000</c:v>
                </c:pt>
                <c:pt idx="2">
                  <c:v>7015491000</c:v>
                </c:pt>
                <c:pt idx="3">
                  <c:v>2741100000</c:v>
                </c:pt>
                <c:pt idx="4">
                  <c:v>2095956000</c:v>
                </c:pt>
              </c:numCache>
            </c:numRef>
          </c:val>
          <c:extLst>
            <c:ext xmlns:c16="http://schemas.microsoft.com/office/drawing/2014/chart" uri="{C3380CC4-5D6E-409C-BE32-E72D297353CC}">
              <c16:uniqueId val="{00000001-E6D5-4F5B-AC31-AE674A6D4172}"/>
            </c:ext>
          </c:extLst>
        </c:ser>
        <c:dLbls>
          <c:showLegendKey val="0"/>
          <c:showVal val="0"/>
          <c:showCatName val="0"/>
          <c:showSerName val="0"/>
          <c:showPercent val="0"/>
          <c:showBubbleSize val="0"/>
        </c:dLbls>
        <c:gapWidth val="219"/>
        <c:overlap val="-27"/>
        <c:axId val="720322888"/>
        <c:axId val="720323544"/>
      </c:barChart>
      <c:catAx>
        <c:axId val="720322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323544"/>
        <c:crosses val="autoZero"/>
        <c:auto val="1"/>
        <c:lblAlgn val="ctr"/>
        <c:lblOffset val="100"/>
        <c:noMultiLvlLbl val="0"/>
      </c:catAx>
      <c:valAx>
        <c:axId val="720323544"/>
        <c:scaling>
          <c:orientation val="minMax"/>
          <c:max val="14000000000"/>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322888"/>
        <c:crosses val="autoZero"/>
        <c:crossBetween val="between"/>
        <c:dispUnits>
          <c:builtInUnit val="billions"/>
          <c:dispUnitsLbl>
            <c:layout>
              <c:manualLayout>
                <c:xMode val="edge"/>
                <c:yMode val="edge"/>
                <c:x val="3.888888888888889E-2"/>
                <c:y val="0.33796296296296297"/>
              </c:manualLayout>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80BFC01CE324524B0928F90E69E0732"/>
        <w:category>
          <w:name w:val="General"/>
          <w:gallery w:val="placeholder"/>
        </w:category>
        <w:types>
          <w:type w:val="bbPlcHdr"/>
        </w:types>
        <w:behaviors>
          <w:behavior w:val="content"/>
        </w:behaviors>
        <w:guid w:val="{7DA1F28D-15E6-4A63-907C-9F9DD78D5C4C}"/>
      </w:docPartPr>
      <w:docPartBody>
        <w:p w:rsidR="00C435EE" w:rsidRDefault="008052DF" w:rsidP="008052DF">
          <w:pPr>
            <w:pStyle w:val="980BFC01CE324524B0928F90E69E0732"/>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EE"/>
    <w:rsid w:val="00061590"/>
    <w:rsid w:val="0018018E"/>
    <w:rsid w:val="002B7819"/>
    <w:rsid w:val="0031617F"/>
    <w:rsid w:val="00397DEE"/>
    <w:rsid w:val="004248AF"/>
    <w:rsid w:val="004D0116"/>
    <w:rsid w:val="005E0A57"/>
    <w:rsid w:val="005F2998"/>
    <w:rsid w:val="0061099C"/>
    <w:rsid w:val="00716721"/>
    <w:rsid w:val="00720059"/>
    <w:rsid w:val="00765230"/>
    <w:rsid w:val="00776BD6"/>
    <w:rsid w:val="008052DF"/>
    <w:rsid w:val="0084624C"/>
    <w:rsid w:val="00866723"/>
    <w:rsid w:val="00992B2A"/>
    <w:rsid w:val="009B2EE6"/>
    <w:rsid w:val="00A85AD8"/>
    <w:rsid w:val="00AF66A9"/>
    <w:rsid w:val="00B22115"/>
    <w:rsid w:val="00B836A5"/>
    <w:rsid w:val="00C435EE"/>
    <w:rsid w:val="00CA16E1"/>
    <w:rsid w:val="00D652D1"/>
    <w:rsid w:val="00DB08D2"/>
    <w:rsid w:val="00DE44B9"/>
    <w:rsid w:val="00FE0D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52DF"/>
    <w:rPr>
      <w:color w:val="808080"/>
    </w:rPr>
  </w:style>
  <w:style w:type="paragraph" w:customStyle="1" w:styleId="5C0F70D4642A4492B597F2B6D82D7B5C">
    <w:name w:val="5C0F70D4642A4492B597F2B6D82D7B5C"/>
  </w:style>
  <w:style w:type="paragraph" w:customStyle="1" w:styleId="980BFC01CE324524B0928F90E69E0732">
    <w:name w:val="980BFC01CE324524B0928F90E69E0732"/>
    <w:rsid w:val="00805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183DAE6233B8A49953BB20B58AE0E5E" ma:contentTypeVersion="" ma:contentTypeDescription="PDMS Document Site Content Type" ma:contentTypeScope="" ma:versionID="43ee6592112dd74605a557b1710a1a45">
  <xsd:schema xmlns:xsd="http://www.w3.org/2001/XMLSchema" xmlns:xs="http://www.w3.org/2001/XMLSchema" xmlns:p="http://schemas.microsoft.com/office/2006/metadata/properties" xmlns:ns2="90F2B993-E806-472F-8751-CC0DE87708F7" targetNamespace="http://schemas.microsoft.com/office/2006/metadata/properties" ma:root="true" ma:fieldsID="e3d259621d4787f2083fca3e8d10db91" ns2:_="">
    <xsd:import namespace="90F2B993-E806-472F-8751-CC0DE87708F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2B993-E806-472F-8751-CC0DE87708F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90F2B993-E806-472F-8751-CC0DE87708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E16A3-E09E-4421-931C-707C5275F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2B993-E806-472F-8751-CC0DE8770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76F16-3365-4573-BAE8-F9F20716FFD1}">
  <ds:schemaRefs>
    <ds:schemaRef ds:uri="http://schemas.openxmlformats.org/officeDocument/2006/bibliography"/>
  </ds:schemaRefs>
</ds:datastoreItem>
</file>

<file path=customXml/itemProps3.xml><?xml version="1.0" encoding="utf-8"?>
<ds:datastoreItem xmlns:ds="http://schemas.openxmlformats.org/officeDocument/2006/customXml" ds:itemID="{7EBB4C30-6D86-487A-8B5B-3A5DEC448181}">
  <ds:schemaRefs>
    <ds:schemaRef ds:uri="http://schemas.microsoft.com/office/2006/metadata/properties"/>
    <ds:schemaRef ds:uri="http://schemas.microsoft.com/office/infopath/2007/PartnerControls"/>
    <ds:schemaRef ds:uri="90F2B993-E806-472F-8751-CC0DE87708F7"/>
  </ds:schemaRefs>
</ds:datastoreItem>
</file>

<file path=customXml/itemProps4.xml><?xml version="1.0" encoding="utf-8"?>
<ds:datastoreItem xmlns:ds="http://schemas.openxmlformats.org/officeDocument/2006/customXml" ds:itemID="{2C1EC45F-5108-4DFB-9409-93A12F348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3914</Words>
  <Characters>22311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University Finances 2020</vt:lpstr>
    </vt:vector>
  </TitlesOfParts>
  <Company>Australian Government</Company>
  <LinksUpToDate>false</LinksUpToDate>
  <CharactersWithSpaces>26173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Finance 2020</dc:title>
  <dc:subject/>
  <dc:creator>RUNDELL,Peter</dc:creator>
  <cp:keywords/>
  <dc:description/>
  <cp:lastModifiedBy>TOOHEY,Alicia</cp:lastModifiedBy>
  <cp:revision>2</cp:revision>
  <cp:lastPrinted>2020-01-24T00:45:00Z</cp:lastPrinted>
  <dcterms:created xsi:type="dcterms:W3CDTF">2021-10-25T23:48:00Z</dcterms:created>
  <dcterms:modified xsi:type="dcterms:W3CDTF">2021-10-25T23:48:00Z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0x010100266966F133664895A6EE3632470D45F500F183DAE6233B8A49953BB20B58AE0E5E</vt:lpwstr>
  </property>
</Properties>
</file>