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oter6.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4.xml" ContentType="application/vnd.openxmlformats-officedocument.drawingml.chartshapes+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4.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5.xml" ContentType="application/vnd.openxmlformats-officedocument.drawingml.chartshapes+xml"/>
  <Override PartName="/word/charts/chart1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8.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9.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0.xml" ContentType="application/vnd.openxmlformats-officedocument.drawingml.chart+xml"/>
  <Override PartName="/word/charts/chart31.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2.xml" ContentType="application/vnd.openxmlformats-officedocument.drawingml.chart+xml"/>
  <Override PartName="/word/drawings/drawing6.xml" ContentType="application/vnd.openxmlformats-officedocument.drawingml.chartshapes+xml"/>
  <Override PartName="/word/charts/chart33.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4.xml" ContentType="application/vnd.openxmlformats-officedocument.drawingml.chart+xml"/>
  <Override PartName="/word/theme/themeOverride1.xml" ContentType="application/vnd.openxmlformats-officedocument.themeOverride+xml"/>
  <Override PartName="/word/drawings/drawing7.xml" ContentType="application/vnd.openxmlformats-officedocument.drawingml.chartshapes+xml"/>
  <Override PartName="/word/charts/chart35.xml" ContentType="application/vnd.openxmlformats-officedocument.drawingml.chart+xml"/>
  <Override PartName="/word/theme/themeOverride2.xml" ContentType="application/vnd.openxmlformats-officedocument.themeOverride+xml"/>
  <Override PartName="/word/drawings/drawing8.xml" ContentType="application/vnd.openxmlformats-officedocument.drawingml.chartshapes+xml"/>
  <Override PartName="/word/charts/chart36.xml" ContentType="application/vnd.openxmlformats-officedocument.drawingml.chart+xml"/>
  <Override PartName="/word/theme/themeOverride3.xml" ContentType="application/vnd.openxmlformats-officedocument.themeOverride+xml"/>
  <Override PartName="/word/drawings/drawing9.xml" ContentType="application/vnd.openxmlformats-officedocument.drawingml.chartshapes+xml"/>
  <Override PartName="/word/charts/chart3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3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drawings/drawing10.xml" ContentType="application/vnd.openxmlformats-officedocument.drawingml.chartshapes+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54.xml" ContentType="application/vnd.openxmlformats-officedocument.drawingml.chart+xml"/>
  <Override PartName="/word/charts/style32.xml" ContentType="application/vnd.ms-office.chartstyle+xml"/>
  <Override PartName="/word/charts/colors32.xml" ContentType="application/vnd.ms-office.chartcolorstyle+xml"/>
  <Override PartName="/word/header7.xml" ContentType="application/vnd.openxmlformats-officedocument.wordprocessingml.header+xml"/>
  <Override PartName="/word/footer7.xml" ContentType="application/vnd.openxmlformats-officedocument.wordprocessingml.footer+xml"/>
  <Override PartName="/word/charts/chart55.xml" ContentType="application/vnd.openxmlformats-officedocument.drawingml.chart+xml"/>
  <Override PartName="/word/theme/themeOverride4.xml" ContentType="application/vnd.openxmlformats-officedocument.themeOverride+xml"/>
  <Override PartName="/word/drawings/drawing11.xml" ContentType="application/vnd.openxmlformats-officedocument.drawingml.chartshapes+xml"/>
  <Override PartName="/word/charts/chart56.xml" ContentType="application/vnd.openxmlformats-officedocument.drawingml.chart+xml"/>
  <Override PartName="/word/theme/themeOverride5.xml" ContentType="application/vnd.openxmlformats-officedocument.themeOverride+xml"/>
  <Override PartName="/word/drawings/drawing12.xml" ContentType="application/vnd.openxmlformats-officedocument.drawingml.chartshapes+xml"/>
  <Override PartName="/word/charts/chart57.xml" ContentType="application/vnd.openxmlformats-officedocument.drawingml.chart+xml"/>
  <Override PartName="/word/theme/themeOverride6.xml" ContentType="application/vnd.openxmlformats-officedocument.themeOverride+xml"/>
  <Override PartName="/word/drawings/drawing13.xml" ContentType="application/vnd.openxmlformats-officedocument.drawingml.chartshapes+xml"/>
  <Override PartName="/word/charts/chart58.xml" ContentType="application/vnd.openxmlformats-officedocument.drawingml.chart+xml"/>
  <Override PartName="/word/theme/themeOverride7.xml" ContentType="application/vnd.openxmlformats-officedocument.themeOverride+xml"/>
  <Override PartName="/word/drawings/drawing14.xml" ContentType="application/vnd.openxmlformats-officedocument.drawingml.chartshapes+xml"/>
  <Override PartName="/word/charts/chart59.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60.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61.xml" ContentType="application/vnd.openxmlformats-officedocument.drawingml.chart+xml"/>
  <Override PartName="/word/charts/chart6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1E3EC" w14:textId="31FEB033" w:rsidR="001E349B" w:rsidRPr="00BB165A" w:rsidRDefault="001E349B" w:rsidP="001E349B"/>
    <w:p w14:paraId="20417F98" w14:textId="77777777" w:rsidR="001E349B" w:rsidRPr="00BB165A" w:rsidRDefault="001E349B" w:rsidP="001E349B">
      <w:r w:rsidRPr="00BB165A">
        <w:rPr>
          <w:noProof/>
          <w:lang w:eastAsia="en-AU"/>
        </w:rPr>
        <mc:AlternateContent>
          <mc:Choice Requires="wps">
            <w:drawing>
              <wp:anchor distT="0" distB="0" distL="114300" distR="114300" simplePos="0" relativeHeight="251658240" behindDoc="1" locked="1" layoutInCell="1" allowOverlap="1" wp14:anchorId="3F86B7C5" wp14:editId="2BEC15B8">
                <wp:simplePos x="0" y="0"/>
                <wp:positionH relativeFrom="page">
                  <wp:align>left</wp:align>
                </wp:positionH>
                <wp:positionV relativeFrom="page">
                  <wp:align>top</wp:align>
                </wp:positionV>
                <wp:extent cx="7596000" cy="10728000"/>
                <wp:effectExtent l="0" t="0" r="5080" b="0"/>
                <wp:wrapNone/>
                <wp:docPr id="35" name="Frontpag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BCEB32" w14:textId="77777777" w:rsidR="00FF3D3E" w:rsidRDefault="00FF3D3E" w:rsidP="00F12EF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6B7C5" id="FrontpageBackground" o:spid="_x0000_s1026" alt="&quot;&quot;" style="position:absolute;margin-left:0;margin-top:0;width:598.1pt;height:844.7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" stroked="f" strokeweight="2pt">
                <v:textbox>
                  <w:txbxContent>
                    <w:p w14:paraId="63BCEB32" w14:textId="77777777" w:rsidR="00FF3D3E" w:rsidRDefault="00FF3D3E" w:rsidP="00F12EFB">
                      <w:pPr>
                        <w:jc w:val="center"/>
                      </w:pPr>
                    </w:p>
                  </w:txbxContent>
                </v:textbox>
                <w10:wrap anchorx="page" anchory="page"/>
                <w10:anchorlock/>
              </v:rect>
            </w:pict>
          </mc:Fallback>
        </mc:AlternateContent>
      </w:r>
      <w:r w:rsidRPr="00BB165A">
        <w:rPr>
          <w:noProof/>
          <w:lang w:eastAsia="en-AU"/>
        </w:rPr>
        <mc:AlternateContent>
          <mc:Choice Requires="wps">
            <w:drawing>
              <wp:anchor distT="0" distB="0" distL="114300" distR="114300" simplePos="0" relativeHeight="251658241" behindDoc="0" locked="1" layoutInCell="1" allowOverlap="1" wp14:anchorId="22C935F7" wp14:editId="462434D1">
                <wp:simplePos x="0" y="0"/>
                <wp:positionH relativeFrom="page">
                  <wp:posOffset>428625</wp:posOffset>
                </wp:positionH>
                <wp:positionV relativeFrom="page">
                  <wp:posOffset>428625</wp:posOffset>
                </wp:positionV>
                <wp:extent cx="6746875" cy="9677400"/>
                <wp:effectExtent l="0" t="0" r="0" b="0"/>
                <wp:wrapNone/>
                <wp:docPr id="36" name="Logo and frontpagepicture"/>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FF3D3E" w:rsidRPr="00A05AA5" w14:paraId="0876A383" w14:textId="77777777" w:rsidTr="00C002A2">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16319D92" w14:textId="77777777" w:rsidR="00FF3D3E" w:rsidRPr="00A05AA5" w:rsidRDefault="00FF3D3E" w:rsidP="00C002A2">
                                  <w:pPr>
                                    <w:rPr>
                                      <w:highlight w:val="yellow"/>
                                    </w:rPr>
                                  </w:pPr>
                                  <w:r w:rsidRPr="00E06AF2">
                                    <w:rPr>
                                      <w:noProof/>
                                      <w:lang w:eastAsia="en-AU"/>
                                    </w:rPr>
                                    <w:drawing>
                                      <wp:inline distT="0" distB="0" distL="0" distR="0" wp14:anchorId="60A92015" wp14:editId="6A4B0EBA">
                                        <wp:extent cx="2084070" cy="914400"/>
                                        <wp:effectExtent l="0" t="0" r="0" b="0"/>
                                        <wp:docPr id="2" name="Frontpage_Logo_Positiv">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Frontpage_Logo_Positiv">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FF3D3E" w:rsidRPr="00A05AA5" w14:paraId="1CBDC4C5" w14:textId="77777777" w:rsidTr="00981018">
                              <w:trPr>
                                <w:trHeight w:hRule="exact" w:val="10603"/>
                              </w:trPr>
                              <w:tc>
                                <w:tcPr>
                                  <w:tcW w:w="10603" w:type="dxa"/>
                                </w:tcPr>
                                <w:p w14:paraId="4A6B9847" w14:textId="77777777" w:rsidR="00FF3D3E" w:rsidRPr="00A05AA5" w:rsidRDefault="00FF3D3E" w:rsidP="00C002A2">
                                  <w:pPr>
                                    <w:pStyle w:val="FPPicture"/>
                                    <w:rPr>
                                      <w:highlight w:val="yellow"/>
                                    </w:rPr>
                                  </w:pPr>
                                  <w:r w:rsidRPr="00425C30">
                                    <w:rPr>
                                      <w:noProof/>
                                      <w:lang w:eastAsia="en-AU"/>
                                    </w:rPr>
                                    <w:drawing>
                                      <wp:inline distT="0" distB="0" distL="0" distR="0" wp14:anchorId="766B3420" wp14:editId="43091F04">
                                        <wp:extent cx="6732905" cy="6732905"/>
                                        <wp:effectExtent l="0" t="0" r="0" b="0"/>
                                        <wp:docPr id="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uri="{C183D7F6-B498-43B3-948B-1728B52AA6E4}">
                                                      <adec:decorative xmlns:adec="http://schemas.microsoft.com/office/drawing/2017/decorative" val="1"/>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732905" cy="6732905"/>
                                                </a:xfrm>
                                                <a:prstGeom prst="rect">
                                                  <a:avLst/>
                                                </a:prstGeom>
                                              </pic:spPr>
                                            </pic:pic>
                                          </a:graphicData>
                                        </a:graphic>
                                      </wp:inline>
                                    </w:drawing>
                                  </w:r>
                                </w:p>
                              </w:tc>
                            </w:tr>
                          </w:tbl>
                          <w:p w14:paraId="37327F67" w14:textId="77777777" w:rsidR="00FF3D3E" w:rsidRPr="00A05AA5" w:rsidRDefault="00FF3D3E" w:rsidP="00981018">
                            <w:pPr>
                              <w:pStyle w:val="NoSpacing"/>
                              <w:rPr>
                                <w:highlight w:val="yellow"/>
                              </w:rPr>
                            </w:pPr>
                          </w:p>
                          <w:p w14:paraId="274E50FC" w14:textId="77777777" w:rsidR="00FF3D3E" w:rsidRPr="00A05AA5" w:rsidRDefault="00FF3D3E" w:rsidP="00981018">
                            <w:pPr>
                              <w:pStyle w:val="NoSpacing"/>
                              <w:rPr>
                                <w:highlight w:val="yellow"/>
                              </w:rPr>
                            </w:pPr>
                          </w:p>
                          <w:tbl>
                            <w:tblPr>
                              <w:tblStyle w:val="Tabel-Gitter1"/>
                              <w:tblOverlap w:val="never"/>
                              <w:tblW w:w="0" w:type="auto"/>
                              <w:tblLayout w:type="fixed"/>
                              <w:tblLook w:val="04A0" w:firstRow="1" w:lastRow="0" w:firstColumn="1" w:lastColumn="0" w:noHBand="0" w:noVBand="1"/>
                            </w:tblPr>
                            <w:tblGrid>
                              <w:gridCol w:w="6804"/>
                            </w:tblGrid>
                            <w:tr w:rsidR="00FF3D3E" w14:paraId="31771B45" w14:textId="77777777" w:rsidTr="006118C2">
                              <w:trPr>
                                <w:cnfStyle w:val="100000000000" w:firstRow="1" w:lastRow="0" w:firstColumn="0" w:lastColumn="0" w:oddVBand="0" w:evenVBand="0" w:oddHBand="0" w:evenHBand="0" w:firstRowFirstColumn="0" w:firstRowLastColumn="0" w:lastRowFirstColumn="0" w:lastRowLastColumn="0"/>
                                <w:trHeight w:val="2438"/>
                              </w:trPr>
                              <w:tc>
                                <w:tcPr>
                                  <w:tcW w:w="6804" w:type="dxa"/>
                                  <w:vAlign w:val="bottom"/>
                                  <w:hideMark/>
                                </w:tcPr>
                                <w:p w14:paraId="0285A0BA" w14:textId="0C0378B4" w:rsidR="00FF3D3E" w:rsidRPr="00E06AF2" w:rsidRDefault="0097427B" w:rsidP="00C002A2">
                                  <w:pPr>
                                    <w:pStyle w:val="Documenttitle"/>
                                  </w:pPr>
                                  <w:bookmarkStart w:id="0" w:name="start"/>
                                  <w:r>
                                    <w:t>Transparency in Higher Education Expenditure</w:t>
                                  </w:r>
                                  <w:bookmarkEnd w:id="0"/>
                                </w:p>
                                <w:p w14:paraId="5B73B67E" w14:textId="7CB21642" w:rsidR="00FF3D3E" w:rsidRPr="00E06AF2" w:rsidRDefault="001E02F6" w:rsidP="001E02F6">
                                  <w:pPr>
                                    <w:pStyle w:val="Documentsubtitle"/>
                                    <w:spacing w:before="120" w:line="160" w:lineRule="atLeast"/>
                                    <w:rPr>
                                      <w:sz w:val="24"/>
                                    </w:rPr>
                                  </w:pPr>
                                  <w:r>
                                    <w:rPr>
                                      <w:sz w:val="24"/>
                                    </w:rPr>
                                    <w:t xml:space="preserve">Prepared for the </w:t>
                                  </w:r>
                                  <w:r w:rsidR="00FF3D3E" w:rsidRPr="00E06AF2">
                                    <w:rPr>
                                      <w:sz w:val="24"/>
                                    </w:rPr>
                                    <w:t xml:space="preserve">Australian Government </w:t>
                                  </w:r>
                                  <w:r w:rsidR="00FF3D3E">
                                    <w:rPr>
                                      <w:sz w:val="24"/>
                                    </w:rPr>
                                    <w:t>Department of Education</w:t>
                                  </w:r>
                                  <w:r w:rsidR="00C149EA">
                                    <w:rPr>
                                      <w:sz w:val="24"/>
                                    </w:rPr>
                                    <w:t>, Skills and Employment</w:t>
                                  </w:r>
                                  <w:r w:rsidR="00FF3D3E" w:rsidRPr="00E06AF2">
                                    <w:rPr>
                                      <w:sz w:val="24"/>
                                    </w:rPr>
                                    <w:t xml:space="preserve"> </w:t>
                                  </w:r>
                                </w:p>
                                <w:p w14:paraId="012CDF17" w14:textId="60DB52E5" w:rsidR="00FF3D3E" w:rsidRDefault="0097427B" w:rsidP="00645A8A">
                                  <w:pPr>
                                    <w:pStyle w:val="Documentdate"/>
                                  </w:pPr>
                                  <w:r>
                                    <w:t xml:space="preserve">June </w:t>
                                  </w:r>
                                  <w:r w:rsidR="004C4EF8">
                                    <w:t>2022</w:t>
                                  </w:r>
                                </w:p>
                              </w:tc>
                            </w:tr>
                          </w:tbl>
                          <w:p w14:paraId="415DFC76" w14:textId="77777777" w:rsidR="00FF3D3E" w:rsidRPr="00AA1B91" w:rsidRDefault="00FF3D3E" w:rsidP="00F73B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935F7" id="_x0000_t202" coordsize="21600,21600" o:spt="202" path="m,l,21600r21600,l21600,xe">
                <v:stroke joinstyle="miter"/>
                <v:path gradientshapeok="t" o:connecttype="rect"/>
              </v:shapetype>
              <v:shape id="Logo and frontpagepicture" o:spid="_x0000_s1027" type="#_x0000_t202" style="position:absolute;margin-left:33.75pt;margin-top:33.75pt;width:531.25pt;height:762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FF3D3E" w:rsidRPr="00A05AA5" w14:paraId="0876A383" w14:textId="77777777" w:rsidTr="00C002A2">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16319D92" w14:textId="77777777" w:rsidR="00FF3D3E" w:rsidRPr="00A05AA5" w:rsidRDefault="00FF3D3E" w:rsidP="00C002A2">
                            <w:pPr>
                              <w:rPr>
                                <w:highlight w:val="yellow"/>
                              </w:rPr>
                            </w:pPr>
                            <w:r w:rsidRPr="00E06AF2">
                              <w:rPr>
                                <w:noProof/>
                                <w:lang w:eastAsia="en-AU"/>
                              </w:rPr>
                              <w:drawing>
                                <wp:inline distT="0" distB="0" distL="0" distR="0" wp14:anchorId="60A92015" wp14:editId="6A4B0EBA">
                                  <wp:extent cx="2084070" cy="914400"/>
                                  <wp:effectExtent l="0" t="0" r="0" b="0"/>
                                  <wp:docPr id="2" name="Frontpage_Logo_Positiv">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Frontpage_Logo_Positiv">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FF3D3E" w:rsidRPr="00A05AA5" w14:paraId="1CBDC4C5" w14:textId="77777777" w:rsidTr="00981018">
                        <w:trPr>
                          <w:trHeight w:hRule="exact" w:val="10603"/>
                        </w:trPr>
                        <w:tc>
                          <w:tcPr>
                            <w:tcW w:w="10603" w:type="dxa"/>
                          </w:tcPr>
                          <w:p w14:paraId="4A6B9847" w14:textId="77777777" w:rsidR="00FF3D3E" w:rsidRPr="00A05AA5" w:rsidRDefault="00FF3D3E" w:rsidP="00C002A2">
                            <w:pPr>
                              <w:pStyle w:val="FPPicture"/>
                              <w:rPr>
                                <w:highlight w:val="yellow"/>
                              </w:rPr>
                            </w:pPr>
                            <w:r w:rsidRPr="00425C30">
                              <w:rPr>
                                <w:noProof/>
                                <w:lang w:eastAsia="en-AU"/>
                              </w:rPr>
                              <w:drawing>
                                <wp:inline distT="0" distB="0" distL="0" distR="0" wp14:anchorId="766B3420" wp14:editId="43091F04">
                                  <wp:extent cx="6732905" cy="6732905"/>
                                  <wp:effectExtent l="0" t="0" r="0" b="0"/>
                                  <wp:docPr id="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a:extLst>
                                              <a:ext uri="{C183D7F6-B498-43B3-948B-1728B52AA6E4}">
                                                <adec:decorative xmlns:adec="http://schemas.microsoft.com/office/drawing/2017/decorative" val="1"/>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732905" cy="6732905"/>
                                          </a:xfrm>
                                          <a:prstGeom prst="rect">
                                            <a:avLst/>
                                          </a:prstGeom>
                                        </pic:spPr>
                                      </pic:pic>
                                    </a:graphicData>
                                  </a:graphic>
                                </wp:inline>
                              </w:drawing>
                            </w:r>
                          </w:p>
                        </w:tc>
                      </w:tr>
                    </w:tbl>
                    <w:p w14:paraId="37327F67" w14:textId="77777777" w:rsidR="00FF3D3E" w:rsidRPr="00A05AA5" w:rsidRDefault="00FF3D3E" w:rsidP="00981018">
                      <w:pPr>
                        <w:pStyle w:val="NoSpacing"/>
                        <w:rPr>
                          <w:highlight w:val="yellow"/>
                        </w:rPr>
                      </w:pPr>
                    </w:p>
                    <w:p w14:paraId="274E50FC" w14:textId="77777777" w:rsidR="00FF3D3E" w:rsidRPr="00A05AA5" w:rsidRDefault="00FF3D3E" w:rsidP="00981018">
                      <w:pPr>
                        <w:pStyle w:val="NoSpacing"/>
                        <w:rPr>
                          <w:highlight w:val="yellow"/>
                        </w:rPr>
                      </w:pPr>
                    </w:p>
                    <w:tbl>
                      <w:tblPr>
                        <w:tblStyle w:val="Tabel-Gitter1"/>
                        <w:tblOverlap w:val="never"/>
                        <w:tblW w:w="0" w:type="auto"/>
                        <w:tblLayout w:type="fixed"/>
                        <w:tblLook w:val="04A0" w:firstRow="1" w:lastRow="0" w:firstColumn="1" w:lastColumn="0" w:noHBand="0" w:noVBand="1"/>
                      </w:tblPr>
                      <w:tblGrid>
                        <w:gridCol w:w="6804"/>
                      </w:tblGrid>
                      <w:tr w:rsidR="00FF3D3E" w14:paraId="31771B45" w14:textId="77777777" w:rsidTr="006118C2">
                        <w:trPr>
                          <w:cnfStyle w:val="100000000000" w:firstRow="1" w:lastRow="0" w:firstColumn="0" w:lastColumn="0" w:oddVBand="0" w:evenVBand="0" w:oddHBand="0" w:evenHBand="0" w:firstRowFirstColumn="0" w:firstRowLastColumn="0" w:lastRowFirstColumn="0" w:lastRowLastColumn="0"/>
                          <w:trHeight w:val="2438"/>
                        </w:trPr>
                        <w:tc>
                          <w:tcPr>
                            <w:tcW w:w="6804" w:type="dxa"/>
                            <w:vAlign w:val="bottom"/>
                            <w:hideMark/>
                          </w:tcPr>
                          <w:p w14:paraId="0285A0BA" w14:textId="0C0378B4" w:rsidR="00FF3D3E" w:rsidRPr="00E06AF2" w:rsidRDefault="0097427B" w:rsidP="00C002A2">
                            <w:pPr>
                              <w:pStyle w:val="Documenttitle"/>
                            </w:pPr>
                            <w:bookmarkStart w:id="1" w:name="start"/>
                            <w:r>
                              <w:t>Transparency in Higher Education Expenditure</w:t>
                            </w:r>
                            <w:bookmarkEnd w:id="1"/>
                          </w:p>
                          <w:p w14:paraId="5B73B67E" w14:textId="7CB21642" w:rsidR="00FF3D3E" w:rsidRPr="00E06AF2" w:rsidRDefault="001E02F6" w:rsidP="001E02F6">
                            <w:pPr>
                              <w:pStyle w:val="Documentsubtitle"/>
                              <w:spacing w:before="120" w:line="160" w:lineRule="atLeast"/>
                              <w:rPr>
                                <w:sz w:val="24"/>
                              </w:rPr>
                            </w:pPr>
                            <w:r>
                              <w:rPr>
                                <w:sz w:val="24"/>
                              </w:rPr>
                              <w:t xml:space="preserve">Prepared for the </w:t>
                            </w:r>
                            <w:r w:rsidR="00FF3D3E" w:rsidRPr="00E06AF2">
                              <w:rPr>
                                <w:sz w:val="24"/>
                              </w:rPr>
                              <w:t xml:space="preserve">Australian Government </w:t>
                            </w:r>
                            <w:r w:rsidR="00FF3D3E">
                              <w:rPr>
                                <w:sz w:val="24"/>
                              </w:rPr>
                              <w:t>Department of Education</w:t>
                            </w:r>
                            <w:r w:rsidR="00C149EA">
                              <w:rPr>
                                <w:sz w:val="24"/>
                              </w:rPr>
                              <w:t>, Skills and Employment</w:t>
                            </w:r>
                            <w:r w:rsidR="00FF3D3E" w:rsidRPr="00E06AF2">
                              <w:rPr>
                                <w:sz w:val="24"/>
                              </w:rPr>
                              <w:t xml:space="preserve"> </w:t>
                            </w:r>
                          </w:p>
                          <w:p w14:paraId="012CDF17" w14:textId="60DB52E5" w:rsidR="00FF3D3E" w:rsidRDefault="0097427B" w:rsidP="00645A8A">
                            <w:pPr>
                              <w:pStyle w:val="Documentdate"/>
                            </w:pPr>
                            <w:r>
                              <w:t xml:space="preserve">June </w:t>
                            </w:r>
                            <w:r w:rsidR="004C4EF8">
                              <w:t>2022</w:t>
                            </w:r>
                          </w:p>
                        </w:tc>
                      </w:tr>
                    </w:tbl>
                    <w:p w14:paraId="415DFC76" w14:textId="77777777" w:rsidR="00FF3D3E" w:rsidRPr="00AA1B91" w:rsidRDefault="00FF3D3E" w:rsidP="00F73B6C"/>
                  </w:txbxContent>
                </v:textbox>
                <w10:wrap anchorx="page" anchory="page"/>
                <w10:anchorlock/>
              </v:shape>
            </w:pict>
          </mc:Fallback>
        </mc:AlternateContent>
      </w:r>
      <w:bookmarkStart w:id="2" w:name="BIT_CoverPage"/>
    </w:p>
    <w:p w14:paraId="0BC8C02A" w14:textId="77777777" w:rsidR="001E349B" w:rsidRPr="00BB165A" w:rsidRDefault="001E349B" w:rsidP="001E349B"/>
    <w:bookmarkEnd w:id="2"/>
    <w:p w14:paraId="2F80CBD9" w14:textId="77777777" w:rsidR="001E349B" w:rsidRPr="00BB165A" w:rsidRDefault="001E349B" w:rsidP="00A31EF9"/>
    <w:p w14:paraId="7B190D55" w14:textId="77777777" w:rsidR="001E349B" w:rsidRPr="00BB165A" w:rsidRDefault="00FF08B6" w:rsidP="00A31EF9">
      <w:r w:rsidRPr="00BB165A">
        <w:rPr>
          <w:noProof/>
          <w:lang w:eastAsia="en-AU"/>
        </w:rPr>
        <w:drawing>
          <wp:anchor distT="0" distB="0" distL="114300" distR="114300" simplePos="0" relativeHeight="251658244" behindDoc="0" locked="0" layoutInCell="1" allowOverlap="1" wp14:anchorId="44EB351B" wp14:editId="679A097C">
            <wp:simplePos x="0" y="0"/>
            <wp:positionH relativeFrom="page">
              <wp:posOffset>5148580</wp:posOffset>
            </wp:positionH>
            <wp:positionV relativeFrom="page">
              <wp:posOffset>9571990</wp:posOffset>
            </wp:positionV>
            <wp:extent cx="2004695" cy="528955"/>
            <wp:effectExtent l="0" t="0" r="0" b="0"/>
            <wp:wrapNone/>
            <wp:docPr id="12" name="Frontpage_Logo_Positiv">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Frontpage_Logo_Positiv">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4695" cy="528955"/>
                    </a:xfrm>
                    <a:prstGeom prst="rect">
                      <a:avLst/>
                    </a:prstGeom>
                  </pic:spPr>
                </pic:pic>
              </a:graphicData>
            </a:graphic>
            <wp14:sizeRelH relativeFrom="margin">
              <wp14:pctWidth>0</wp14:pctWidth>
            </wp14:sizeRelH>
            <wp14:sizeRelV relativeFrom="margin">
              <wp14:pctHeight>0</wp14:pctHeight>
            </wp14:sizeRelV>
          </wp:anchor>
        </w:drawing>
      </w:r>
    </w:p>
    <w:p w14:paraId="0B217D5A" w14:textId="77777777" w:rsidR="00D96296" w:rsidRPr="00BB165A" w:rsidRDefault="00D96296" w:rsidP="008C16DC">
      <w:pPr>
        <w:pageBreakBefore/>
        <w:sectPr w:rsidR="00D96296" w:rsidRPr="00BB165A" w:rsidSect="00372238">
          <w:headerReference w:type="even" r:id="rId11"/>
          <w:headerReference w:type="default" r:id="rId12"/>
          <w:footerReference w:type="even" r:id="rId13"/>
          <w:footerReference w:type="default" r:id="rId14"/>
          <w:headerReference w:type="first" r:id="rId15"/>
          <w:footerReference w:type="first" r:id="rId16"/>
          <w:pgSz w:w="11906" w:h="16838" w:code="9"/>
          <w:pgMar w:top="1985" w:right="4281" w:bottom="1134" w:left="680" w:header="680" w:footer="425" w:gutter="0"/>
          <w:cols w:space="284"/>
          <w:docGrid w:linePitch="360"/>
        </w:sectPr>
      </w:pPr>
    </w:p>
    <w:p w14:paraId="1ED2A8C2" w14:textId="77BA428A" w:rsidR="002268CC" w:rsidRPr="00691B65" w:rsidRDefault="00A3438E" w:rsidP="002268CC">
      <w:pPr>
        <w:pStyle w:val="TOCHeading"/>
      </w:pPr>
      <w:bookmarkStart w:id="3" w:name="LAN_ContentsRP"/>
      <w:r w:rsidRPr="00691B65">
        <w:lastRenderedPageBreak/>
        <w:t>C</w:t>
      </w:r>
      <w:r w:rsidR="002268CC" w:rsidRPr="00691B65">
        <w:t>ontents</w:t>
      </w:r>
      <w:bookmarkEnd w:id="3"/>
    </w:p>
    <w:p w14:paraId="69410288" w14:textId="079D4121" w:rsidR="00D76F94" w:rsidRDefault="00BC1C07" w:rsidP="00416131">
      <w:pPr>
        <w:pStyle w:val="TOC1"/>
        <w:tabs>
          <w:tab w:val="clear" w:pos="6917"/>
          <w:tab w:val="right" w:pos="8505"/>
        </w:tabs>
        <w:rPr>
          <w:rFonts w:asciiTheme="minorHAnsi" w:eastAsiaTheme="minorEastAsia" w:hAnsiTheme="minorHAnsi"/>
          <w:noProof/>
          <w:sz w:val="22"/>
          <w:szCs w:val="22"/>
          <w:lang w:eastAsia="en-AU"/>
        </w:rPr>
      </w:pPr>
      <w:r w:rsidRPr="00BB165A">
        <w:fldChar w:fldCharType="begin"/>
      </w:r>
      <w:r w:rsidRPr="00BB165A">
        <w:instrText xml:space="preserve"> TOC \o "1-2" \h \z \u </w:instrText>
      </w:r>
      <w:r w:rsidRPr="00BB165A">
        <w:fldChar w:fldCharType="separate"/>
      </w:r>
      <w:hyperlink w:anchor="_Toc105776171" w:history="1">
        <w:r w:rsidR="00D76F94" w:rsidRPr="00554731">
          <w:rPr>
            <w:rStyle w:val="Hyperlink"/>
            <w:noProof/>
          </w:rPr>
          <w:t>Glossary</w:t>
        </w:r>
        <w:r w:rsidR="00D76F94">
          <w:rPr>
            <w:noProof/>
            <w:webHidden/>
          </w:rPr>
          <w:tab/>
        </w:r>
        <w:r w:rsidR="00D76F94">
          <w:rPr>
            <w:noProof/>
            <w:webHidden/>
          </w:rPr>
          <w:fldChar w:fldCharType="begin"/>
        </w:r>
        <w:r w:rsidR="00D76F94">
          <w:rPr>
            <w:noProof/>
            <w:webHidden/>
          </w:rPr>
          <w:instrText xml:space="preserve"> PAGEREF _Toc105776171 \h </w:instrText>
        </w:r>
        <w:r w:rsidR="00D76F94">
          <w:rPr>
            <w:noProof/>
            <w:webHidden/>
          </w:rPr>
        </w:r>
        <w:r w:rsidR="00D76F94">
          <w:rPr>
            <w:noProof/>
            <w:webHidden/>
          </w:rPr>
          <w:fldChar w:fldCharType="separate"/>
        </w:r>
        <w:r w:rsidR="009B23FC">
          <w:rPr>
            <w:noProof/>
            <w:webHidden/>
          </w:rPr>
          <w:t>iv</w:t>
        </w:r>
        <w:r w:rsidR="00D76F94">
          <w:rPr>
            <w:noProof/>
            <w:webHidden/>
          </w:rPr>
          <w:fldChar w:fldCharType="end"/>
        </w:r>
      </w:hyperlink>
    </w:p>
    <w:p w14:paraId="7E0B1982" w14:textId="23354CFD"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2" w:history="1">
        <w:r w:rsidR="00D76F94" w:rsidRPr="00554731">
          <w:rPr>
            <w:rStyle w:val="Hyperlink"/>
            <w:noProof/>
          </w:rPr>
          <w:t>Field of education abbreviations</w:t>
        </w:r>
        <w:r w:rsidR="00D76F94">
          <w:rPr>
            <w:noProof/>
            <w:webHidden/>
          </w:rPr>
          <w:tab/>
        </w:r>
        <w:r w:rsidR="00D76F94">
          <w:rPr>
            <w:noProof/>
            <w:webHidden/>
          </w:rPr>
          <w:fldChar w:fldCharType="begin"/>
        </w:r>
        <w:r w:rsidR="00D76F94">
          <w:rPr>
            <w:noProof/>
            <w:webHidden/>
          </w:rPr>
          <w:instrText xml:space="preserve"> PAGEREF _Toc105776172 \h </w:instrText>
        </w:r>
        <w:r w:rsidR="00D76F94">
          <w:rPr>
            <w:noProof/>
            <w:webHidden/>
          </w:rPr>
        </w:r>
        <w:r w:rsidR="00D76F94">
          <w:rPr>
            <w:noProof/>
            <w:webHidden/>
          </w:rPr>
          <w:fldChar w:fldCharType="separate"/>
        </w:r>
        <w:r w:rsidR="009B23FC">
          <w:rPr>
            <w:noProof/>
            <w:webHidden/>
          </w:rPr>
          <w:t>v</w:t>
        </w:r>
        <w:r w:rsidR="00D76F94">
          <w:rPr>
            <w:noProof/>
            <w:webHidden/>
          </w:rPr>
          <w:fldChar w:fldCharType="end"/>
        </w:r>
      </w:hyperlink>
    </w:p>
    <w:p w14:paraId="0ADE84F8" w14:textId="3450BF27"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173" w:history="1">
        <w:r w:rsidR="00D76F94" w:rsidRPr="00554731">
          <w:rPr>
            <w:rStyle w:val="Hyperlink"/>
            <w:noProof/>
          </w:rPr>
          <w:t>Executive summary</w:t>
        </w:r>
        <w:r w:rsidR="00D76F94">
          <w:rPr>
            <w:noProof/>
            <w:webHidden/>
          </w:rPr>
          <w:tab/>
        </w:r>
        <w:r w:rsidR="00D76F94">
          <w:rPr>
            <w:noProof/>
            <w:webHidden/>
          </w:rPr>
          <w:fldChar w:fldCharType="begin"/>
        </w:r>
        <w:r w:rsidR="00D76F94">
          <w:rPr>
            <w:noProof/>
            <w:webHidden/>
          </w:rPr>
          <w:instrText xml:space="preserve"> PAGEREF _Toc105776173 \h </w:instrText>
        </w:r>
        <w:r w:rsidR="00D76F94">
          <w:rPr>
            <w:noProof/>
            <w:webHidden/>
          </w:rPr>
        </w:r>
        <w:r w:rsidR="00D76F94">
          <w:rPr>
            <w:noProof/>
            <w:webHidden/>
          </w:rPr>
          <w:fldChar w:fldCharType="separate"/>
        </w:r>
        <w:r w:rsidR="009B23FC">
          <w:rPr>
            <w:noProof/>
            <w:webHidden/>
          </w:rPr>
          <w:t>vi</w:t>
        </w:r>
        <w:r w:rsidR="00D76F94">
          <w:rPr>
            <w:noProof/>
            <w:webHidden/>
          </w:rPr>
          <w:fldChar w:fldCharType="end"/>
        </w:r>
      </w:hyperlink>
    </w:p>
    <w:p w14:paraId="159FD193" w14:textId="65C720C3"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4" w:history="1">
        <w:r w:rsidR="00D76F94" w:rsidRPr="00554731">
          <w:rPr>
            <w:rStyle w:val="Hyperlink"/>
            <w:noProof/>
          </w:rPr>
          <w:t>Approach to the data collection</w:t>
        </w:r>
        <w:r w:rsidR="00D76F94">
          <w:rPr>
            <w:noProof/>
            <w:webHidden/>
          </w:rPr>
          <w:tab/>
        </w:r>
        <w:r w:rsidR="00D76F94">
          <w:rPr>
            <w:noProof/>
            <w:webHidden/>
          </w:rPr>
          <w:fldChar w:fldCharType="begin"/>
        </w:r>
        <w:r w:rsidR="00D76F94">
          <w:rPr>
            <w:noProof/>
            <w:webHidden/>
          </w:rPr>
          <w:instrText xml:space="preserve"> PAGEREF _Toc105776174 \h </w:instrText>
        </w:r>
        <w:r w:rsidR="00D76F94">
          <w:rPr>
            <w:noProof/>
            <w:webHidden/>
          </w:rPr>
        </w:r>
        <w:r w:rsidR="00D76F94">
          <w:rPr>
            <w:noProof/>
            <w:webHidden/>
          </w:rPr>
          <w:fldChar w:fldCharType="separate"/>
        </w:r>
        <w:r w:rsidR="009B23FC">
          <w:rPr>
            <w:noProof/>
            <w:webHidden/>
          </w:rPr>
          <w:t>vii</w:t>
        </w:r>
        <w:r w:rsidR="00D76F94">
          <w:rPr>
            <w:noProof/>
            <w:webHidden/>
          </w:rPr>
          <w:fldChar w:fldCharType="end"/>
        </w:r>
      </w:hyperlink>
    </w:p>
    <w:p w14:paraId="2F379FB6" w14:textId="081E6054"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5" w:history="1">
        <w:r w:rsidR="00D76F94" w:rsidRPr="00554731">
          <w:rPr>
            <w:rStyle w:val="Hyperlink"/>
            <w:noProof/>
          </w:rPr>
          <w:t>The cost of teaching and scholarship in higher education</w:t>
        </w:r>
        <w:r w:rsidR="00D76F94">
          <w:rPr>
            <w:noProof/>
            <w:webHidden/>
          </w:rPr>
          <w:tab/>
        </w:r>
        <w:r w:rsidR="00D76F94">
          <w:rPr>
            <w:noProof/>
            <w:webHidden/>
          </w:rPr>
          <w:fldChar w:fldCharType="begin"/>
        </w:r>
        <w:r w:rsidR="00D76F94">
          <w:rPr>
            <w:noProof/>
            <w:webHidden/>
          </w:rPr>
          <w:instrText xml:space="preserve"> PAGEREF _Toc105776175 \h </w:instrText>
        </w:r>
        <w:r w:rsidR="00D76F94">
          <w:rPr>
            <w:noProof/>
            <w:webHidden/>
          </w:rPr>
        </w:r>
        <w:r w:rsidR="00D76F94">
          <w:rPr>
            <w:noProof/>
            <w:webHidden/>
          </w:rPr>
          <w:fldChar w:fldCharType="separate"/>
        </w:r>
        <w:r w:rsidR="009B23FC">
          <w:rPr>
            <w:noProof/>
            <w:webHidden/>
          </w:rPr>
          <w:t>ix</w:t>
        </w:r>
        <w:r w:rsidR="00D76F94">
          <w:rPr>
            <w:noProof/>
            <w:webHidden/>
          </w:rPr>
          <w:fldChar w:fldCharType="end"/>
        </w:r>
      </w:hyperlink>
    </w:p>
    <w:p w14:paraId="03F6E283" w14:textId="22C371FF"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6" w:history="1">
        <w:r w:rsidR="00D76F94" w:rsidRPr="00554731">
          <w:rPr>
            <w:rStyle w:val="Hyperlink"/>
            <w:noProof/>
          </w:rPr>
          <w:t>How these findings compare to previous studies</w:t>
        </w:r>
        <w:r w:rsidR="00D76F94">
          <w:rPr>
            <w:noProof/>
            <w:webHidden/>
          </w:rPr>
          <w:tab/>
        </w:r>
        <w:r w:rsidR="00D76F94">
          <w:rPr>
            <w:noProof/>
            <w:webHidden/>
          </w:rPr>
          <w:fldChar w:fldCharType="begin"/>
        </w:r>
        <w:r w:rsidR="00D76F94">
          <w:rPr>
            <w:noProof/>
            <w:webHidden/>
          </w:rPr>
          <w:instrText xml:space="preserve"> PAGEREF _Toc105776176 \h </w:instrText>
        </w:r>
        <w:r w:rsidR="00D76F94">
          <w:rPr>
            <w:noProof/>
            <w:webHidden/>
          </w:rPr>
        </w:r>
        <w:r w:rsidR="00D76F94">
          <w:rPr>
            <w:noProof/>
            <w:webHidden/>
          </w:rPr>
          <w:fldChar w:fldCharType="separate"/>
        </w:r>
        <w:r w:rsidR="009B23FC">
          <w:rPr>
            <w:noProof/>
            <w:webHidden/>
          </w:rPr>
          <w:t>xvi</w:t>
        </w:r>
        <w:r w:rsidR="00D76F94">
          <w:rPr>
            <w:noProof/>
            <w:webHidden/>
          </w:rPr>
          <w:fldChar w:fldCharType="end"/>
        </w:r>
      </w:hyperlink>
    </w:p>
    <w:p w14:paraId="315C6374" w14:textId="738B3E68"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7" w:history="1">
        <w:r w:rsidR="00D76F94" w:rsidRPr="00554731">
          <w:rPr>
            <w:rStyle w:val="Hyperlink"/>
            <w:noProof/>
          </w:rPr>
          <w:t>The impact of COVID-19</w:t>
        </w:r>
        <w:r w:rsidR="00D76F94">
          <w:rPr>
            <w:noProof/>
            <w:webHidden/>
          </w:rPr>
          <w:tab/>
        </w:r>
        <w:r w:rsidR="00D76F94">
          <w:rPr>
            <w:noProof/>
            <w:webHidden/>
          </w:rPr>
          <w:fldChar w:fldCharType="begin"/>
        </w:r>
        <w:r w:rsidR="00D76F94">
          <w:rPr>
            <w:noProof/>
            <w:webHidden/>
          </w:rPr>
          <w:instrText xml:space="preserve"> PAGEREF _Toc105776177 \h </w:instrText>
        </w:r>
        <w:r w:rsidR="00D76F94">
          <w:rPr>
            <w:noProof/>
            <w:webHidden/>
          </w:rPr>
        </w:r>
        <w:r w:rsidR="00D76F94">
          <w:rPr>
            <w:noProof/>
            <w:webHidden/>
          </w:rPr>
          <w:fldChar w:fldCharType="separate"/>
        </w:r>
        <w:r w:rsidR="009B23FC">
          <w:rPr>
            <w:noProof/>
            <w:webHidden/>
          </w:rPr>
          <w:t>xviii</w:t>
        </w:r>
        <w:r w:rsidR="00D76F94">
          <w:rPr>
            <w:noProof/>
            <w:webHidden/>
          </w:rPr>
          <w:fldChar w:fldCharType="end"/>
        </w:r>
      </w:hyperlink>
    </w:p>
    <w:p w14:paraId="406024E5" w14:textId="786DB411"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8" w:history="1">
        <w:r w:rsidR="00D76F94" w:rsidRPr="00554731">
          <w:rPr>
            <w:rStyle w:val="Hyperlink"/>
            <w:noProof/>
          </w:rPr>
          <w:t>Costs and funding</w:t>
        </w:r>
        <w:r w:rsidR="00D76F94">
          <w:rPr>
            <w:noProof/>
            <w:webHidden/>
          </w:rPr>
          <w:tab/>
        </w:r>
        <w:r w:rsidR="00D76F94">
          <w:rPr>
            <w:noProof/>
            <w:webHidden/>
          </w:rPr>
          <w:fldChar w:fldCharType="begin"/>
        </w:r>
        <w:r w:rsidR="00D76F94">
          <w:rPr>
            <w:noProof/>
            <w:webHidden/>
          </w:rPr>
          <w:instrText xml:space="preserve"> PAGEREF _Toc105776178 \h </w:instrText>
        </w:r>
        <w:r w:rsidR="00D76F94">
          <w:rPr>
            <w:noProof/>
            <w:webHidden/>
          </w:rPr>
        </w:r>
        <w:r w:rsidR="00D76F94">
          <w:rPr>
            <w:noProof/>
            <w:webHidden/>
          </w:rPr>
          <w:fldChar w:fldCharType="separate"/>
        </w:r>
        <w:r w:rsidR="009B23FC">
          <w:rPr>
            <w:noProof/>
            <w:webHidden/>
          </w:rPr>
          <w:t>xviii</w:t>
        </w:r>
        <w:r w:rsidR="00D76F94">
          <w:rPr>
            <w:noProof/>
            <w:webHidden/>
          </w:rPr>
          <w:fldChar w:fldCharType="end"/>
        </w:r>
      </w:hyperlink>
    </w:p>
    <w:p w14:paraId="4374312B" w14:textId="1824D8AE"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179" w:history="1">
        <w:r w:rsidR="00D76F94" w:rsidRPr="00554731">
          <w:rPr>
            <w:rStyle w:val="Hyperlink"/>
            <w:noProof/>
          </w:rPr>
          <w:t>Concluding remarks</w:t>
        </w:r>
        <w:r w:rsidR="00D76F94">
          <w:rPr>
            <w:noProof/>
            <w:webHidden/>
          </w:rPr>
          <w:tab/>
        </w:r>
        <w:r w:rsidR="00D76F94">
          <w:rPr>
            <w:noProof/>
            <w:webHidden/>
          </w:rPr>
          <w:fldChar w:fldCharType="begin"/>
        </w:r>
        <w:r w:rsidR="00D76F94">
          <w:rPr>
            <w:noProof/>
            <w:webHidden/>
          </w:rPr>
          <w:instrText xml:space="preserve"> PAGEREF _Toc105776179 \h </w:instrText>
        </w:r>
        <w:r w:rsidR="00D76F94">
          <w:rPr>
            <w:noProof/>
            <w:webHidden/>
          </w:rPr>
        </w:r>
        <w:r w:rsidR="00D76F94">
          <w:rPr>
            <w:noProof/>
            <w:webHidden/>
          </w:rPr>
          <w:fldChar w:fldCharType="separate"/>
        </w:r>
        <w:r w:rsidR="009B23FC">
          <w:rPr>
            <w:noProof/>
            <w:webHidden/>
          </w:rPr>
          <w:t>xx</w:t>
        </w:r>
        <w:r w:rsidR="00D76F94">
          <w:rPr>
            <w:noProof/>
            <w:webHidden/>
          </w:rPr>
          <w:fldChar w:fldCharType="end"/>
        </w:r>
      </w:hyperlink>
    </w:p>
    <w:p w14:paraId="5B8F1F81" w14:textId="091DE217"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180" w:history="1">
        <w:r w:rsidR="00D76F94" w:rsidRPr="00554731">
          <w:rPr>
            <w:rStyle w:val="Hyperlink"/>
            <w:noProof/>
          </w:rPr>
          <w:t>1</w:t>
        </w:r>
        <w:r w:rsidR="00D76F94">
          <w:rPr>
            <w:rFonts w:asciiTheme="minorHAnsi" w:eastAsiaTheme="minorEastAsia" w:hAnsiTheme="minorHAnsi"/>
            <w:noProof/>
            <w:sz w:val="22"/>
            <w:szCs w:val="22"/>
            <w:lang w:eastAsia="en-AU"/>
          </w:rPr>
          <w:tab/>
        </w:r>
        <w:r w:rsidR="00D76F94" w:rsidRPr="00554731">
          <w:rPr>
            <w:rStyle w:val="Hyperlink"/>
            <w:noProof/>
          </w:rPr>
          <w:t>Background</w:t>
        </w:r>
        <w:r w:rsidR="00D76F94">
          <w:rPr>
            <w:noProof/>
            <w:webHidden/>
          </w:rPr>
          <w:tab/>
        </w:r>
        <w:r w:rsidR="00D76F94">
          <w:rPr>
            <w:noProof/>
            <w:webHidden/>
          </w:rPr>
          <w:fldChar w:fldCharType="begin"/>
        </w:r>
        <w:r w:rsidR="00D76F94">
          <w:rPr>
            <w:noProof/>
            <w:webHidden/>
          </w:rPr>
          <w:instrText xml:space="preserve"> PAGEREF _Toc105776180 \h </w:instrText>
        </w:r>
        <w:r w:rsidR="00D76F94">
          <w:rPr>
            <w:noProof/>
            <w:webHidden/>
          </w:rPr>
        </w:r>
        <w:r w:rsidR="00D76F94">
          <w:rPr>
            <w:noProof/>
            <w:webHidden/>
          </w:rPr>
          <w:fldChar w:fldCharType="separate"/>
        </w:r>
        <w:r w:rsidR="009B23FC">
          <w:rPr>
            <w:noProof/>
            <w:webHidden/>
          </w:rPr>
          <w:t>21</w:t>
        </w:r>
        <w:r w:rsidR="00D76F94">
          <w:rPr>
            <w:noProof/>
            <w:webHidden/>
          </w:rPr>
          <w:fldChar w:fldCharType="end"/>
        </w:r>
      </w:hyperlink>
    </w:p>
    <w:p w14:paraId="1CB86C63" w14:textId="2A0F949D"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1" w:history="1">
        <w:r w:rsidR="00D76F94" w:rsidRPr="00554731">
          <w:rPr>
            <w:rStyle w:val="Hyperlink"/>
            <w:noProof/>
          </w:rPr>
          <w:t>1.1</w:t>
        </w:r>
        <w:r w:rsidR="00D76F94">
          <w:rPr>
            <w:rFonts w:asciiTheme="minorHAnsi" w:eastAsiaTheme="minorEastAsia" w:hAnsiTheme="minorHAnsi"/>
            <w:noProof/>
            <w:sz w:val="22"/>
            <w:szCs w:val="22"/>
            <w:lang w:eastAsia="en-AU"/>
          </w:rPr>
          <w:tab/>
        </w:r>
        <w:r w:rsidR="00D76F94" w:rsidRPr="00554731">
          <w:rPr>
            <w:rStyle w:val="Hyperlink"/>
            <w:noProof/>
          </w:rPr>
          <w:t>Purpose and objectives</w:t>
        </w:r>
        <w:r w:rsidR="00D76F94">
          <w:rPr>
            <w:noProof/>
            <w:webHidden/>
          </w:rPr>
          <w:tab/>
        </w:r>
        <w:r w:rsidR="00D76F94">
          <w:rPr>
            <w:noProof/>
            <w:webHidden/>
          </w:rPr>
          <w:fldChar w:fldCharType="begin"/>
        </w:r>
        <w:r w:rsidR="00D76F94">
          <w:rPr>
            <w:noProof/>
            <w:webHidden/>
          </w:rPr>
          <w:instrText xml:space="preserve"> PAGEREF _Toc105776181 \h </w:instrText>
        </w:r>
        <w:r w:rsidR="00D76F94">
          <w:rPr>
            <w:noProof/>
            <w:webHidden/>
          </w:rPr>
        </w:r>
        <w:r w:rsidR="00D76F94">
          <w:rPr>
            <w:noProof/>
            <w:webHidden/>
          </w:rPr>
          <w:fldChar w:fldCharType="separate"/>
        </w:r>
        <w:r w:rsidR="009B23FC">
          <w:rPr>
            <w:noProof/>
            <w:webHidden/>
          </w:rPr>
          <w:t>21</w:t>
        </w:r>
        <w:r w:rsidR="00D76F94">
          <w:rPr>
            <w:noProof/>
            <w:webHidden/>
          </w:rPr>
          <w:fldChar w:fldCharType="end"/>
        </w:r>
      </w:hyperlink>
    </w:p>
    <w:p w14:paraId="6A22C13E" w14:textId="50891285"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2" w:history="1">
        <w:r w:rsidR="00D76F94" w:rsidRPr="00554731">
          <w:rPr>
            <w:rStyle w:val="Hyperlink"/>
            <w:noProof/>
          </w:rPr>
          <w:t>1.2</w:t>
        </w:r>
        <w:r w:rsidR="00D76F94">
          <w:rPr>
            <w:rFonts w:asciiTheme="minorHAnsi" w:eastAsiaTheme="minorEastAsia" w:hAnsiTheme="minorHAnsi"/>
            <w:noProof/>
            <w:sz w:val="22"/>
            <w:szCs w:val="22"/>
            <w:lang w:eastAsia="en-AU"/>
          </w:rPr>
          <w:tab/>
        </w:r>
        <w:r w:rsidR="00D76F94" w:rsidRPr="00554731">
          <w:rPr>
            <w:rStyle w:val="Hyperlink"/>
            <w:noProof/>
          </w:rPr>
          <w:t>Changes to the exercise in 2022</w:t>
        </w:r>
        <w:r w:rsidR="00D76F94">
          <w:rPr>
            <w:noProof/>
            <w:webHidden/>
          </w:rPr>
          <w:tab/>
        </w:r>
        <w:r w:rsidR="00D76F94">
          <w:rPr>
            <w:noProof/>
            <w:webHidden/>
          </w:rPr>
          <w:fldChar w:fldCharType="begin"/>
        </w:r>
        <w:r w:rsidR="00D76F94">
          <w:rPr>
            <w:noProof/>
            <w:webHidden/>
          </w:rPr>
          <w:instrText xml:space="preserve"> PAGEREF _Toc105776182 \h </w:instrText>
        </w:r>
        <w:r w:rsidR="00D76F94">
          <w:rPr>
            <w:noProof/>
            <w:webHidden/>
          </w:rPr>
        </w:r>
        <w:r w:rsidR="00D76F94">
          <w:rPr>
            <w:noProof/>
            <w:webHidden/>
          </w:rPr>
          <w:fldChar w:fldCharType="separate"/>
        </w:r>
        <w:r w:rsidR="009B23FC">
          <w:rPr>
            <w:noProof/>
            <w:webHidden/>
          </w:rPr>
          <w:t>22</w:t>
        </w:r>
        <w:r w:rsidR="00D76F94">
          <w:rPr>
            <w:noProof/>
            <w:webHidden/>
          </w:rPr>
          <w:fldChar w:fldCharType="end"/>
        </w:r>
      </w:hyperlink>
    </w:p>
    <w:p w14:paraId="525C58F7" w14:textId="30E4EB13"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3" w:history="1">
        <w:r w:rsidR="00D76F94" w:rsidRPr="00554731">
          <w:rPr>
            <w:rStyle w:val="Hyperlink"/>
            <w:noProof/>
          </w:rPr>
          <w:t>1.3</w:t>
        </w:r>
        <w:r w:rsidR="00D76F94">
          <w:rPr>
            <w:rFonts w:asciiTheme="minorHAnsi" w:eastAsiaTheme="minorEastAsia" w:hAnsiTheme="minorHAnsi"/>
            <w:noProof/>
            <w:sz w:val="22"/>
            <w:szCs w:val="22"/>
            <w:lang w:eastAsia="en-AU"/>
          </w:rPr>
          <w:tab/>
        </w:r>
        <w:r w:rsidR="00D76F94" w:rsidRPr="00554731">
          <w:rPr>
            <w:rStyle w:val="Hyperlink"/>
            <w:noProof/>
          </w:rPr>
          <w:t>University sample</w:t>
        </w:r>
        <w:r w:rsidR="00D76F94">
          <w:rPr>
            <w:noProof/>
            <w:webHidden/>
          </w:rPr>
          <w:tab/>
        </w:r>
        <w:r w:rsidR="00D76F94">
          <w:rPr>
            <w:noProof/>
            <w:webHidden/>
          </w:rPr>
          <w:fldChar w:fldCharType="begin"/>
        </w:r>
        <w:r w:rsidR="00D76F94">
          <w:rPr>
            <w:noProof/>
            <w:webHidden/>
          </w:rPr>
          <w:instrText xml:space="preserve"> PAGEREF _Toc105776183 \h </w:instrText>
        </w:r>
        <w:r w:rsidR="00D76F94">
          <w:rPr>
            <w:noProof/>
            <w:webHidden/>
          </w:rPr>
        </w:r>
        <w:r w:rsidR="00D76F94">
          <w:rPr>
            <w:noProof/>
            <w:webHidden/>
          </w:rPr>
          <w:fldChar w:fldCharType="separate"/>
        </w:r>
        <w:r w:rsidR="009B23FC">
          <w:rPr>
            <w:noProof/>
            <w:webHidden/>
          </w:rPr>
          <w:t>23</w:t>
        </w:r>
        <w:r w:rsidR="00D76F94">
          <w:rPr>
            <w:noProof/>
            <w:webHidden/>
          </w:rPr>
          <w:fldChar w:fldCharType="end"/>
        </w:r>
      </w:hyperlink>
    </w:p>
    <w:p w14:paraId="3BCDD5B8" w14:textId="7B2EBE1A"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4" w:history="1">
        <w:r w:rsidR="00D76F94" w:rsidRPr="00554731">
          <w:rPr>
            <w:rStyle w:val="Hyperlink"/>
            <w:noProof/>
          </w:rPr>
          <w:t>1.4</w:t>
        </w:r>
        <w:r w:rsidR="00D76F94">
          <w:rPr>
            <w:rFonts w:asciiTheme="minorHAnsi" w:eastAsiaTheme="minorEastAsia" w:hAnsiTheme="minorHAnsi"/>
            <w:noProof/>
            <w:sz w:val="22"/>
            <w:szCs w:val="22"/>
            <w:lang w:eastAsia="en-AU"/>
          </w:rPr>
          <w:tab/>
        </w:r>
        <w:r w:rsidR="00D76F94" w:rsidRPr="00554731">
          <w:rPr>
            <w:rStyle w:val="Hyperlink"/>
            <w:noProof/>
          </w:rPr>
          <w:t>Trends in higher education delivery</w:t>
        </w:r>
        <w:r w:rsidR="00D76F94">
          <w:rPr>
            <w:noProof/>
            <w:webHidden/>
          </w:rPr>
          <w:tab/>
        </w:r>
        <w:r w:rsidR="00D76F94">
          <w:rPr>
            <w:noProof/>
            <w:webHidden/>
          </w:rPr>
          <w:fldChar w:fldCharType="begin"/>
        </w:r>
        <w:r w:rsidR="00D76F94">
          <w:rPr>
            <w:noProof/>
            <w:webHidden/>
          </w:rPr>
          <w:instrText xml:space="preserve"> PAGEREF _Toc105776184 \h </w:instrText>
        </w:r>
        <w:r w:rsidR="00D76F94">
          <w:rPr>
            <w:noProof/>
            <w:webHidden/>
          </w:rPr>
        </w:r>
        <w:r w:rsidR="00D76F94">
          <w:rPr>
            <w:noProof/>
            <w:webHidden/>
          </w:rPr>
          <w:fldChar w:fldCharType="separate"/>
        </w:r>
        <w:r w:rsidR="009B23FC">
          <w:rPr>
            <w:noProof/>
            <w:webHidden/>
          </w:rPr>
          <w:t>24</w:t>
        </w:r>
        <w:r w:rsidR="00D76F94">
          <w:rPr>
            <w:noProof/>
            <w:webHidden/>
          </w:rPr>
          <w:fldChar w:fldCharType="end"/>
        </w:r>
      </w:hyperlink>
    </w:p>
    <w:p w14:paraId="628CD373" w14:textId="6DA1F816"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5" w:history="1">
        <w:r w:rsidR="00D76F94" w:rsidRPr="00554731">
          <w:rPr>
            <w:rStyle w:val="Hyperlink"/>
            <w:noProof/>
          </w:rPr>
          <w:t>1.5</w:t>
        </w:r>
        <w:r w:rsidR="00D76F94">
          <w:rPr>
            <w:rFonts w:asciiTheme="minorHAnsi" w:eastAsiaTheme="minorEastAsia" w:hAnsiTheme="minorHAnsi"/>
            <w:noProof/>
            <w:sz w:val="22"/>
            <w:szCs w:val="22"/>
            <w:lang w:eastAsia="en-AU"/>
          </w:rPr>
          <w:tab/>
        </w:r>
        <w:r w:rsidR="00D76F94" w:rsidRPr="00554731">
          <w:rPr>
            <w:rStyle w:val="Hyperlink"/>
            <w:noProof/>
          </w:rPr>
          <w:t>Report structure</w:t>
        </w:r>
        <w:r w:rsidR="00D76F94">
          <w:rPr>
            <w:noProof/>
            <w:webHidden/>
          </w:rPr>
          <w:tab/>
        </w:r>
        <w:r w:rsidR="00D76F94">
          <w:rPr>
            <w:noProof/>
            <w:webHidden/>
          </w:rPr>
          <w:fldChar w:fldCharType="begin"/>
        </w:r>
        <w:r w:rsidR="00D76F94">
          <w:rPr>
            <w:noProof/>
            <w:webHidden/>
          </w:rPr>
          <w:instrText xml:space="preserve"> PAGEREF _Toc105776185 \h </w:instrText>
        </w:r>
        <w:r w:rsidR="00D76F94">
          <w:rPr>
            <w:noProof/>
            <w:webHidden/>
          </w:rPr>
        </w:r>
        <w:r w:rsidR="00D76F94">
          <w:rPr>
            <w:noProof/>
            <w:webHidden/>
          </w:rPr>
          <w:fldChar w:fldCharType="separate"/>
        </w:r>
        <w:r w:rsidR="009B23FC">
          <w:rPr>
            <w:noProof/>
            <w:webHidden/>
          </w:rPr>
          <w:t>30</w:t>
        </w:r>
        <w:r w:rsidR="00D76F94">
          <w:rPr>
            <w:noProof/>
            <w:webHidden/>
          </w:rPr>
          <w:fldChar w:fldCharType="end"/>
        </w:r>
      </w:hyperlink>
    </w:p>
    <w:p w14:paraId="4F98DA4A" w14:textId="0AF34AD8"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186" w:history="1">
        <w:r w:rsidR="00D76F94" w:rsidRPr="00554731">
          <w:rPr>
            <w:rStyle w:val="Hyperlink"/>
            <w:noProof/>
          </w:rPr>
          <w:t>2</w:t>
        </w:r>
        <w:r w:rsidR="00D76F94">
          <w:rPr>
            <w:rFonts w:asciiTheme="minorHAnsi" w:eastAsiaTheme="minorEastAsia" w:hAnsiTheme="minorHAnsi"/>
            <w:noProof/>
            <w:sz w:val="22"/>
            <w:szCs w:val="22"/>
            <w:lang w:eastAsia="en-AU"/>
          </w:rPr>
          <w:tab/>
        </w:r>
        <w:r w:rsidR="00D76F94" w:rsidRPr="00554731">
          <w:rPr>
            <w:rStyle w:val="Hyperlink"/>
            <w:noProof/>
          </w:rPr>
          <w:t>Cost of teaching and scholarship</w:t>
        </w:r>
        <w:r w:rsidR="00D76F94">
          <w:rPr>
            <w:noProof/>
            <w:webHidden/>
          </w:rPr>
          <w:tab/>
        </w:r>
        <w:r w:rsidR="00D76F94">
          <w:rPr>
            <w:noProof/>
            <w:webHidden/>
          </w:rPr>
          <w:fldChar w:fldCharType="begin"/>
        </w:r>
        <w:r w:rsidR="00D76F94">
          <w:rPr>
            <w:noProof/>
            <w:webHidden/>
          </w:rPr>
          <w:instrText xml:space="preserve"> PAGEREF _Toc105776186 \h </w:instrText>
        </w:r>
        <w:r w:rsidR="00D76F94">
          <w:rPr>
            <w:noProof/>
            <w:webHidden/>
          </w:rPr>
        </w:r>
        <w:r w:rsidR="00D76F94">
          <w:rPr>
            <w:noProof/>
            <w:webHidden/>
          </w:rPr>
          <w:fldChar w:fldCharType="separate"/>
        </w:r>
        <w:r w:rsidR="009B23FC">
          <w:rPr>
            <w:noProof/>
            <w:webHidden/>
          </w:rPr>
          <w:t>31</w:t>
        </w:r>
        <w:r w:rsidR="00D76F94">
          <w:rPr>
            <w:noProof/>
            <w:webHidden/>
          </w:rPr>
          <w:fldChar w:fldCharType="end"/>
        </w:r>
      </w:hyperlink>
    </w:p>
    <w:p w14:paraId="35FB17DC" w14:textId="1802597C"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7" w:history="1">
        <w:r w:rsidR="00D76F94" w:rsidRPr="00554731">
          <w:rPr>
            <w:rStyle w:val="Hyperlink"/>
            <w:noProof/>
          </w:rPr>
          <w:t>2.1</w:t>
        </w:r>
        <w:r w:rsidR="00D76F94">
          <w:rPr>
            <w:rFonts w:asciiTheme="minorHAnsi" w:eastAsiaTheme="minorEastAsia" w:hAnsiTheme="minorHAnsi"/>
            <w:noProof/>
            <w:sz w:val="22"/>
            <w:szCs w:val="22"/>
            <w:lang w:eastAsia="en-AU"/>
          </w:rPr>
          <w:tab/>
        </w:r>
        <w:r w:rsidR="00D76F94" w:rsidRPr="00554731">
          <w:rPr>
            <w:rStyle w:val="Hyperlink"/>
            <w:noProof/>
          </w:rPr>
          <w:t>Distribution of types of costs</w:t>
        </w:r>
        <w:r w:rsidR="00D76F94">
          <w:rPr>
            <w:noProof/>
            <w:webHidden/>
          </w:rPr>
          <w:tab/>
        </w:r>
        <w:r w:rsidR="00D76F94">
          <w:rPr>
            <w:noProof/>
            <w:webHidden/>
          </w:rPr>
          <w:fldChar w:fldCharType="begin"/>
        </w:r>
        <w:r w:rsidR="00D76F94">
          <w:rPr>
            <w:noProof/>
            <w:webHidden/>
          </w:rPr>
          <w:instrText xml:space="preserve"> PAGEREF _Toc105776187 \h </w:instrText>
        </w:r>
        <w:r w:rsidR="00D76F94">
          <w:rPr>
            <w:noProof/>
            <w:webHidden/>
          </w:rPr>
        </w:r>
        <w:r w:rsidR="00D76F94">
          <w:rPr>
            <w:noProof/>
            <w:webHidden/>
          </w:rPr>
          <w:fldChar w:fldCharType="separate"/>
        </w:r>
        <w:r w:rsidR="009B23FC">
          <w:rPr>
            <w:noProof/>
            <w:webHidden/>
          </w:rPr>
          <w:t>31</w:t>
        </w:r>
        <w:r w:rsidR="00D76F94">
          <w:rPr>
            <w:noProof/>
            <w:webHidden/>
          </w:rPr>
          <w:fldChar w:fldCharType="end"/>
        </w:r>
      </w:hyperlink>
    </w:p>
    <w:p w14:paraId="7CCF17A1" w14:textId="19169432"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8" w:history="1">
        <w:r w:rsidR="00D76F94" w:rsidRPr="00554731">
          <w:rPr>
            <w:rStyle w:val="Hyperlink"/>
            <w:noProof/>
          </w:rPr>
          <w:t>2.2</w:t>
        </w:r>
        <w:r w:rsidR="00D76F94">
          <w:rPr>
            <w:rFonts w:asciiTheme="minorHAnsi" w:eastAsiaTheme="minorEastAsia" w:hAnsiTheme="minorHAnsi"/>
            <w:noProof/>
            <w:sz w:val="22"/>
            <w:szCs w:val="22"/>
            <w:lang w:eastAsia="en-AU"/>
          </w:rPr>
          <w:tab/>
        </w:r>
        <w:r w:rsidR="00D76F94" w:rsidRPr="00554731">
          <w:rPr>
            <w:rStyle w:val="Hyperlink"/>
            <w:noProof/>
          </w:rPr>
          <w:t>Costs by field and level of education</w:t>
        </w:r>
        <w:r w:rsidR="00D76F94">
          <w:rPr>
            <w:noProof/>
            <w:webHidden/>
          </w:rPr>
          <w:tab/>
        </w:r>
        <w:r w:rsidR="00D76F94">
          <w:rPr>
            <w:noProof/>
            <w:webHidden/>
          </w:rPr>
          <w:fldChar w:fldCharType="begin"/>
        </w:r>
        <w:r w:rsidR="00D76F94">
          <w:rPr>
            <w:noProof/>
            <w:webHidden/>
          </w:rPr>
          <w:instrText xml:space="preserve"> PAGEREF _Toc105776188 \h </w:instrText>
        </w:r>
        <w:r w:rsidR="00D76F94">
          <w:rPr>
            <w:noProof/>
            <w:webHidden/>
          </w:rPr>
        </w:r>
        <w:r w:rsidR="00D76F94">
          <w:rPr>
            <w:noProof/>
            <w:webHidden/>
          </w:rPr>
          <w:fldChar w:fldCharType="separate"/>
        </w:r>
        <w:r w:rsidR="009B23FC">
          <w:rPr>
            <w:noProof/>
            <w:webHidden/>
          </w:rPr>
          <w:t>36</w:t>
        </w:r>
        <w:r w:rsidR="00D76F94">
          <w:rPr>
            <w:noProof/>
            <w:webHidden/>
          </w:rPr>
          <w:fldChar w:fldCharType="end"/>
        </w:r>
      </w:hyperlink>
    </w:p>
    <w:p w14:paraId="2FCA6AFC" w14:textId="3D37C9CC"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89" w:history="1">
        <w:r w:rsidR="00D76F94" w:rsidRPr="00554731">
          <w:rPr>
            <w:rStyle w:val="Hyperlink"/>
            <w:noProof/>
          </w:rPr>
          <w:t>2.3</w:t>
        </w:r>
        <w:r w:rsidR="00D76F94">
          <w:rPr>
            <w:rFonts w:asciiTheme="minorHAnsi" w:eastAsiaTheme="minorEastAsia" w:hAnsiTheme="minorHAnsi"/>
            <w:noProof/>
            <w:sz w:val="22"/>
            <w:szCs w:val="22"/>
            <w:lang w:eastAsia="en-AU"/>
          </w:rPr>
          <w:tab/>
        </w:r>
        <w:r w:rsidR="00D76F94" w:rsidRPr="00554731">
          <w:rPr>
            <w:rStyle w:val="Hyperlink"/>
            <w:noProof/>
          </w:rPr>
          <w:t>Comparing costs to base funding levels</w:t>
        </w:r>
        <w:r w:rsidR="00D76F94">
          <w:rPr>
            <w:noProof/>
            <w:webHidden/>
          </w:rPr>
          <w:tab/>
        </w:r>
        <w:r w:rsidR="00D76F94">
          <w:rPr>
            <w:noProof/>
            <w:webHidden/>
          </w:rPr>
          <w:fldChar w:fldCharType="begin"/>
        </w:r>
        <w:r w:rsidR="00D76F94">
          <w:rPr>
            <w:noProof/>
            <w:webHidden/>
          </w:rPr>
          <w:instrText xml:space="preserve"> PAGEREF _Toc105776189 \h </w:instrText>
        </w:r>
        <w:r w:rsidR="00D76F94">
          <w:rPr>
            <w:noProof/>
            <w:webHidden/>
          </w:rPr>
        </w:r>
        <w:r w:rsidR="00D76F94">
          <w:rPr>
            <w:noProof/>
            <w:webHidden/>
          </w:rPr>
          <w:fldChar w:fldCharType="separate"/>
        </w:r>
        <w:r w:rsidR="009B23FC">
          <w:rPr>
            <w:noProof/>
            <w:webHidden/>
          </w:rPr>
          <w:t>49</w:t>
        </w:r>
        <w:r w:rsidR="00D76F94">
          <w:rPr>
            <w:noProof/>
            <w:webHidden/>
          </w:rPr>
          <w:fldChar w:fldCharType="end"/>
        </w:r>
      </w:hyperlink>
    </w:p>
    <w:p w14:paraId="037703D1" w14:textId="2516146A"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0" w:history="1">
        <w:r w:rsidR="00D76F94" w:rsidRPr="00554731">
          <w:rPr>
            <w:rStyle w:val="Hyperlink"/>
            <w:noProof/>
          </w:rPr>
          <w:t>2.4</w:t>
        </w:r>
        <w:r w:rsidR="00D76F94">
          <w:rPr>
            <w:rFonts w:asciiTheme="minorHAnsi" w:eastAsiaTheme="minorEastAsia" w:hAnsiTheme="minorHAnsi"/>
            <w:noProof/>
            <w:sz w:val="22"/>
            <w:szCs w:val="22"/>
            <w:lang w:eastAsia="en-AU"/>
          </w:rPr>
          <w:tab/>
        </w:r>
        <w:r w:rsidR="00D76F94" w:rsidRPr="00554731">
          <w:rPr>
            <w:rStyle w:val="Hyperlink"/>
            <w:noProof/>
          </w:rPr>
          <w:t>Comparing changes in cost over time</w:t>
        </w:r>
        <w:r w:rsidR="00D76F94">
          <w:rPr>
            <w:noProof/>
            <w:webHidden/>
          </w:rPr>
          <w:tab/>
        </w:r>
        <w:r w:rsidR="00D76F94">
          <w:rPr>
            <w:noProof/>
            <w:webHidden/>
          </w:rPr>
          <w:fldChar w:fldCharType="begin"/>
        </w:r>
        <w:r w:rsidR="00D76F94">
          <w:rPr>
            <w:noProof/>
            <w:webHidden/>
          </w:rPr>
          <w:instrText xml:space="preserve"> PAGEREF _Toc105776190 \h </w:instrText>
        </w:r>
        <w:r w:rsidR="00D76F94">
          <w:rPr>
            <w:noProof/>
            <w:webHidden/>
          </w:rPr>
        </w:r>
        <w:r w:rsidR="00D76F94">
          <w:rPr>
            <w:noProof/>
            <w:webHidden/>
          </w:rPr>
          <w:fldChar w:fldCharType="separate"/>
        </w:r>
        <w:r w:rsidR="009B23FC">
          <w:rPr>
            <w:noProof/>
            <w:webHidden/>
          </w:rPr>
          <w:t>52</w:t>
        </w:r>
        <w:r w:rsidR="00D76F94">
          <w:rPr>
            <w:noProof/>
            <w:webHidden/>
          </w:rPr>
          <w:fldChar w:fldCharType="end"/>
        </w:r>
      </w:hyperlink>
    </w:p>
    <w:p w14:paraId="07DA1A3B" w14:textId="0C504D41"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1" w:history="1">
        <w:r w:rsidR="00D76F94" w:rsidRPr="00554731">
          <w:rPr>
            <w:rStyle w:val="Hyperlink"/>
            <w:noProof/>
          </w:rPr>
          <w:t>2.5</w:t>
        </w:r>
        <w:r w:rsidR="00D76F94">
          <w:rPr>
            <w:rFonts w:asciiTheme="minorHAnsi" w:eastAsiaTheme="minorEastAsia" w:hAnsiTheme="minorHAnsi"/>
            <w:noProof/>
            <w:sz w:val="22"/>
            <w:szCs w:val="22"/>
            <w:lang w:eastAsia="en-AU"/>
          </w:rPr>
          <w:tab/>
        </w:r>
        <w:r w:rsidR="00D76F94" w:rsidRPr="00554731">
          <w:rPr>
            <w:rStyle w:val="Hyperlink"/>
            <w:noProof/>
          </w:rPr>
          <w:t>Examining costs ‘below the line’</w:t>
        </w:r>
        <w:r w:rsidR="00D76F94">
          <w:rPr>
            <w:noProof/>
            <w:webHidden/>
          </w:rPr>
          <w:tab/>
        </w:r>
        <w:r w:rsidR="00D76F94">
          <w:rPr>
            <w:noProof/>
            <w:webHidden/>
          </w:rPr>
          <w:fldChar w:fldCharType="begin"/>
        </w:r>
        <w:r w:rsidR="00D76F94">
          <w:rPr>
            <w:noProof/>
            <w:webHidden/>
          </w:rPr>
          <w:instrText xml:space="preserve"> PAGEREF _Toc105776191 \h </w:instrText>
        </w:r>
        <w:r w:rsidR="00D76F94">
          <w:rPr>
            <w:noProof/>
            <w:webHidden/>
          </w:rPr>
        </w:r>
        <w:r w:rsidR="00D76F94">
          <w:rPr>
            <w:noProof/>
            <w:webHidden/>
          </w:rPr>
          <w:fldChar w:fldCharType="separate"/>
        </w:r>
        <w:r w:rsidR="009B23FC">
          <w:rPr>
            <w:noProof/>
            <w:webHidden/>
          </w:rPr>
          <w:t>63</w:t>
        </w:r>
        <w:r w:rsidR="00D76F94">
          <w:rPr>
            <w:noProof/>
            <w:webHidden/>
          </w:rPr>
          <w:fldChar w:fldCharType="end"/>
        </w:r>
      </w:hyperlink>
    </w:p>
    <w:p w14:paraId="552D10D7" w14:textId="2D758AF1"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2" w:history="1">
        <w:r w:rsidR="00D76F94" w:rsidRPr="00554731">
          <w:rPr>
            <w:rStyle w:val="Hyperlink"/>
            <w:noProof/>
          </w:rPr>
          <w:t>2.6</w:t>
        </w:r>
        <w:r w:rsidR="00D76F94">
          <w:rPr>
            <w:rFonts w:asciiTheme="minorHAnsi" w:eastAsiaTheme="minorEastAsia" w:hAnsiTheme="minorHAnsi"/>
            <w:noProof/>
            <w:sz w:val="22"/>
            <w:szCs w:val="22"/>
            <w:lang w:eastAsia="en-AU"/>
          </w:rPr>
          <w:tab/>
        </w:r>
        <w:r w:rsidR="00D76F94" w:rsidRPr="00554731">
          <w:rPr>
            <w:rStyle w:val="Hyperlink"/>
            <w:noProof/>
          </w:rPr>
          <w:t>Consideration of contextual factors</w:t>
        </w:r>
        <w:r w:rsidR="00D76F94">
          <w:rPr>
            <w:noProof/>
            <w:webHidden/>
          </w:rPr>
          <w:tab/>
        </w:r>
        <w:r w:rsidR="00D76F94">
          <w:rPr>
            <w:noProof/>
            <w:webHidden/>
          </w:rPr>
          <w:fldChar w:fldCharType="begin"/>
        </w:r>
        <w:r w:rsidR="00D76F94">
          <w:rPr>
            <w:noProof/>
            <w:webHidden/>
          </w:rPr>
          <w:instrText xml:space="preserve"> PAGEREF _Toc105776192 \h </w:instrText>
        </w:r>
        <w:r w:rsidR="00D76F94">
          <w:rPr>
            <w:noProof/>
            <w:webHidden/>
          </w:rPr>
        </w:r>
        <w:r w:rsidR="00D76F94">
          <w:rPr>
            <w:noProof/>
            <w:webHidden/>
          </w:rPr>
          <w:fldChar w:fldCharType="separate"/>
        </w:r>
        <w:r w:rsidR="009B23FC">
          <w:rPr>
            <w:noProof/>
            <w:webHidden/>
          </w:rPr>
          <w:t>72</w:t>
        </w:r>
        <w:r w:rsidR="00D76F94">
          <w:rPr>
            <w:noProof/>
            <w:webHidden/>
          </w:rPr>
          <w:fldChar w:fldCharType="end"/>
        </w:r>
      </w:hyperlink>
    </w:p>
    <w:p w14:paraId="3CEBE5EB" w14:textId="5370E689"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193" w:history="1">
        <w:r w:rsidR="00D76F94" w:rsidRPr="00554731">
          <w:rPr>
            <w:rStyle w:val="Hyperlink"/>
            <w:noProof/>
          </w:rPr>
          <w:t>3</w:t>
        </w:r>
        <w:r w:rsidR="00D76F94">
          <w:rPr>
            <w:rFonts w:asciiTheme="minorHAnsi" w:eastAsiaTheme="minorEastAsia" w:hAnsiTheme="minorHAnsi"/>
            <w:noProof/>
            <w:sz w:val="22"/>
            <w:szCs w:val="22"/>
            <w:lang w:eastAsia="en-AU"/>
          </w:rPr>
          <w:tab/>
        </w:r>
        <w:r w:rsidR="00D76F94" w:rsidRPr="00554731">
          <w:rPr>
            <w:rStyle w:val="Hyperlink"/>
            <w:noProof/>
          </w:rPr>
          <w:t>Effects of COVID-19 on teaching and scholarship costs</w:t>
        </w:r>
        <w:r w:rsidR="00D76F94">
          <w:rPr>
            <w:noProof/>
            <w:webHidden/>
          </w:rPr>
          <w:tab/>
        </w:r>
        <w:r w:rsidR="00D76F94">
          <w:rPr>
            <w:noProof/>
            <w:webHidden/>
          </w:rPr>
          <w:fldChar w:fldCharType="begin"/>
        </w:r>
        <w:r w:rsidR="00D76F94">
          <w:rPr>
            <w:noProof/>
            <w:webHidden/>
          </w:rPr>
          <w:instrText xml:space="preserve"> PAGEREF _Toc105776193 \h </w:instrText>
        </w:r>
        <w:r w:rsidR="00D76F94">
          <w:rPr>
            <w:noProof/>
            <w:webHidden/>
          </w:rPr>
        </w:r>
        <w:r w:rsidR="00D76F94">
          <w:rPr>
            <w:noProof/>
            <w:webHidden/>
          </w:rPr>
          <w:fldChar w:fldCharType="separate"/>
        </w:r>
        <w:r w:rsidR="009B23FC">
          <w:rPr>
            <w:noProof/>
            <w:webHidden/>
          </w:rPr>
          <w:t>78</w:t>
        </w:r>
        <w:r w:rsidR="00D76F94">
          <w:rPr>
            <w:noProof/>
            <w:webHidden/>
          </w:rPr>
          <w:fldChar w:fldCharType="end"/>
        </w:r>
      </w:hyperlink>
    </w:p>
    <w:p w14:paraId="40E02BBB" w14:textId="623D58CD"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4" w:history="1">
        <w:r w:rsidR="00D76F94" w:rsidRPr="00554731">
          <w:rPr>
            <w:rStyle w:val="Hyperlink"/>
            <w:noProof/>
          </w:rPr>
          <w:t>3.1</w:t>
        </w:r>
        <w:r w:rsidR="00D76F94">
          <w:rPr>
            <w:rFonts w:asciiTheme="minorHAnsi" w:eastAsiaTheme="minorEastAsia" w:hAnsiTheme="minorHAnsi"/>
            <w:noProof/>
            <w:sz w:val="22"/>
            <w:szCs w:val="22"/>
            <w:lang w:eastAsia="en-AU"/>
          </w:rPr>
          <w:tab/>
        </w:r>
        <w:r w:rsidR="00D76F94" w:rsidRPr="00554731">
          <w:rPr>
            <w:rStyle w:val="Hyperlink"/>
            <w:noProof/>
          </w:rPr>
          <w:t>COVID-19 data</w:t>
        </w:r>
        <w:r w:rsidR="00D76F94">
          <w:rPr>
            <w:noProof/>
            <w:webHidden/>
          </w:rPr>
          <w:tab/>
        </w:r>
        <w:r w:rsidR="00D76F94">
          <w:rPr>
            <w:noProof/>
            <w:webHidden/>
          </w:rPr>
          <w:fldChar w:fldCharType="begin"/>
        </w:r>
        <w:r w:rsidR="00D76F94">
          <w:rPr>
            <w:noProof/>
            <w:webHidden/>
          </w:rPr>
          <w:instrText xml:space="preserve"> PAGEREF _Toc105776194 \h </w:instrText>
        </w:r>
        <w:r w:rsidR="00D76F94">
          <w:rPr>
            <w:noProof/>
            <w:webHidden/>
          </w:rPr>
        </w:r>
        <w:r w:rsidR="00D76F94">
          <w:rPr>
            <w:noProof/>
            <w:webHidden/>
          </w:rPr>
          <w:fldChar w:fldCharType="separate"/>
        </w:r>
        <w:r w:rsidR="009B23FC">
          <w:rPr>
            <w:noProof/>
            <w:webHidden/>
          </w:rPr>
          <w:t>78</w:t>
        </w:r>
        <w:r w:rsidR="00D76F94">
          <w:rPr>
            <w:noProof/>
            <w:webHidden/>
          </w:rPr>
          <w:fldChar w:fldCharType="end"/>
        </w:r>
      </w:hyperlink>
    </w:p>
    <w:p w14:paraId="72FA8A16" w14:textId="6684A91B"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5" w:history="1">
        <w:r w:rsidR="00D76F94" w:rsidRPr="00554731">
          <w:rPr>
            <w:rStyle w:val="Hyperlink"/>
            <w:noProof/>
          </w:rPr>
          <w:t>3.2</w:t>
        </w:r>
        <w:r w:rsidR="00D76F94">
          <w:rPr>
            <w:rFonts w:asciiTheme="minorHAnsi" w:eastAsiaTheme="minorEastAsia" w:hAnsiTheme="minorHAnsi"/>
            <w:noProof/>
            <w:sz w:val="22"/>
            <w:szCs w:val="22"/>
            <w:lang w:eastAsia="en-AU"/>
          </w:rPr>
          <w:tab/>
        </w:r>
        <w:r w:rsidR="00D76F94" w:rsidRPr="00554731">
          <w:rPr>
            <w:rStyle w:val="Hyperlink"/>
            <w:noProof/>
          </w:rPr>
          <w:t>Reflections from universities</w:t>
        </w:r>
        <w:r w:rsidR="00D76F94">
          <w:rPr>
            <w:noProof/>
            <w:webHidden/>
          </w:rPr>
          <w:tab/>
        </w:r>
        <w:r w:rsidR="00D76F94">
          <w:rPr>
            <w:noProof/>
            <w:webHidden/>
          </w:rPr>
          <w:fldChar w:fldCharType="begin"/>
        </w:r>
        <w:r w:rsidR="00D76F94">
          <w:rPr>
            <w:noProof/>
            <w:webHidden/>
          </w:rPr>
          <w:instrText xml:space="preserve"> PAGEREF _Toc105776195 \h </w:instrText>
        </w:r>
        <w:r w:rsidR="00D76F94">
          <w:rPr>
            <w:noProof/>
            <w:webHidden/>
          </w:rPr>
        </w:r>
        <w:r w:rsidR="00D76F94">
          <w:rPr>
            <w:noProof/>
            <w:webHidden/>
          </w:rPr>
          <w:fldChar w:fldCharType="separate"/>
        </w:r>
        <w:r w:rsidR="009B23FC">
          <w:rPr>
            <w:noProof/>
            <w:webHidden/>
          </w:rPr>
          <w:t>82</w:t>
        </w:r>
        <w:r w:rsidR="00D76F94">
          <w:rPr>
            <w:noProof/>
            <w:webHidden/>
          </w:rPr>
          <w:fldChar w:fldCharType="end"/>
        </w:r>
      </w:hyperlink>
    </w:p>
    <w:p w14:paraId="10905014" w14:textId="0A585B96"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6" w:history="1">
        <w:r w:rsidR="00D76F94" w:rsidRPr="00554731">
          <w:rPr>
            <w:rStyle w:val="Hyperlink"/>
            <w:noProof/>
          </w:rPr>
          <w:t>3.3</w:t>
        </w:r>
        <w:r w:rsidR="00D76F94">
          <w:rPr>
            <w:rFonts w:asciiTheme="minorHAnsi" w:eastAsiaTheme="minorEastAsia" w:hAnsiTheme="minorHAnsi"/>
            <w:noProof/>
            <w:sz w:val="22"/>
            <w:szCs w:val="22"/>
            <w:lang w:eastAsia="en-AU"/>
          </w:rPr>
          <w:tab/>
        </w:r>
        <w:r w:rsidR="00D76F94" w:rsidRPr="00554731">
          <w:rPr>
            <w:rStyle w:val="Hyperlink"/>
            <w:noProof/>
          </w:rPr>
          <w:t>Considerations and limitations</w:t>
        </w:r>
        <w:r w:rsidR="00D76F94">
          <w:rPr>
            <w:noProof/>
            <w:webHidden/>
          </w:rPr>
          <w:tab/>
        </w:r>
        <w:r w:rsidR="00D76F94">
          <w:rPr>
            <w:noProof/>
            <w:webHidden/>
          </w:rPr>
          <w:fldChar w:fldCharType="begin"/>
        </w:r>
        <w:r w:rsidR="00D76F94">
          <w:rPr>
            <w:noProof/>
            <w:webHidden/>
          </w:rPr>
          <w:instrText xml:space="preserve"> PAGEREF _Toc105776196 \h </w:instrText>
        </w:r>
        <w:r w:rsidR="00D76F94">
          <w:rPr>
            <w:noProof/>
            <w:webHidden/>
          </w:rPr>
        </w:r>
        <w:r w:rsidR="00D76F94">
          <w:rPr>
            <w:noProof/>
            <w:webHidden/>
          </w:rPr>
          <w:fldChar w:fldCharType="separate"/>
        </w:r>
        <w:r w:rsidR="009B23FC">
          <w:rPr>
            <w:noProof/>
            <w:webHidden/>
          </w:rPr>
          <w:t>84</w:t>
        </w:r>
        <w:r w:rsidR="00D76F94">
          <w:rPr>
            <w:noProof/>
            <w:webHidden/>
          </w:rPr>
          <w:fldChar w:fldCharType="end"/>
        </w:r>
      </w:hyperlink>
    </w:p>
    <w:p w14:paraId="0B5CB9E7" w14:textId="7ABE36BF"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197" w:history="1">
        <w:r w:rsidR="00D76F94" w:rsidRPr="00554731">
          <w:rPr>
            <w:rStyle w:val="Hyperlink"/>
            <w:noProof/>
          </w:rPr>
          <w:t>4</w:t>
        </w:r>
        <w:r w:rsidR="00D76F94">
          <w:rPr>
            <w:rFonts w:asciiTheme="minorHAnsi" w:eastAsiaTheme="minorEastAsia" w:hAnsiTheme="minorHAnsi"/>
            <w:noProof/>
            <w:sz w:val="22"/>
            <w:szCs w:val="22"/>
            <w:lang w:eastAsia="en-AU"/>
          </w:rPr>
          <w:tab/>
        </w:r>
        <w:r w:rsidR="00D76F94" w:rsidRPr="00554731">
          <w:rPr>
            <w:rStyle w:val="Hyperlink"/>
            <w:noProof/>
          </w:rPr>
          <w:t>Discussion and key limitations</w:t>
        </w:r>
        <w:r w:rsidR="00D76F94">
          <w:rPr>
            <w:noProof/>
            <w:webHidden/>
          </w:rPr>
          <w:tab/>
        </w:r>
        <w:r w:rsidR="00D76F94">
          <w:rPr>
            <w:noProof/>
            <w:webHidden/>
          </w:rPr>
          <w:fldChar w:fldCharType="begin"/>
        </w:r>
        <w:r w:rsidR="00D76F94">
          <w:rPr>
            <w:noProof/>
            <w:webHidden/>
          </w:rPr>
          <w:instrText xml:space="preserve"> PAGEREF _Toc105776197 \h </w:instrText>
        </w:r>
        <w:r w:rsidR="00D76F94">
          <w:rPr>
            <w:noProof/>
            <w:webHidden/>
          </w:rPr>
        </w:r>
        <w:r w:rsidR="00D76F94">
          <w:rPr>
            <w:noProof/>
            <w:webHidden/>
          </w:rPr>
          <w:fldChar w:fldCharType="separate"/>
        </w:r>
        <w:r w:rsidR="009B23FC">
          <w:rPr>
            <w:noProof/>
            <w:webHidden/>
          </w:rPr>
          <w:t>85</w:t>
        </w:r>
        <w:r w:rsidR="00D76F94">
          <w:rPr>
            <w:noProof/>
            <w:webHidden/>
          </w:rPr>
          <w:fldChar w:fldCharType="end"/>
        </w:r>
      </w:hyperlink>
    </w:p>
    <w:p w14:paraId="7F5493F4" w14:textId="6E47327F"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8" w:history="1">
        <w:r w:rsidR="00D76F94" w:rsidRPr="00554731">
          <w:rPr>
            <w:rStyle w:val="Hyperlink"/>
            <w:noProof/>
          </w:rPr>
          <w:t>4.1</w:t>
        </w:r>
        <w:r w:rsidR="00D76F94">
          <w:rPr>
            <w:rFonts w:asciiTheme="minorHAnsi" w:eastAsiaTheme="minorEastAsia" w:hAnsiTheme="minorHAnsi"/>
            <w:noProof/>
            <w:sz w:val="22"/>
            <w:szCs w:val="22"/>
            <w:lang w:eastAsia="en-AU"/>
          </w:rPr>
          <w:tab/>
        </w:r>
        <w:r w:rsidR="00D76F94" w:rsidRPr="00554731">
          <w:rPr>
            <w:rStyle w:val="Hyperlink"/>
            <w:noProof/>
          </w:rPr>
          <w:t>Key considerations in interpreting the analysis</w:t>
        </w:r>
        <w:r w:rsidR="00D76F94">
          <w:rPr>
            <w:noProof/>
            <w:webHidden/>
          </w:rPr>
          <w:tab/>
        </w:r>
        <w:r w:rsidR="00D76F94">
          <w:rPr>
            <w:noProof/>
            <w:webHidden/>
          </w:rPr>
          <w:fldChar w:fldCharType="begin"/>
        </w:r>
        <w:r w:rsidR="00D76F94">
          <w:rPr>
            <w:noProof/>
            <w:webHidden/>
          </w:rPr>
          <w:instrText xml:space="preserve"> PAGEREF _Toc105776198 \h </w:instrText>
        </w:r>
        <w:r w:rsidR="00D76F94">
          <w:rPr>
            <w:noProof/>
            <w:webHidden/>
          </w:rPr>
        </w:r>
        <w:r w:rsidR="00D76F94">
          <w:rPr>
            <w:noProof/>
            <w:webHidden/>
          </w:rPr>
          <w:fldChar w:fldCharType="separate"/>
        </w:r>
        <w:r w:rsidR="009B23FC">
          <w:rPr>
            <w:noProof/>
            <w:webHidden/>
          </w:rPr>
          <w:t>85</w:t>
        </w:r>
        <w:r w:rsidR="00D76F94">
          <w:rPr>
            <w:noProof/>
            <w:webHidden/>
          </w:rPr>
          <w:fldChar w:fldCharType="end"/>
        </w:r>
      </w:hyperlink>
    </w:p>
    <w:p w14:paraId="6ABCEAF4" w14:textId="3C692EBE"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199" w:history="1">
        <w:r w:rsidR="00D76F94" w:rsidRPr="00554731">
          <w:rPr>
            <w:rStyle w:val="Hyperlink"/>
            <w:noProof/>
          </w:rPr>
          <w:t>4.2</w:t>
        </w:r>
        <w:r w:rsidR="00D76F94">
          <w:rPr>
            <w:rFonts w:asciiTheme="minorHAnsi" w:eastAsiaTheme="minorEastAsia" w:hAnsiTheme="minorHAnsi"/>
            <w:noProof/>
            <w:sz w:val="22"/>
            <w:szCs w:val="22"/>
            <w:lang w:eastAsia="en-AU"/>
          </w:rPr>
          <w:tab/>
        </w:r>
        <w:r w:rsidR="00D76F94" w:rsidRPr="00554731">
          <w:rPr>
            <w:rStyle w:val="Hyperlink"/>
            <w:noProof/>
          </w:rPr>
          <w:t>Reflections on splitting teaching and research</w:t>
        </w:r>
        <w:r w:rsidR="00D76F94">
          <w:rPr>
            <w:noProof/>
            <w:webHidden/>
          </w:rPr>
          <w:tab/>
        </w:r>
        <w:r w:rsidR="00D76F94">
          <w:rPr>
            <w:noProof/>
            <w:webHidden/>
          </w:rPr>
          <w:fldChar w:fldCharType="begin"/>
        </w:r>
        <w:r w:rsidR="00D76F94">
          <w:rPr>
            <w:noProof/>
            <w:webHidden/>
          </w:rPr>
          <w:instrText xml:space="preserve"> PAGEREF _Toc105776199 \h </w:instrText>
        </w:r>
        <w:r w:rsidR="00D76F94">
          <w:rPr>
            <w:noProof/>
            <w:webHidden/>
          </w:rPr>
        </w:r>
        <w:r w:rsidR="00D76F94">
          <w:rPr>
            <w:noProof/>
            <w:webHidden/>
          </w:rPr>
          <w:fldChar w:fldCharType="separate"/>
        </w:r>
        <w:r w:rsidR="009B23FC">
          <w:rPr>
            <w:noProof/>
            <w:webHidden/>
          </w:rPr>
          <w:t>87</w:t>
        </w:r>
        <w:r w:rsidR="00D76F94">
          <w:rPr>
            <w:noProof/>
            <w:webHidden/>
          </w:rPr>
          <w:fldChar w:fldCharType="end"/>
        </w:r>
      </w:hyperlink>
    </w:p>
    <w:p w14:paraId="6C8E8175" w14:textId="2A330B90"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200" w:history="1">
        <w:r w:rsidR="00D76F94" w:rsidRPr="00554731">
          <w:rPr>
            <w:rStyle w:val="Hyperlink"/>
            <w:noProof/>
          </w:rPr>
          <w:t>4.3</w:t>
        </w:r>
        <w:r w:rsidR="00D76F94">
          <w:rPr>
            <w:rFonts w:asciiTheme="minorHAnsi" w:eastAsiaTheme="minorEastAsia" w:hAnsiTheme="minorHAnsi"/>
            <w:noProof/>
            <w:sz w:val="22"/>
            <w:szCs w:val="22"/>
            <w:lang w:eastAsia="en-AU"/>
          </w:rPr>
          <w:tab/>
        </w:r>
        <w:r w:rsidR="00D76F94" w:rsidRPr="00554731">
          <w:rPr>
            <w:rStyle w:val="Hyperlink"/>
            <w:noProof/>
          </w:rPr>
          <w:t>Treatment and accounting for capital costs</w:t>
        </w:r>
        <w:r w:rsidR="00D76F94">
          <w:rPr>
            <w:noProof/>
            <w:webHidden/>
          </w:rPr>
          <w:tab/>
        </w:r>
        <w:r w:rsidR="00D76F94">
          <w:rPr>
            <w:noProof/>
            <w:webHidden/>
          </w:rPr>
          <w:fldChar w:fldCharType="begin"/>
        </w:r>
        <w:r w:rsidR="00D76F94">
          <w:rPr>
            <w:noProof/>
            <w:webHidden/>
          </w:rPr>
          <w:instrText xml:space="preserve"> PAGEREF _Toc105776200 \h </w:instrText>
        </w:r>
        <w:r w:rsidR="00D76F94">
          <w:rPr>
            <w:noProof/>
            <w:webHidden/>
          </w:rPr>
        </w:r>
        <w:r w:rsidR="00D76F94">
          <w:rPr>
            <w:noProof/>
            <w:webHidden/>
          </w:rPr>
          <w:fldChar w:fldCharType="separate"/>
        </w:r>
        <w:r w:rsidR="009B23FC">
          <w:rPr>
            <w:noProof/>
            <w:webHidden/>
          </w:rPr>
          <w:t>87</w:t>
        </w:r>
        <w:r w:rsidR="00D76F94">
          <w:rPr>
            <w:noProof/>
            <w:webHidden/>
          </w:rPr>
          <w:fldChar w:fldCharType="end"/>
        </w:r>
      </w:hyperlink>
    </w:p>
    <w:p w14:paraId="32095825" w14:textId="034F534E"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201" w:history="1">
        <w:r w:rsidR="00D76F94" w:rsidRPr="00554731">
          <w:rPr>
            <w:rStyle w:val="Hyperlink"/>
            <w:noProof/>
          </w:rPr>
          <w:t>4.4</w:t>
        </w:r>
        <w:r w:rsidR="00D76F94">
          <w:rPr>
            <w:rFonts w:asciiTheme="minorHAnsi" w:eastAsiaTheme="minorEastAsia" w:hAnsiTheme="minorHAnsi"/>
            <w:noProof/>
            <w:sz w:val="22"/>
            <w:szCs w:val="22"/>
            <w:lang w:eastAsia="en-AU"/>
          </w:rPr>
          <w:tab/>
        </w:r>
        <w:r w:rsidR="00D76F94" w:rsidRPr="00554731">
          <w:rPr>
            <w:rStyle w:val="Hyperlink"/>
            <w:noProof/>
          </w:rPr>
          <w:t>The ability to allocate costs to a unit of study level</w:t>
        </w:r>
        <w:r w:rsidR="00D76F94">
          <w:rPr>
            <w:noProof/>
            <w:webHidden/>
          </w:rPr>
          <w:tab/>
        </w:r>
        <w:r w:rsidR="00D76F94">
          <w:rPr>
            <w:noProof/>
            <w:webHidden/>
          </w:rPr>
          <w:fldChar w:fldCharType="begin"/>
        </w:r>
        <w:r w:rsidR="00D76F94">
          <w:rPr>
            <w:noProof/>
            <w:webHidden/>
          </w:rPr>
          <w:instrText xml:space="preserve"> PAGEREF _Toc105776201 \h </w:instrText>
        </w:r>
        <w:r w:rsidR="00D76F94">
          <w:rPr>
            <w:noProof/>
            <w:webHidden/>
          </w:rPr>
        </w:r>
        <w:r w:rsidR="00D76F94">
          <w:rPr>
            <w:noProof/>
            <w:webHidden/>
          </w:rPr>
          <w:fldChar w:fldCharType="separate"/>
        </w:r>
        <w:r w:rsidR="009B23FC">
          <w:rPr>
            <w:noProof/>
            <w:webHidden/>
          </w:rPr>
          <w:t>90</w:t>
        </w:r>
        <w:r w:rsidR="00D76F94">
          <w:rPr>
            <w:noProof/>
            <w:webHidden/>
          </w:rPr>
          <w:fldChar w:fldCharType="end"/>
        </w:r>
      </w:hyperlink>
    </w:p>
    <w:p w14:paraId="2B8759FC" w14:textId="153B8F76"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202" w:history="1">
        <w:r w:rsidR="00D76F94" w:rsidRPr="00554731">
          <w:rPr>
            <w:rStyle w:val="Hyperlink"/>
            <w:noProof/>
          </w:rPr>
          <w:t>4.5</w:t>
        </w:r>
        <w:r w:rsidR="00D76F94">
          <w:rPr>
            <w:rFonts w:asciiTheme="minorHAnsi" w:eastAsiaTheme="minorEastAsia" w:hAnsiTheme="minorHAnsi"/>
            <w:noProof/>
            <w:sz w:val="22"/>
            <w:szCs w:val="22"/>
            <w:lang w:eastAsia="en-AU"/>
          </w:rPr>
          <w:tab/>
        </w:r>
        <w:r w:rsidR="00D76F94" w:rsidRPr="00554731">
          <w:rPr>
            <w:rStyle w:val="Hyperlink"/>
            <w:noProof/>
          </w:rPr>
          <w:t>Other reflections from universities</w:t>
        </w:r>
        <w:r w:rsidR="00D76F94">
          <w:rPr>
            <w:noProof/>
            <w:webHidden/>
          </w:rPr>
          <w:tab/>
        </w:r>
        <w:r w:rsidR="00D76F94">
          <w:rPr>
            <w:noProof/>
            <w:webHidden/>
          </w:rPr>
          <w:fldChar w:fldCharType="begin"/>
        </w:r>
        <w:r w:rsidR="00D76F94">
          <w:rPr>
            <w:noProof/>
            <w:webHidden/>
          </w:rPr>
          <w:instrText xml:space="preserve"> PAGEREF _Toc105776202 \h </w:instrText>
        </w:r>
        <w:r w:rsidR="00D76F94">
          <w:rPr>
            <w:noProof/>
            <w:webHidden/>
          </w:rPr>
        </w:r>
        <w:r w:rsidR="00D76F94">
          <w:rPr>
            <w:noProof/>
            <w:webHidden/>
          </w:rPr>
          <w:fldChar w:fldCharType="separate"/>
        </w:r>
        <w:r w:rsidR="009B23FC">
          <w:rPr>
            <w:noProof/>
            <w:webHidden/>
          </w:rPr>
          <w:t>94</w:t>
        </w:r>
        <w:r w:rsidR="00D76F94">
          <w:rPr>
            <w:noProof/>
            <w:webHidden/>
          </w:rPr>
          <w:fldChar w:fldCharType="end"/>
        </w:r>
      </w:hyperlink>
    </w:p>
    <w:p w14:paraId="0293EA86" w14:textId="28FB5738" w:rsidR="00D76F94" w:rsidRDefault="00F05F8E" w:rsidP="00416131">
      <w:pPr>
        <w:pStyle w:val="TOC2"/>
        <w:tabs>
          <w:tab w:val="clear" w:pos="6917"/>
          <w:tab w:val="left" w:pos="1134"/>
          <w:tab w:val="right" w:pos="8505"/>
        </w:tabs>
        <w:rPr>
          <w:rFonts w:asciiTheme="minorHAnsi" w:eastAsiaTheme="minorEastAsia" w:hAnsiTheme="minorHAnsi"/>
          <w:noProof/>
          <w:sz w:val="22"/>
          <w:szCs w:val="22"/>
          <w:lang w:eastAsia="en-AU"/>
        </w:rPr>
      </w:pPr>
      <w:hyperlink w:anchor="_Toc105776203" w:history="1">
        <w:r w:rsidR="00D76F94" w:rsidRPr="00554731">
          <w:rPr>
            <w:rStyle w:val="Hyperlink"/>
            <w:noProof/>
          </w:rPr>
          <w:t>4.6</w:t>
        </w:r>
        <w:r w:rsidR="00D76F94">
          <w:rPr>
            <w:rFonts w:asciiTheme="minorHAnsi" w:eastAsiaTheme="minorEastAsia" w:hAnsiTheme="minorHAnsi"/>
            <w:noProof/>
            <w:sz w:val="22"/>
            <w:szCs w:val="22"/>
            <w:lang w:eastAsia="en-AU"/>
          </w:rPr>
          <w:tab/>
        </w:r>
        <w:r w:rsidR="00D76F94" w:rsidRPr="00554731">
          <w:rPr>
            <w:rStyle w:val="Hyperlink"/>
            <w:noProof/>
          </w:rPr>
          <w:t>Potential areas for improvement in subsequent analysis</w:t>
        </w:r>
        <w:r w:rsidR="00D76F94">
          <w:rPr>
            <w:noProof/>
            <w:webHidden/>
          </w:rPr>
          <w:tab/>
        </w:r>
        <w:r w:rsidR="00D76F94">
          <w:rPr>
            <w:noProof/>
            <w:webHidden/>
          </w:rPr>
          <w:fldChar w:fldCharType="begin"/>
        </w:r>
        <w:r w:rsidR="00D76F94">
          <w:rPr>
            <w:noProof/>
            <w:webHidden/>
          </w:rPr>
          <w:instrText xml:space="preserve"> PAGEREF _Toc105776203 \h </w:instrText>
        </w:r>
        <w:r w:rsidR="00D76F94">
          <w:rPr>
            <w:noProof/>
            <w:webHidden/>
          </w:rPr>
        </w:r>
        <w:r w:rsidR="00D76F94">
          <w:rPr>
            <w:noProof/>
            <w:webHidden/>
          </w:rPr>
          <w:fldChar w:fldCharType="separate"/>
        </w:r>
        <w:r w:rsidR="009B23FC">
          <w:rPr>
            <w:noProof/>
            <w:webHidden/>
          </w:rPr>
          <w:t>97</w:t>
        </w:r>
        <w:r w:rsidR="00D76F94">
          <w:rPr>
            <w:noProof/>
            <w:webHidden/>
          </w:rPr>
          <w:fldChar w:fldCharType="end"/>
        </w:r>
      </w:hyperlink>
    </w:p>
    <w:p w14:paraId="7F98BF36" w14:textId="4D4DD669"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204" w:history="1">
        <w:r w:rsidR="00D76F94" w:rsidRPr="00554731">
          <w:rPr>
            <w:rStyle w:val="Hyperlink"/>
            <w:noProof/>
          </w:rPr>
          <w:t>Appendix A: Transparent Costing Worksheet</w:t>
        </w:r>
        <w:r w:rsidR="00D76F94">
          <w:rPr>
            <w:noProof/>
            <w:webHidden/>
          </w:rPr>
          <w:tab/>
        </w:r>
        <w:r w:rsidR="00D76F94">
          <w:rPr>
            <w:noProof/>
            <w:webHidden/>
          </w:rPr>
          <w:fldChar w:fldCharType="begin"/>
        </w:r>
        <w:r w:rsidR="00D76F94">
          <w:rPr>
            <w:noProof/>
            <w:webHidden/>
          </w:rPr>
          <w:instrText xml:space="preserve"> PAGEREF _Toc105776204 \h </w:instrText>
        </w:r>
        <w:r w:rsidR="00D76F94">
          <w:rPr>
            <w:noProof/>
            <w:webHidden/>
          </w:rPr>
        </w:r>
        <w:r w:rsidR="00D76F94">
          <w:rPr>
            <w:noProof/>
            <w:webHidden/>
          </w:rPr>
          <w:fldChar w:fldCharType="separate"/>
        </w:r>
        <w:r w:rsidR="009B23FC">
          <w:rPr>
            <w:noProof/>
            <w:webHidden/>
          </w:rPr>
          <w:t>98</w:t>
        </w:r>
        <w:r w:rsidR="00D76F94">
          <w:rPr>
            <w:noProof/>
            <w:webHidden/>
          </w:rPr>
          <w:fldChar w:fldCharType="end"/>
        </w:r>
      </w:hyperlink>
    </w:p>
    <w:p w14:paraId="21EC8517" w14:textId="3E275688"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205" w:history="1">
        <w:r w:rsidR="00D76F94" w:rsidRPr="00554731">
          <w:rPr>
            <w:rStyle w:val="Hyperlink"/>
            <w:noProof/>
          </w:rPr>
          <w:t>Appendix B: Data collection Guidelines</w:t>
        </w:r>
        <w:r w:rsidR="00D76F94">
          <w:rPr>
            <w:noProof/>
            <w:webHidden/>
          </w:rPr>
          <w:tab/>
        </w:r>
        <w:r w:rsidR="00D76F94">
          <w:rPr>
            <w:noProof/>
            <w:webHidden/>
          </w:rPr>
          <w:fldChar w:fldCharType="begin"/>
        </w:r>
        <w:r w:rsidR="00D76F94">
          <w:rPr>
            <w:noProof/>
            <w:webHidden/>
          </w:rPr>
          <w:instrText xml:space="preserve"> PAGEREF _Toc105776205 \h </w:instrText>
        </w:r>
        <w:r w:rsidR="00D76F94">
          <w:rPr>
            <w:noProof/>
            <w:webHidden/>
          </w:rPr>
        </w:r>
        <w:r w:rsidR="00D76F94">
          <w:rPr>
            <w:noProof/>
            <w:webHidden/>
          </w:rPr>
          <w:fldChar w:fldCharType="separate"/>
        </w:r>
        <w:r w:rsidR="009B23FC">
          <w:rPr>
            <w:noProof/>
            <w:webHidden/>
          </w:rPr>
          <w:t>101</w:t>
        </w:r>
        <w:r w:rsidR="00D76F94">
          <w:rPr>
            <w:noProof/>
            <w:webHidden/>
          </w:rPr>
          <w:fldChar w:fldCharType="end"/>
        </w:r>
      </w:hyperlink>
    </w:p>
    <w:p w14:paraId="09BA8153" w14:textId="062F77D3"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206" w:history="1">
        <w:r w:rsidR="00D76F94" w:rsidRPr="00554731">
          <w:rPr>
            <w:rStyle w:val="Hyperlink"/>
            <w:noProof/>
          </w:rPr>
          <w:t>Appendix C: Comparison to 2017 data</w:t>
        </w:r>
        <w:r w:rsidR="00D76F94">
          <w:rPr>
            <w:noProof/>
            <w:webHidden/>
          </w:rPr>
          <w:tab/>
        </w:r>
        <w:r w:rsidR="00D76F94">
          <w:rPr>
            <w:noProof/>
            <w:webHidden/>
          </w:rPr>
          <w:fldChar w:fldCharType="begin"/>
        </w:r>
        <w:r w:rsidR="00D76F94">
          <w:rPr>
            <w:noProof/>
            <w:webHidden/>
          </w:rPr>
          <w:instrText xml:space="preserve"> PAGEREF _Toc105776206 \h </w:instrText>
        </w:r>
        <w:r w:rsidR="00D76F94">
          <w:rPr>
            <w:noProof/>
            <w:webHidden/>
          </w:rPr>
        </w:r>
        <w:r w:rsidR="00D76F94">
          <w:rPr>
            <w:noProof/>
            <w:webHidden/>
          </w:rPr>
          <w:fldChar w:fldCharType="separate"/>
        </w:r>
        <w:r w:rsidR="009B23FC">
          <w:rPr>
            <w:noProof/>
            <w:webHidden/>
          </w:rPr>
          <w:t>118</w:t>
        </w:r>
        <w:r w:rsidR="00D76F94">
          <w:rPr>
            <w:noProof/>
            <w:webHidden/>
          </w:rPr>
          <w:fldChar w:fldCharType="end"/>
        </w:r>
      </w:hyperlink>
    </w:p>
    <w:p w14:paraId="530008F2" w14:textId="66149A04"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207" w:history="1">
        <w:r w:rsidR="00D76F94" w:rsidRPr="00554731">
          <w:rPr>
            <w:rStyle w:val="Hyperlink"/>
            <w:noProof/>
          </w:rPr>
          <w:t>Appendix D: Comparison to 2015 data</w:t>
        </w:r>
        <w:r w:rsidR="00D76F94">
          <w:rPr>
            <w:noProof/>
            <w:webHidden/>
          </w:rPr>
          <w:tab/>
        </w:r>
        <w:r w:rsidR="00D76F94">
          <w:rPr>
            <w:noProof/>
            <w:webHidden/>
          </w:rPr>
          <w:fldChar w:fldCharType="begin"/>
        </w:r>
        <w:r w:rsidR="00D76F94">
          <w:rPr>
            <w:noProof/>
            <w:webHidden/>
          </w:rPr>
          <w:instrText xml:space="preserve"> PAGEREF _Toc105776207 \h </w:instrText>
        </w:r>
        <w:r w:rsidR="00D76F94">
          <w:rPr>
            <w:noProof/>
            <w:webHidden/>
          </w:rPr>
        </w:r>
        <w:r w:rsidR="00D76F94">
          <w:rPr>
            <w:noProof/>
            <w:webHidden/>
          </w:rPr>
          <w:fldChar w:fldCharType="separate"/>
        </w:r>
        <w:r w:rsidR="009B23FC">
          <w:rPr>
            <w:noProof/>
            <w:webHidden/>
          </w:rPr>
          <w:t>123</w:t>
        </w:r>
        <w:r w:rsidR="00D76F94">
          <w:rPr>
            <w:noProof/>
            <w:webHidden/>
          </w:rPr>
          <w:fldChar w:fldCharType="end"/>
        </w:r>
      </w:hyperlink>
    </w:p>
    <w:p w14:paraId="436403CE" w14:textId="3F65666B" w:rsidR="00D76F94" w:rsidRDefault="00F05F8E" w:rsidP="00416131">
      <w:pPr>
        <w:pStyle w:val="TOC1"/>
        <w:tabs>
          <w:tab w:val="clear" w:pos="6917"/>
          <w:tab w:val="right" w:pos="8505"/>
        </w:tabs>
        <w:rPr>
          <w:rFonts w:asciiTheme="minorHAnsi" w:eastAsiaTheme="minorEastAsia" w:hAnsiTheme="minorHAnsi"/>
          <w:noProof/>
          <w:sz w:val="22"/>
          <w:szCs w:val="22"/>
          <w:lang w:eastAsia="en-AU"/>
        </w:rPr>
      </w:pPr>
      <w:hyperlink w:anchor="_Toc105776208" w:history="1">
        <w:r w:rsidR="00D76F94" w:rsidRPr="00554731">
          <w:rPr>
            <w:rStyle w:val="Hyperlink"/>
            <w:noProof/>
          </w:rPr>
          <w:t>Limitation of our work</w:t>
        </w:r>
        <w:r w:rsidR="00D76F94">
          <w:rPr>
            <w:noProof/>
            <w:webHidden/>
          </w:rPr>
          <w:tab/>
        </w:r>
        <w:r w:rsidR="00D76F94">
          <w:rPr>
            <w:noProof/>
            <w:webHidden/>
          </w:rPr>
          <w:fldChar w:fldCharType="begin"/>
        </w:r>
        <w:r w:rsidR="00D76F94">
          <w:rPr>
            <w:noProof/>
            <w:webHidden/>
          </w:rPr>
          <w:instrText xml:space="preserve"> PAGEREF _Toc105776208 \h </w:instrText>
        </w:r>
        <w:r w:rsidR="00D76F94">
          <w:rPr>
            <w:noProof/>
            <w:webHidden/>
          </w:rPr>
        </w:r>
        <w:r w:rsidR="00D76F94">
          <w:rPr>
            <w:noProof/>
            <w:webHidden/>
          </w:rPr>
          <w:fldChar w:fldCharType="separate"/>
        </w:r>
        <w:r w:rsidR="009B23FC">
          <w:rPr>
            <w:noProof/>
            <w:webHidden/>
          </w:rPr>
          <w:t>128</w:t>
        </w:r>
        <w:r w:rsidR="00D76F94">
          <w:rPr>
            <w:noProof/>
            <w:webHidden/>
          </w:rPr>
          <w:fldChar w:fldCharType="end"/>
        </w:r>
      </w:hyperlink>
    </w:p>
    <w:p w14:paraId="6EF2D225" w14:textId="3016DDFB" w:rsidR="00D76F94" w:rsidRDefault="00F05F8E" w:rsidP="00416131">
      <w:pPr>
        <w:pStyle w:val="TOC2"/>
        <w:tabs>
          <w:tab w:val="clear" w:pos="6917"/>
          <w:tab w:val="right" w:pos="8505"/>
        </w:tabs>
        <w:rPr>
          <w:rFonts w:asciiTheme="minorHAnsi" w:eastAsiaTheme="minorEastAsia" w:hAnsiTheme="minorHAnsi"/>
          <w:noProof/>
          <w:sz w:val="22"/>
          <w:szCs w:val="22"/>
          <w:lang w:eastAsia="en-AU"/>
        </w:rPr>
      </w:pPr>
      <w:hyperlink w:anchor="_Toc105776209" w:history="1">
        <w:r w:rsidR="00D76F94" w:rsidRPr="00554731">
          <w:rPr>
            <w:rStyle w:val="Hyperlink"/>
            <w:noProof/>
          </w:rPr>
          <w:t>General use restriction</w:t>
        </w:r>
        <w:r w:rsidR="00D76F94">
          <w:rPr>
            <w:noProof/>
            <w:webHidden/>
          </w:rPr>
          <w:tab/>
        </w:r>
        <w:r w:rsidR="00D76F94">
          <w:rPr>
            <w:noProof/>
            <w:webHidden/>
          </w:rPr>
          <w:fldChar w:fldCharType="begin"/>
        </w:r>
        <w:r w:rsidR="00D76F94">
          <w:rPr>
            <w:noProof/>
            <w:webHidden/>
          </w:rPr>
          <w:instrText xml:space="preserve"> PAGEREF _Toc105776209 \h </w:instrText>
        </w:r>
        <w:r w:rsidR="00D76F94">
          <w:rPr>
            <w:noProof/>
            <w:webHidden/>
          </w:rPr>
        </w:r>
        <w:r w:rsidR="00D76F94">
          <w:rPr>
            <w:noProof/>
            <w:webHidden/>
          </w:rPr>
          <w:fldChar w:fldCharType="separate"/>
        </w:r>
        <w:r w:rsidR="009B23FC">
          <w:rPr>
            <w:noProof/>
            <w:webHidden/>
          </w:rPr>
          <w:t>128</w:t>
        </w:r>
        <w:r w:rsidR="00D76F94">
          <w:rPr>
            <w:noProof/>
            <w:webHidden/>
          </w:rPr>
          <w:fldChar w:fldCharType="end"/>
        </w:r>
      </w:hyperlink>
    </w:p>
    <w:p w14:paraId="22596927" w14:textId="299A9D4B" w:rsidR="00315C25" w:rsidRPr="00691B65" w:rsidRDefault="00BC1C07">
      <w:pPr>
        <w:tabs>
          <w:tab w:val="right" w:pos="7797"/>
          <w:tab w:val="right" w:pos="8505"/>
        </w:tabs>
      </w:pPr>
      <w:r w:rsidRPr="00BB165A">
        <w:fldChar w:fldCharType="end"/>
      </w:r>
    </w:p>
    <w:p w14:paraId="5B23CBB1" w14:textId="77777777" w:rsidR="0080001F" w:rsidRPr="00691B65" w:rsidRDefault="0080001F" w:rsidP="002268CC"/>
    <w:p w14:paraId="074A2CEE" w14:textId="77777777" w:rsidR="00A6563E" w:rsidRPr="00691B65" w:rsidRDefault="00A6563E" w:rsidP="00FC6122">
      <w:pPr>
        <w:sectPr w:rsidR="00A6563E" w:rsidRPr="00691B65" w:rsidSect="00554A5F">
          <w:headerReference w:type="default" r:id="rId17"/>
          <w:footerReference w:type="default" r:id="rId18"/>
          <w:pgSz w:w="11906" w:h="16838" w:code="9"/>
          <w:pgMar w:top="1985" w:right="1416" w:bottom="1134" w:left="1418" w:header="680" w:footer="425" w:gutter="0"/>
          <w:cols w:space="284"/>
          <w:docGrid w:linePitch="360"/>
        </w:sectPr>
      </w:pPr>
    </w:p>
    <w:p w14:paraId="43AA61F4" w14:textId="77777777" w:rsidR="00FC6122" w:rsidRPr="00691B65" w:rsidRDefault="00FC6122" w:rsidP="00810613">
      <w:pPr>
        <w:pStyle w:val="TOCHeading"/>
      </w:pPr>
      <w:bookmarkStart w:id="4" w:name="_Hlk482167878"/>
      <w:r w:rsidRPr="00691B65">
        <w:t>Charts</w:t>
      </w:r>
    </w:p>
    <w:p w14:paraId="68B670C7" w14:textId="7815819E" w:rsidR="000627A1" w:rsidRDefault="00FC6122">
      <w:pPr>
        <w:pStyle w:val="TOC6"/>
        <w:tabs>
          <w:tab w:val="right" w:pos="9062"/>
        </w:tabs>
        <w:rPr>
          <w:rFonts w:asciiTheme="minorHAnsi" w:eastAsiaTheme="minorEastAsia" w:hAnsiTheme="minorHAnsi"/>
          <w:noProof/>
          <w:sz w:val="22"/>
          <w:szCs w:val="22"/>
          <w:lang w:eastAsia="en-AU"/>
        </w:rPr>
      </w:pPr>
      <w:r w:rsidRPr="00691B65">
        <w:rPr>
          <w:rStyle w:val="Hyperlink"/>
          <w:noProof/>
        </w:rPr>
        <w:fldChar w:fldCharType="begin"/>
      </w:r>
      <w:r w:rsidRPr="00691B65">
        <w:rPr>
          <w:rStyle w:val="Hyperlink"/>
          <w:noProof/>
        </w:rPr>
        <w:instrText xml:space="preserve"> TOC \h \z \t "Caption_Chart,6,Exec Chart Caption,6,Appendix Chart Caption,6" </w:instrText>
      </w:r>
      <w:r w:rsidRPr="00691B65">
        <w:rPr>
          <w:rStyle w:val="Hyperlink"/>
          <w:noProof/>
        </w:rPr>
        <w:fldChar w:fldCharType="separate"/>
      </w:r>
      <w:hyperlink w:anchor="_Toc105776335" w:history="1">
        <w:r w:rsidR="000627A1" w:rsidRPr="00B278B9">
          <w:rPr>
            <w:rStyle w:val="Hyperlink"/>
            <w:noProof/>
          </w:rPr>
          <w:t>Chart i : Average bachelor unit costs per EFTSL by university</w:t>
        </w:r>
        <w:r w:rsidR="000627A1">
          <w:rPr>
            <w:noProof/>
            <w:webHidden/>
          </w:rPr>
          <w:tab/>
        </w:r>
        <w:r w:rsidR="000627A1">
          <w:rPr>
            <w:noProof/>
            <w:webHidden/>
          </w:rPr>
          <w:fldChar w:fldCharType="begin"/>
        </w:r>
        <w:r w:rsidR="000627A1">
          <w:rPr>
            <w:noProof/>
            <w:webHidden/>
          </w:rPr>
          <w:instrText xml:space="preserve"> PAGEREF _Toc105776335 \h </w:instrText>
        </w:r>
        <w:r w:rsidR="000627A1">
          <w:rPr>
            <w:noProof/>
            <w:webHidden/>
          </w:rPr>
        </w:r>
        <w:r w:rsidR="000627A1">
          <w:rPr>
            <w:noProof/>
            <w:webHidden/>
          </w:rPr>
          <w:fldChar w:fldCharType="separate"/>
        </w:r>
        <w:r w:rsidR="009B23FC">
          <w:rPr>
            <w:noProof/>
            <w:webHidden/>
          </w:rPr>
          <w:t>ix</w:t>
        </w:r>
        <w:r w:rsidR="000627A1">
          <w:rPr>
            <w:noProof/>
            <w:webHidden/>
          </w:rPr>
          <w:fldChar w:fldCharType="end"/>
        </w:r>
      </w:hyperlink>
    </w:p>
    <w:p w14:paraId="3A115F34" w14:textId="50C86D2D" w:rsidR="000627A1" w:rsidRDefault="00F05F8E">
      <w:pPr>
        <w:pStyle w:val="TOC6"/>
        <w:tabs>
          <w:tab w:val="right" w:pos="9062"/>
        </w:tabs>
        <w:rPr>
          <w:rFonts w:asciiTheme="minorHAnsi" w:eastAsiaTheme="minorEastAsia" w:hAnsiTheme="minorHAnsi"/>
          <w:noProof/>
          <w:sz w:val="22"/>
          <w:szCs w:val="22"/>
          <w:lang w:eastAsia="en-AU"/>
        </w:rPr>
      </w:pPr>
      <w:hyperlink w:anchor="_Toc105776336" w:history="1">
        <w:r w:rsidR="000627A1" w:rsidRPr="00B278B9">
          <w:rPr>
            <w:rStyle w:val="Hyperlink"/>
            <w:noProof/>
          </w:rPr>
          <w:t>Chart ii : Distribution of unit costs by field for bachelor studies</w:t>
        </w:r>
        <w:r w:rsidR="000627A1">
          <w:rPr>
            <w:noProof/>
            <w:webHidden/>
          </w:rPr>
          <w:tab/>
        </w:r>
        <w:r w:rsidR="000627A1">
          <w:rPr>
            <w:noProof/>
            <w:webHidden/>
          </w:rPr>
          <w:fldChar w:fldCharType="begin"/>
        </w:r>
        <w:r w:rsidR="000627A1">
          <w:rPr>
            <w:noProof/>
            <w:webHidden/>
          </w:rPr>
          <w:instrText xml:space="preserve"> PAGEREF _Toc105776336 \h </w:instrText>
        </w:r>
        <w:r w:rsidR="000627A1">
          <w:rPr>
            <w:noProof/>
            <w:webHidden/>
          </w:rPr>
        </w:r>
        <w:r w:rsidR="000627A1">
          <w:rPr>
            <w:noProof/>
            <w:webHidden/>
          </w:rPr>
          <w:fldChar w:fldCharType="separate"/>
        </w:r>
        <w:r w:rsidR="009B23FC">
          <w:rPr>
            <w:noProof/>
            <w:webHidden/>
          </w:rPr>
          <w:t>xi</w:t>
        </w:r>
        <w:r w:rsidR="000627A1">
          <w:rPr>
            <w:noProof/>
            <w:webHidden/>
          </w:rPr>
          <w:fldChar w:fldCharType="end"/>
        </w:r>
      </w:hyperlink>
    </w:p>
    <w:p w14:paraId="477E30B9" w14:textId="1619A7C3" w:rsidR="000627A1" w:rsidRDefault="00F05F8E">
      <w:pPr>
        <w:pStyle w:val="TOC6"/>
        <w:tabs>
          <w:tab w:val="right" w:pos="9062"/>
        </w:tabs>
        <w:rPr>
          <w:rFonts w:asciiTheme="minorHAnsi" w:eastAsiaTheme="minorEastAsia" w:hAnsiTheme="minorHAnsi"/>
          <w:noProof/>
          <w:sz w:val="22"/>
          <w:szCs w:val="22"/>
          <w:lang w:eastAsia="en-AU"/>
        </w:rPr>
      </w:pPr>
      <w:hyperlink w:anchor="_Toc105776337" w:history="1">
        <w:r w:rsidR="000627A1" w:rsidRPr="00B278B9">
          <w:rPr>
            <w:rStyle w:val="Hyperlink"/>
            <w:noProof/>
          </w:rPr>
          <w:t>Chart iii : Distribution of unit costs by field for postgraduate studies</w:t>
        </w:r>
        <w:r w:rsidR="000627A1">
          <w:rPr>
            <w:noProof/>
            <w:webHidden/>
          </w:rPr>
          <w:tab/>
        </w:r>
        <w:r w:rsidR="000627A1">
          <w:rPr>
            <w:noProof/>
            <w:webHidden/>
          </w:rPr>
          <w:fldChar w:fldCharType="begin"/>
        </w:r>
        <w:r w:rsidR="000627A1">
          <w:rPr>
            <w:noProof/>
            <w:webHidden/>
          </w:rPr>
          <w:instrText xml:space="preserve"> PAGEREF _Toc105776337 \h </w:instrText>
        </w:r>
        <w:r w:rsidR="000627A1">
          <w:rPr>
            <w:noProof/>
            <w:webHidden/>
          </w:rPr>
        </w:r>
        <w:r w:rsidR="000627A1">
          <w:rPr>
            <w:noProof/>
            <w:webHidden/>
          </w:rPr>
          <w:fldChar w:fldCharType="separate"/>
        </w:r>
        <w:r w:rsidR="009B23FC">
          <w:rPr>
            <w:noProof/>
            <w:webHidden/>
          </w:rPr>
          <w:t>xiii</w:t>
        </w:r>
        <w:r w:rsidR="000627A1">
          <w:rPr>
            <w:noProof/>
            <w:webHidden/>
          </w:rPr>
          <w:fldChar w:fldCharType="end"/>
        </w:r>
      </w:hyperlink>
    </w:p>
    <w:p w14:paraId="4F1FF316" w14:textId="188270CE" w:rsidR="000627A1" w:rsidRDefault="00F05F8E">
      <w:pPr>
        <w:pStyle w:val="TOC6"/>
        <w:tabs>
          <w:tab w:val="right" w:pos="9062"/>
        </w:tabs>
        <w:rPr>
          <w:rFonts w:asciiTheme="minorHAnsi" w:eastAsiaTheme="minorEastAsia" w:hAnsiTheme="minorHAnsi"/>
          <w:noProof/>
          <w:sz w:val="22"/>
          <w:szCs w:val="22"/>
          <w:lang w:eastAsia="en-AU"/>
        </w:rPr>
      </w:pPr>
      <w:hyperlink w:anchor="_Toc105776338" w:history="1">
        <w:r w:rsidR="000627A1" w:rsidRPr="00B278B9">
          <w:rPr>
            <w:rStyle w:val="Hyperlink"/>
            <w:noProof/>
          </w:rPr>
          <w:t>Chart iv : Distribution of units costs by field for sub-bachelor studies</w:t>
        </w:r>
        <w:r w:rsidR="000627A1">
          <w:rPr>
            <w:noProof/>
            <w:webHidden/>
          </w:rPr>
          <w:tab/>
        </w:r>
        <w:r w:rsidR="000627A1">
          <w:rPr>
            <w:noProof/>
            <w:webHidden/>
          </w:rPr>
          <w:fldChar w:fldCharType="begin"/>
        </w:r>
        <w:r w:rsidR="000627A1">
          <w:rPr>
            <w:noProof/>
            <w:webHidden/>
          </w:rPr>
          <w:instrText xml:space="preserve"> PAGEREF _Toc105776338 \h </w:instrText>
        </w:r>
        <w:r w:rsidR="000627A1">
          <w:rPr>
            <w:noProof/>
            <w:webHidden/>
          </w:rPr>
        </w:r>
        <w:r w:rsidR="000627A1">
          <w:rPr>
            <w:noProof/>
            <w:webHidden/>
          </w:rPr>
          <w:fldChar w:fldCharType="separate"/>
        </w:r>
        <w:r w:rsidR="009B23FC">
          <w:rPr>
            <w:noProof/>
            <w:webHidden/>
          </w:rPr>
          <w:t>xv</w:t>
        </w:r>
        <w:r w:rsidR="000627A1">
          <w:rPr>
            <w:noProof/>
            <w:webHidden/>
          </w:rPr>
          <w:fldChar w:fldCharType="end"/>
        </w:r>
      </w:hyperlink>
    </w:p>
    <w:p w14:paraId="17BD7095" w14:textId="0CA74941" w:rsidR="000627A1" w:rsidRDefault="00F05F8E">
      <w:pPr>
        <w:pStyle w:val="TOC6"/>
        <w:tabs>
          <w:tab w:val="right" w:pos="9062"/>
        </w:tabs>
        <w:rPr>
          <w:rFonts w:asciiTheme="minorHAnsi" w:eastAsiaTheme="minorEastAsia" w:hAnsiTheme="minorHAnsi"/>
          <w:noProof/>
          <w:sz w:val="22"/>
          <w:szCs w:val="22"/>
          <w:lang w:eastAsia="en-AU"/>
        </w:rPr>
      </w:pPr>
      <w:hyperlink w:anchor="_Toc105776339" w:history="1">
        <w:r w:rsidR="000627A1" w:rsidRPr="00B278B9">
          <w:rPr>
            <w:rStyle w:val="Hyperlink"/>
            <w:noProof/>
          </w:rPr>
          <w:t>Chart v : Comparing average cost growth from 2018 to 2020 for bachelor studies (2018 common sample (32 universities))</w:t>
        </w:r>
        <w:r w:rsidR="000627A1">
          <w:rPr>
            <w:noProof/>
            <w:webHidden/>
          </w:rPr>
          <w:tab/>
        </w:r>
        <w:r w:rsidR="000627A1">
          <w:rPr>
            <w:noProof/>
            <w:webHidden/>
          </w:rPr>
          <w:fldChar w:fldCharType="begin"/>
        </w:r>
        <w:r w:rsidR="000627A1">
          <w:rPr>
            <w:noProof/>
            <w:webHidden/>
          </w:rPr>
          <w:instrText xml:space="preserve"> PAGEREF _Toc105776339 \h </w:instrText>
        </w:r>
        <w:r w:rsidR="000627A1">
          <w:rPr>
            <w:noProof/>
            <w:webHidden/>
          </w:rPr>
        </w:r>
        <w:r w:rsidR="000627A1">
          <w:rPr>
            <w:noProof/>
            <w:webHidden/>
          </w:rPr>
          <w:fldChar w:fldCharType="separate"/>
        </w:r>
        <w:r w:rsidR="009B23FC">
          <w:rPr>
            <w:noProof/>
            <w:webHidden/>
          </w:rPr>
          <w:t>xvi</w:t>
        </w:r>
        <w:r w:rsidR="000627A1">
          <w:rPr>
            <w:noProof/>
            <w:webHidden/>
          </w:rPr>
          <w:fldChar w:fldCharType="end"/>
        </w:r>
      </w:hyperlink>
    </w:p>
    <w:p w14:paraId="5994B295" w14:textId="30A1C65A" w:rsidR="000627A1" w:rsidRDefault="00F05F8E">
      <w:pPr>
        <w:pStyle w:val="TOC6"/>
        <w:tabs>
          <w:tab w:val="right" w:pos="9062"/>
        </w:tabs>
        <w:rPr>
          <w:rFonts w:asciiTheme="minorHAnsi" w:eastAsiaTheme="minorEastAsia" w:hAnsiTheme="minorHAnsi"/>
          <w:noProof/>
          <w:sz w:val="22"/>
          <w:szCs w:val="22"/>
          <w:lang w:eastAsia="en-AU"/>
        </w:rPr>
      </w:pPr>
      <w:hyperlink w:anchor="_Toc105776340" w:history="1">
        <w:r w:rsidR="000627A1" w:rsidRPr="00B278B9">
          <w:rPr>
            <w:rStyle w:val="Hyperlink"/>
            <w:noProof/>
          </w:rPr>
          <w:t>Chart vi : Average unit costs as a proportion of base funding for bachelor, 37 universities (2019 and 2020)</w:t>
        </w:r>
        <w:r w:rsidR="000627A1">
          <w:rPr>
            <w:noProof/>
            <w:webHidden/>
          </w:rPr>
          <w:tab/>
        </w:r>
        <w:r w:rsidR="000627A1">
          <w:rPr>
            <w:noProof/>
            <w:webHidden/>
          </w:rPr>
          <w:fldChar w:fldCharType="begin"/>
        </w:r>
        <w:r w:rsidR="000627A1">
          <w:rPr>
            <w:noProof/>
            <w:webHidden/>
          </w:rPr>
          <w:instrText xml:space="preserve"> PAGEREF _Toc105776340 \h </w:instrText>
        </w:r>
        <w:r w:rsidR="000627A1">
          <w:rPr>
            <w:noProof/>
            <w:webHidden/>
          </w:rPr>
        </w:r>
        <w:r w:rsidR="000627A1">
          <w:rPr>
            <w:noProof/>
            <w:webHidden/>
          </w:rPr>
          <w:fldChar w:fldCharType="separate"/>
        </w:r>
        <w:r w:rsidR="009B23FC">
          <w:rPr>
            <w:noProof/>
            <w:webHidden/>
          </w:rPr>
          <w:t>xix</w:t>
        </w:r>
        <w:r w:rsidR="000627A1">
          <w:rPr>
            <w:noProof/>
            <w:webHidden/>
          </w:rPr>
          <w:fldChar w:fldCharType="end"/>
        </w:r>
      </w:hyperlink>
    </w:p>
    <w:p w14:paraId="3893EFA5" w14:textId="34A90D71" w:rsidR="000627A1" w:rsidRDefault="00F05F8E">
      <w:pPr>
        <w:pStyle w:val="TOC6"/>
        <w:tabs>
          <w:tab w:val="right" w:pos="9062"/>
        </w:tabs>
        <w:rPr>
          <w:rFonts w:asciiTheme="minorHAnsi" w:eastAsiaTheme="minorEastAsia" w:hAnsiTheme="minorHAnsi"/>
          <w:noProof/>
          <w:sz w:val="22"/>
          <w:szCs w:val="22"/>
          <w:lang w:eastAsia="en-AU"/>
        </w:rPr>
      </w:pPr>
      <w:hyperlink w:anchor="_Toc105776341" w:history="1">
        <w:r w:rsidR="000627A1" w:rsidRPr="00B278B9">
          <w:rPr>
            <w:rStyle w:val="Hyperlink"/>
            <w:noProof/>
          </w:rPr>
          <w:t>Chart 1.1 : Percentage change in total higher education expenses (teaching, scholarship, and all other activities) by university</w:t>
        </w:r>
        <w:r w:rsidR="000627A1">
          <w:rPr>
            <w:noProof/>
            <w:webHidden/>
          </w:rPr>
          <w:tab/>
        </w:r>
        <w:r w:rsidR="000627A1">
          <w:rPr>
            <w:noProof/>
            <w:webHidden/>
          </w:rPr>
          <w:fldChar w:fldCharType="begin"/>
        </w:r>
        <w:r w:rsidR="000627A1">
          <w:rPr>
            <w:noProof/>
            <w:webHidden/>
          </w:rPr>
          <w:instrText xml:space="preserve"> PAGEREF _Toc105776341 \h </w:instrText>
        </w:r>
        <w:r w:rsidR="000627A1">
          <w:rPr>
            <w:noProof/>
            <w:webHidden/>
          </w:rPr>
        </w:r>
        <w:r w:rsidR="000627A1">
          <w:rPr>
            <w:noProof/>
            <w:webHidden/>
          </w:rPr>
          <w:fldChar w:fldCharType="separate"/>
        </w:r>
        <w:r w:rsidR="009B23FC">
          <w:rPr>
            <w:noProof/>
            <w:webHidden/>
          </w:rPr>
          <w:t>25</w:t>
        </w:r>
        <w:r w:rsidR="000627A1">
          <w:rPr>
            <w:noProof/>
            <w:webHidden/>
          </w:rPr>
          <w:fldChar w:fldCharType="end"/>
        </w:r>
      </w:hyperlink>
    </w:p>
    <w:p w14:paraId="1E5D6DE7" w14:textId="3AF39A47" w:rsidR="000627A1" w:rsidRDefault="00F05F8E">
      <w:pPr>
        <w:pStyle w:val="TOC6"/>
        <w:tabs>
          <w:tab w:val="right" w:pos="9062"/>
        </w:tabs>
        <w:rPr>
          <w:rFonts w:asciiTheme="minorHAnsi" w:eastAsiaTheme="minorEastAsia" w:hAnsiTheme="minorHAnsi"/>
          <w:noProof/>
          <w:sz w:val="22"/>
          <w:szCs w:val="22"/>
          <w:lang w:eastAsia="en-AU"/>
        </w:rPr>
      </w:pPr>
      <w:hyperlink w:anchor="_Toc105776342" w:history="1">
        <w:r w:rsidR="000627A1" w:rsidRPr="00B278B9">
          <w:rPr>
            <w:rStyle w:val="Hyperlink"/>
            <w:noProof/>
          </w:rPr>
          <w:t>Chart 1.2 : Student enrolments over time by FOE (count)</w:t>
        </w:r>
        <w:r w:rsidR="000627A1">
          <w:rPr>
            <w:noProof/>
            <w:webHidden/>
          </w:rPr>
          <w:tab/>
        </w:r>
        <w:r w:rsidR="000627A1">
          <w:rPr>
            <w:noProof/>
            <w:webHidden/>
          </w:rPr>
          <w:fldChar w:fldCharType="begin"/>
        </w:r>
        <w:r w:rsidR="000627A1">
          <w:rPr>
            <w:noProof/>
            <w:webHidden/>
          </w:rPr>
          <w:instrText xml:space="preserve"> PAGEREF _Toc105776342 \h </w:instrText>
        </w:r>
        <w:r w:rsidR="000627A1">
          <w:rPr>
            <w:noProof/>
            <w:webHidden/>
          </w:rPr>
        </w:r>
        <w:r w:rsidR="000627A1">
          <w:rPr>
            <w:noProof/>
            <w:webHidden/>
          </w:rPr>
          <w:fldChar w:fldCharType="separate"/>
        </w:r>
        <w:r w:rsidR="009B23FC">
          <w:rPr>
            <w:noProof/>
            <w:webHidden/>
          </w:rPr>
          <w:t>26</w:t>
        </w:r>
        <w:r w:rsidR="000627A1">
          <w:rPr>
            <w:noProof/>
            <w:webHidden/>
          </w:rPr>
          <w:fldChar w:fldCharType="end"/>
        </w:r>
      </w:hyperlink>
    </w:p>
    <w:p w14:paraId="014DEC0C" w14:textId="751503D5" w:rsidR="000627A1" w:rsidRDefault="00F05F8E">
      <w:pPr>
        <w:pStyle w:val="TOC6"/>
        <w:tabs>
          <w:tab w:val="right" w:pos="9062"/>
        </w:tabs>
        <w:rPr>
          <w:rFonts w:asciiTheme="minorHAnsi" w:eastAsiaTheme="minorEastAsia" w:hAnsiTheme="minorHAnsi"/>
          <w:noProof/>
          <w:sz w:val="22"/>
          <w:szCs w:val="22"/>
          <w:lang w:eastAsia="en-AU"/>
        </w:rPr>
      </w:pPr>
      <w:hyperlink w:anchor="_Toc105776343" w:history="1">
        <w:r w:rsidR="000627A1" w:rsidRPr="00B278B9">
          <w:rPr>
            <w:rStyle w:val="Hyperlink"/>
            <w:noProof/>
          </w:rPr>
          <w:t>Chart 1.3 : Student enrolments over time by state (count)</w:t>
        </w:r>
        <w:r w:rsidR="000627A1">
          <w:rPr>
            <w:noProof/>
            <w:webHidden/>
          </w:rPr>
          <w:tab/>
        </w:r>
        <w:r w:rsidR="000627A1">
          <w:rPr>
            <w:noProof/>
            <w:webHidden/>
          </w:rPr>
          <w:fldChar w:fldCharType="begin"/>
        </w:r>
        <w:r w:rsidR="000627A1">
          <w:rPr>
            <w:noProof/>
            <w:webHidden/>
          </w:rPr>
          <w:instrText xml:space="preserve"> PAGEREF _Toc105776343 \h </w:instrText>
        </w:r>
        <w:r w:rsidR="000627A1">
          <w:rPr>
            <w:noProof/>
            <w:webHidden/>
          </w:rPr>
        </w:r>
        <w:r w:rsidR="000627A1">
          <w:rPr>
            <w:noProof/>
            <w:webHidden/>
          </w:rPr>
          <w:fldChar w:fldCharType="separate"/>
        </w:r>
        <w:r w:rsidR="009B23FC">
          <w:rPr>
            <w:noProof/>
            <w:webHidden/>
          </w:rPr>
          <w:t>27</w:t>
        </w:r>
        <w:r w:rsidR="000627A1">
          <w:rPr>
            <w:noProof/>
            <w:webHidden/>
          </w:rPr>
          <w:fldChar w:fldCharType="end"/>
        </w:r>
      </w:hyperlink>
    </w:p>
    <w:p w14:paraId="25653385" w14:textId="541B13B8" w:rsidR="000627A1" w:rsidRDefault="00F05F8E">
      <w:pPr>
        <w:pStyle w:val="TOC6"/>
        <w:tabs>
          <w:tab w:val="right" w:pos="9062"/>
        </w:tabs>
        <w:rPr>
          <w:rFonts w:asciiTheme="minorHAnsi" w:eastAsiaTheme="minorEastAsia" w:hAnsiTheme="minorHAnsi"/>
          <w:noProof/>
          <w:sz w:val="22"/>
          <w:szCs w:val="22"/>
          <w:lang w:eastAsia="en-AU"/>
        </w:rPr>
      </w:pPr>
      <w:hyperlink w:anchor="_Toc105776344" w:history="1">
        <w:r w:rsidR="000627A1" w:rsidRPr="00B278B9">
          <w:rPr>
            <w:rStyle w:val="Hyperlink"/>
            <w:noProof/>
          </w:rPr>
          <w:t>Chart 1.4 : Total expenses and net operating result for Australian public universities (2011 to 2020)</w:t>
        </w:r>
        <w:r w:rsidR="000627A1">
          <w:rPr>
            <w:noProof/>
            <w:webHidden/>
          </w:rPr>
          <w:tab/>
        </w:r>
        <w:r w:rsidR="000627A1">
          <w:rPr>
            <w:noProof/>
            <w:webHidden/>
          </w:rPr>
          <w:fldChar w:fldCharType="begin"/>
        </w:r>
        <w:r w:rsidR="000627A1">
          <w:rPr>
            <w:noProof/>
            <w:webHidden/>
          </w:rPr>
          <w:instrText xml:space="preserve"> PAGEREF _Toc105776344 \h </w:instrText>
        </w:r>
        <w:r w:rsidR="000627A1">
          <w:rPr>
            <w:noProof/>
            <w:webHidden/>
          </w:rPr>
        </w:r>
        <w:r w:rsidR="000627A1">
          <w:rPr>
            <w:noProof/>
            <w:webHidden/>
          </w:rPr>
          <w:fldChar w:fldCharType="separate"/>
        </w:r>
        <w:r w:rsidR="009B23FC">
          <w:rPr>
            <w:noProof/>
            <w:webHidden/>
          </w:rPr>
          <w:t>28</w:t>
        </w:r>
        <w:r w:rsidR="000627A1">
          <w:rPr>
            <w:noProof/>
            <w:webHidden/>
          </w:rPr>
          <w:fldChar w:fldCharType="end"/>
        </w:r>
      </w:hyperlink>
    </w:p>
    <w:p w14:paraId="367640C5" w14:textId="2C918D76" w:rsidR="000627A1" w:rsidRDefault="00F05F8E">
      <w:pPr>
        <w:pStyle w:val="TOC6"/>
        <w:tabs>
          <w:tab w:val="right" w:pos="9062"/>
        </w:tabs>
        <w:rPr>
          <w:rFonts w:asciiTheme="minorHAnsi" w:eastAsiaTheme="minorEastAsia" w:hAnsiTheme="minorHAnsi"/>
          <w:noProof/>
          <w:sz w:val="22"/>
          <w:szCs w:val="22"/>
          <w:lang w:eastAsia="en-AU"/>
        </w:rPr>
      </w:pPr>
      <w:hyperlink w:anchor="_Toc105776345" w:history="1">
        <w:r w:rsidR="000627A1" w:rsidRPr="00B278B9">
          <w:rPr>
            <w:rStyle w:val="Hyperlink"/>
            <w:noProof/>
          </w:rPr>
          <w:t>Chart 1.5 Percentage change in university expenses between 2019 and 2020</w:t>
        </w:r>
        <w:r w:rsidR="000627A1">
          <w:rPr>
            <w:noProof/>
            <w:webHidden/>
          </w:rPr>
          <w:tab/>
        </w:r>
        <w:r w:rsidR="000627A1">
          <w:rPr>
            <w:noProof/>
            <w:webHidden/>
          </w:rPr>
          <w:fldChar w:fldCharType="begin"/>
        </w:r>
        <w:r w:rsidR="000627A1">
          <w:rPr>
            <w:noProof/>
            <w:webHidden/>
          </w:rPr>
          <w:instrText xml:space="preserve"> PAGEREF _Toc105776345 \h </w:instrText>
        </w:r>
        <w:r w:rsidR="000627A1">
          <w:rPr>
            <w:noProof/>
            <w:webHidden/>
          </w:rPr>
        </w:r>
        <w:r w:rsidR="000627A1">
          <w:rPr>
            <w:noProof/>
            <w:webHidden/>
          </w:rPr>
          <w:fldChar w:fldCharType="separate"/>
        </w:r>
        <w:r w:rsidR="009B23FC">
          <w:rPr>
            <w:noProof/>
            <w:webHidden/>
          </w:rPr>
          <w:t>28</w:t>
        </w:r>
        <w:r w:rsidR="000627A1">
          <w:rPr>
            <w:noProof/>
            <w:webHidden/>
          </w:rPr>
          <w:fldChar w:fldCharType="end"/>
        </w:r>
      </w:hyperlink>
    </w:p>
    <w:p w14:paraId="719FA788" w14:textId="23E42D86" w:rsidR="000627A1" w:rsidRDefault="00F05F8E">
      <w:pPr>
        <w:pStyle w:val="TOC6"/>
        <w:tabs>
          <w:tab w:val="right" w:pos="9062"/>
        </w:tabs>
        <w:rPr>
          <w:rFonts w:asciiTheme="minorHAnsi" w:eastAsiaTheme="minorEastAsia" w:hAnsiTheme="minorHAnsi"/>
          <w:noProof/>
          <w:sz w:val="22"/>
          <w:szCs w:val="22"/>
          <w:lang w:eastAsia="en-AU"/>
        </w:rPr>
      </w:pPr>
      <w:hyperlink w:anchor="_Toc105776346" w:history="1">
        <w:r w:rsidR="000627A1" w:rsidRPr="00B278B9">
          <w:rPr>
            <w:rStyle w:val="Hyperlink"/>
            <w:noProof/>
          </w:rPr>
          <w:t>Chart 1.6 : Total revenue for Australian public universities (2011 to 2020)</w:t>
        </w:r>
        <w:r w:rsidR="000627A1">
          <w:rPr>
            <w:noProof/>
            <w:webHidden/>
          </w:rPr>
          <w:tab/>
        </w:r>
        <w:r w:rsidR="000627A1">
          <w:rPr>
            <w:noProof/>
            <w:webHidden/>
          </w:rPr>
          <w:fldChar w:fldCharType="begin"/>
        </w:r>
        <w:r w:rsidR="000627A1">
          <w:rPr>
            <w:noProof/>
            <w:webHidden/>
          </w:rPr>
          <w:instrText xml:space="preserve"> PAGEREF _Toc105776346 \h </w:instrText>
        </w:r>
        <w:r w:rsidR="000627A1">
          <w:rPr>
            <w:noProof/>
            <w:webHidden/>
          </w:rPr>
        </w:r>
        <w:r w:rsidR="000627A1">
          <w:rPr>
            <w:noProof/>
            <w:webHidden/>
          </w:rPr>
          <w:fldChar w:fldCharType="separate"/>
        </w:r>
        <w:r w:rsidR="009B23FC">
          <w:rPr>
            <w:noProof/>
            <w:webHidden/>
          </w:rPr>
          <w:t>29</w:t>
        </w:r>
        <w:r w:rsidR="000627A1">
          <w:rPr>
            <w:noProof/>
            <w:webHidden/>
          </w:rPr>
          <w:fldChar w:fldCharType="end"/>
        </w:r>
      </w:hyperlink>
    </w:p>
    <w:p w14:paraId="14EB0C63" w14:textId="0B679D8F" w:rsidR="000627A1" w:rsidRDefault="00F05F8E">
      <w:pPr>
        <w:pStyle w:val="TOC6"/>
        <w:tabs>
          <w:tab w:val="right" w:pos="9062"/>
        </w:tabs>
        <w:rPr>
          <w:rFonts w:asciiTheme="minorHAnsi" w:eastAsiaTheme="minorEastAsia" w:hAnsiTheme="minorHAnsi"/>
          <w:noProof/>
          <w:sz w:val="22"/>
          <w:szCs w:val="22"/>
          <w:lang w:eastAsia="en-AU"/>
        </w:rPr>
      </w:pPr>
      <w:hyperlink w:anchor="_Toc105776347" w:history="1">
        <w:r w:rsidR="000627A1" w:rsidRPr="00B278B9">
          <w:rPr>
            <w:rStyle w:val="Hyperlink"/>
            <w:noProof/>
          </w:rPr>
          <w:t>Chart 1.7 : Cost growth decomposed by growth in EFTSL and growth in unit costs (2012 to 2020)</w:t>
        </w:r>
        <w:r w:rsidR="000627A1">
          <w:rPr>
            <w:noProof/>
            <w:webHidden/>
          </w:rPr>
          <w:tab/>
        </w:r>
        <w:r w:rsidR="000627A1">
          <w:rPr>
            <w:noProof/>
            <w:webHidden/>
          </w:rPr>
          <w:fldChar w:fldCharType="begin"/>
        </w:r>
        <w:r w:rsidR="000627A1">
          <w:rPr>
            <w:noProof/>
            <w:webHidden/>
          </w:rPr>
          <w:instrText xml:space="preserve"> PAGEREF _Toc105776347 \h </w:instrText>
        </w:r>
        <w:r w:rsidR="000627A1">
          <w:rPr>
            <w:noProof/>
            <w:webHidden/>
          </w:rPr>
        </w:r>
        <w:r w:rsidR="000627A1">
          <w:rPr>
            <w:noProof/>
            <w:webHidden/>
          </w:rPr>
          <w:fldChar w:fldCharType="separate"/>
        </w:r>
        <w:r w:rsidR="009B23FC">
          <w:rPr>
            <w:noProof/>
            <w:webHidden/>
          </w:rPr>
          <w:t>30</w:t>
        </w:r>
        <w:r w:rsidR="000627A1">
          <w:rPr>
            <w:noProof/>
            <w:webHidden/>
          </w:rPr>
          <w:fldChar w:fldCharType="end"/>
        </w:r>
      </w:hyperlink>
    </w:p>
    <w:p w14:paraId="1846EEBC" w14:textId="1D9E09EB" w:rsidR="000627A1" w:rsidRDefault="00F05F8E">
      <w:pPr>
        <w:pStyle w:val="TOC6"/>
        <w:tabs>
          <w:tab w:val="right" w:pos="9062"/>
        </w:tabs>
        <w:rPr>
          <w:rFonts w:asciiTheme="minorHAnsi" w:eastAsiaTheme="minorEastAsia" w:hAnsiTheme="minorHAnsi"/>
          <w:noProof/>
          <w:sz w:val="22"/>
          <w:szCs w:val="22"/>
          <w:lang w:eastAsia="en-AU"/>
        </w:rPr>
      </w:pPr>
      <w:hyperlink w:anchor="_Toc105776348" w:history="1">
        <w:r w:rsidR="000627A1" w:rsidRPr="00B278B9">
          <w:rPr>
            <w:rStyle w:val="Hyperlink"/>
            <w:noProof/>
          </w:rPr>
          <w:t>Chart 2.1 : Proportion of total costs attributable to teaching and scholarship (2019 and 2020)</w:t>
        </w:r>
        <w:r w:rsidR="000627A1">
          <w:rPr>
            <w:noProof/>
            <w:webHidden/>
          </w:rPr>
          <w:tab/>
        </w:r>
        <w:r w:rsidR="000627A1">
          <w:rPr>
            <w:noProof/>
            <w:webHidden/>
          </w:rPr>
          <w:fldChar w:fldCharType="begin"/>
        </w:r>
        <w:r w:rsidR="000627A1">
          <w:rPr>
            <w:noProof/>
            <w:webHidden/>
          </w:rPr>
          <w:instrText xml:space="preserve"> PAGEREF _Toc105776348 \h </w:instrText>
        </w:r>
        <w:r w:rsidR="000627A1">
          <w:rPr>
            <w:noProof/>
            <w:webHidden/>
          </w:rPr>
        </w:r>
        <w:r w:rsidR="000627A1">
          <w:rPr>
            <w:noProof/>
            <w:webHidden/>
          </w:rPr>
          <w:fldChar w:fldCharType="separate"/>
        </w:r>
        <w:r w:rsidR="009B23FC">
          <w:rPr>
            <w:noProof/>
            <w:webHidden/>
          </w:rPr>
          <w:t>32</w:t>
        </w:r>
        <w:r w:rsidR="000627A1">
          <w:rPr>
            <w:noProof/>
            <w:webHidden/>
          </w:rPr>
          <w:fldChar w:fldCharType="end"/>
        </w:r>
      </w:hyperlink>
    </w:p>
    <w:p w14:paraId="744161AF" w14:textId="4010A6B7" w:rsidR="000627A1" w:rsidRDefault="00F05F8E">
      <w:pPr>
        <w:pStyle w:val="TOC6"/>
        <w:tabs>
          <w:tab w:val="right" w:pos="9062"/>
        </w:tabs>
        <w:rPr>
          <w:rFonts w:asciiTheme="minorHAnsi" w:eastAsiaTheme="minorEastAsia" w:hAnsiTheme="minorHAnsi"/>
          <w:noProof/>
          <w:sz w:val="22"/>
          <w:szCs w:val="22"/>
          <w:lang w:eastAsia="en-AU"/>
        </w:rPr>
      </w:pPr>
      <w:hyperlink w:anchor="_Toc105776349" w:history="1">
        <w:r w:rsidR="000627A1" w:rsidRPr="00B278B9">
          <w:rPr>
            <w:rStyle w:val="Hyperlink"/>
            <w:noProof/>
          </w:rPr>
          <w:t>Chart 2.2 : Proportion of total costs attributable to teaching and scholarship (2018 to 2020), 2018 common sample (32 universities)</w:t>
        </w:r>
        <w:r w:rsidR="000627A1">
          <w:rPr>
            <w:noProof/>
            <w:webHidden/>
          </w:rPr>
          <w:tab/>
        </w:r>
        <w:r w:rsidR="000627A1">
          <w:rPr>
            <w:noProof/>
            <w:webHidden/>
          </w:rPr>
          <w:fldChar w:fldCharType="begin"/>
        </w:r>
        <w:r w:rsidR="000627A1">
          <w:rPr>
            <w:noProof/>
            <w:webHidden/>
          </w:rPr>
          <w:instrText xml:space="preserve"> PAGEREF _Toc105776349 \h </w:instrText>
        </w:r>
        <w:r w:rsidR="000627A1">
          <w:rPr>
            <w:noProof/>
            <w:webHidden/>
          </w:rPr>
        </w:r>
        <w:r w:rsidR="000627A1">
          <w:rPr>
            <w:noProof/>
            <w:webHidden/>
          </w:rPr>
          <w:fldChar w:fldCharType="separate"/>
        </w:r>
        <w:r w:rsidR="009B23FC">
          <w:rPr>
            <w:noProof/>
            <w:webHidden/>
          </w:rPr>
          <w:t>33</w:t>
        </w:r>
        <w:r w:rsidR="000627A1">
          <w:rPr>
            <w:noProof/>
            <w:webHidden/>
          </w:rPr>
          <w:fldChar w:fldCharType="end"/>
        </w:r>
      </w:hyperlink>
    </w:p>
    <w:p w14:paraId="0B4D6A0B" w14:textId="6545F961" w:rsidR="000627A1" w:rsidRDefault="00F05F8E">
      <w:pPr>
        <w:pStyle w:val="TOC6"/>
        <w:tabs>
          <w:tab w:val="right" w:pos="9062"/>
        </w:tabs>
        <w:rPr>
          <w:rFonts w:asciiTheme="minorHAnsi" w:eastAsiaTheme="minorEastAsia" w:hAnsiTheme="minorHAnsi"/>
          <w:noProof/>
          <w:sz w:val="22"/>
          <w:szCs w:val="22"/>
          <w:lang w:eastAsia="en-AU"/>
        </w:rPr>
      </w:pPr>
      <w:hyperlink w:anchor="_Toc105776350" w:history="1">
        <w:r w:rsidR="000627A1" w:rsidRPr="00B278B9">
          <w:rPr>
            <w:rStyle w:val="Hyperlink"/>
            <w:noProof/>
          </w:rPr>
          <w:t>Chart 2.3 : Proportion of costs attributable to teaching by university affiliation (2019 and 2020)</w:t>
        </w:r>
        <w:r w:rsidR="000627A1">
          <w:rPr>
            <w:noProof/>
            <w:webHidden/>
          </w:rPr>
          <w:tab/>
        </w:r>
        <w:r w:rsidR="000627A1">
          <w:rPr>
            <w:noProof/>
            <w:webHidden/>
          </w:rPr>
          <w:fldChar w:fldCharType="begin"/>
        </w:r>
        <w:r w:rsidR="000627A1">
          <w:rPr>
            <w:noProof/>
            <w:webHidden/>
          </w:rPr>
          <w:instrText xml:space="preserve"> PAGEREF _Toc105776350 \h </w:instrText>
        </w:r>
        <w:r w:rsidR="000627A1">
          <w:rPr>
            <w:noProof/>
            <w:webHidden/>
          </w:rPr>
        </w:r>
        <w:r w:rsidR="000627A1">
          <w:rPr>
            <w:noProof/>
            <w:webHidden/>
          </w:rPr>
          <w:fldChar w:fldCharType="separate"/>
        </w:r>
        <w:r w:rsidR="009B23FC">
          <w:rPr>
            <w:noProof/>
            <w:webHidden/>
          </w:rPr>
          <w:t>33</w:t>
        </w:r>
        <w:r w:rsidR="000627A1">
          <w:rPr>
            <w:noProof/>
            <w:webHidden/>
          </w:rPr>
          <w:fldChar w:fldCharType="end"/>
        </w:r>
      </w:hyperlink>
    </w:p>
    <w:p w14:paraId="33E9D807" w14:textId="7DE0EABA" w:rsidR="000627A1" w:rsidRDefault="00F05F8E">
      <w:pPr>
        <w:pStyle w:val="TOC6"/>
        <w:tabs>
          <w:tab w:val="right" w:pos="9062"/>
        </w:tabs>
        <w:rPr>
          <w:rFonts w:asciiTheme="minorHAnsi" w:eastAsiaTheme="minorEastAsia" w:hAnsiTheme="minorHAnsi"/>
          <w:noProof/>
          <w:sz w:val="22"/>
          <w:szCs w:val="22"/>
          <w:lang w:eastAsia="en-AU"/>
        </w:rPr>
      </w:pPr>
      <w:hyperlink w:anchor="_Toc105776351" w:history="1">
        <w:r w:rsidR="000627A1" w:rsidRPr="00B278B9">
          <w:rPr>
            <w:rStyle w:val="Hyperlink"/>
            <w:noProof/>
          </w:rPr>
          <w:t>Chart 2.4 : Proportion of teaching costs attributable to staff (versus non-staff) (2019 and 2020)</w:t>
        </w:r>
        <w:r w:rsidR="000627A1">
          <w:rPr>
            <w:noProof/>
            <w:webHidden/>
          </w:rPr>
          <w:tab/>
        </w:r>
        <w:r w:rsidR="000627A1">
          <w:rPr>
            <w:noProof/>
            <w:webHidden/>
          </w:rPr>
          <w:fldChar w:fldCharType="begin"/>
        </w:r>
        <w:r w:rsidR="000627A1">
          <w:rPr>
            <w:noProof/>
            <w:webHidden/>
          </w:rPr>
          <w:instrText xml:space="preserve"> PAGEREF _Toc105776351 \h </w:instrText>
        </w:r>
        <w:r w:rsidR="000627A1">
          <w:rPr>
            <w:noProof/>
            <w:webHidden/>
          </w:rPr>
        </w:r>
        <w:r w:rsidR="000627A1">
          <w:rPr>
            <w:noProof/>
            <w:webHidden/>
          </w:rPr>
          <w:fldChar w:fldCharType="separate"/>
        </w:r>
        <w:r w:rsidR="009B23FC">
          <w:rPr>
            <w:noProof/>
            <w:webHidden/>
          </w:rPr>
          <w:t>34</w:t>
        </w:r>
        <w:r w:rsidR="000627A1">
          <w:rPr>
            <w:noProof/>
            <w:webHidden/>
          </w:rPr>
          <w:fldChar w:fldCharType="end"/>
        </w:r>
      </w:hyperlink>
    </w:p>
    <w:p w14:paraId="0B1A2CE9" w14:textId="044BC5AD" w:rsidR="000627A1" w:rsidRDefault="00F05F8E">
      <w:pPr>
        <w:pStyle w:val="TOC6"/>
        <w:tabs>
          <w:tab w:val="right" w:pos="9062"/>
        </w:tabs>
        <w:rPr>
          <w:rFonts w:asciiTheme="minorHAnsi" w:eastAsiaTheme="minorEastAsia" w:hAnsiTheme="minorHAnsi"/>
          <w:noProof/>
          <w:sz w:val="22"/>
          <w:szCs w:val="22"/>
          <w:lang w:eastAsia="en-AU"/>
        </w:rPr>
      </w:pPr>
      <w:hyperlink w:anchor="_Toc105776354" w:history="1">
        <w:r w:rsidR="000627A1" w:rsidRPr="00B278B9">
          <w:rPr>
            <w:rStyle w:val="Hyperlink"/>
            <w:noProof/>
            <w:lang w:eastAsia="en-AU"/>
          </w:rPr>
          <w:t>Chart 2.5</w:t>
        </w:r>
        <w:hyperlink w:anchor="_Toc105776352" w:history="1">
          <w:r w:rsidR="000627A1" w:rsidRPr="00416131">
            <w:rPr>
              <w:rStyle w:val="Hyperlink"/>
              <w:noProof/>
              <w:color w:val="auto"/>
              <w:u w:val="none"/>
            </w:rPr>
            <w:t xml:space="preserve"> : Proportion of teaching costs attributable to staff (versus non-staff) (2018 to 2020), 2018 common sample (32 universities)</w:t>
          </w:r>
          <w:r w:rsidR="000627A1" w:rsidRPr="00416131">
            <w:rPr>
              <w:noProof/>
              <w:webHidden/>
            </w:rPr>
            <w:tab/>
          </w:r>
          <w:r w:rsidR="000627A1" w:rsidRPr="00416131">
            <w:rPr>
              <w:noProof/>
              <w:webHidden/>
            </w:rPr>
            <w:fldChar w:fldCharType="begin"/>
          </w:r>
          <w:r w:rsidR="000627A1" w:rsidRPr="00416131">
            <w:rPr>
              <w:noProof/>
              <w:webHidden/>
            </w:rPr>
            <w:instrText xml:space="preserve"> PAGEREF _Toc105776352 \h </w:instrText>
          </w:r>
          <w:r w:rsidR="000627A1" w:rsidRPr="00416131">
            <w:rPr>
              <w:noProof/>
              <w:webHidden/>
            </w:rPr>
          </w:r>
          <w:r w:rsidR="000627A1" w:rsidRPr="00416131">
            <w:rPr>
              <w:noProof/>
              <w:webHidden/>
            </w:rPr>
            <w:fldChar w:fldCharType="separate"/>
          </w:r>
          <w:r w:rsidR="009B23FC">
            <w:rPr>
              <w:noProof/>
              <w:webHidden/>
            </w:rPr>
            <w:t>35</w:t>
          </w:r>
          <w:r w:rsidR="000627A1" w:rsidRPr="00416131">
            <w:rPr>
              <w:noProof/>
              <w:webHidden/>
            </w:rPr>
            <w:fldChar w:fldCharType="end"/>
          </w:r>
        </w:hyperlink>
      </w:hyperlink>
    </w:p>
    <w:p w14:paraId="0639A3A4" w14:textId="7DE7394C" w:rsidR="000627A1" w:rsidRDefault="00F05F8E">
      <w:pPr>
        <w:pStyle w:val="TOC6"/>
        <w:tabs>
          <w:tab w:val="right" w:pos="9062"/>
        </w:tabs>
        <w:rPr>
          <w:rFonts w:asciiTheme="minorHAnsi" w:eastAsiaTheme="minorEastAsia" w:hAnsiTheme="minorHAnsi"/>
          <w:noProof/>
          <w:sz w:val="22"/>
          <w:szCs w:val="22"/>
          <w:lang w:eastAsia="en-AU"/>
        </w:rPr>
      </w:pPr>
      <w:hyperlink w:anchor="_Toc105776355" w:history="1">
        <w:r w:rsidR="000627A1" w:rsidRPr="00B278B9">
          <w:rPr>
            <w:rStyle w:val="Hyperlink"/>
            <w:noProof/>
          </w:rPr>
          <w:t>Chart 2.6 : Average unit costs by university (all fields and levels) (2019 and 2020)</w:t>
        </w:r>
        <w:r w:rsidR="000627A1">
          <w:rPr>
            <w:noProof/>
            <w:webHidden/>
          </w:rPr>
          <w:tab/>
        </w:r>
        <w:r w:rsidR="000627A1">
          <w:rPr>
            <w:noProof/>
            <w:webHidden/>
          </w:rPr>
          <w:fldChar w:fldCharType="begin"/>
        </w:r>
        <w:r w:rsidR="000627A1">
          <w:rPr>
            <w:noProof/>
            <w:webHidden/>
          </w:rPr>
          <w:instrText xml:space="preserve"> PAGEREF _Toc105776355 \h </w:instrText>
        </w:r>
        <w:r w:rsidR="000627A1">
          <w:rPr>
            <w:noProof/>
            <w:webHidden/>
          </w:rPr>
        </w:r>
        <w:r w:rsidR="000627A1">
          <w:rPr>
            <w:noProof/>
            <w:webHidden/>
          </w:rPr>
          <w:fldChar w:fldCharType="separate"/>
        </w:r>
        <w:r w:rsidR="009B23FC">
          <w:rPr>
            <w:noProof/>
            <w:webHidden/>
          </w:rPr>
          <w:t>35</w:t>
        </w:r>
        <w:r w:rsidR="000627A1">
          <w:rPr>
            <w:noProof/>
            <w:webHidden/>
          </w:rPr>
          <w:fldChar w:fldCharType="end"/>
        </w:r>
      </w:hyperlink>
    </w:p>
    <w:p w14:paraId="6C477882" w14:textId="2691A9CD" w:rsidR="000627A1" w:rsidRDefault="00F05F8E">
      <w:pPr>
        <w:pStyle w:val="TOC6"/>
        <w:tabs>
          <w:tab w:val="right" w:pos="9062"/>
        </w:tabs>
        <w:rPr>
          <w:rFonts w:asciiTheme="minorHAnsi" w:eastAsiaTheme="minorEastAsia" w:hAnsiTheme="minorHAnsi"/>
          <w:noProof/>
          <w:sz w:val="22"/>
          <w:szCs w:val="22"/>
          <w:lang w:eastAsia="en-AU"/>
        </w:rPr>
      </w:pPr>
      <w:hyperlink w:anchor="_Toc105776356" w:history="1">
        <w:r w:rsidR="000627A1" w:rsidRPr="00B278B9">
          <w:rPr>
            <w:rStyle w:val="Hyperlink"/>
            <w:noProof/>
          </w:rPr>
          <w:t xml:space="preserve">Chart 2.7 : Average unit costs by university (all fields and all levels) (2018 to 2020), 2018 common sample (32 universities) </w:t>
        </w:r>
        <w:r w:rsidR="000627A1">
          <w:rPr>
            <w:noProof/>
            <w:webHidden/>
          </w:rPr>
          <w:tab/>
        </w:r>
        <w:r w:rsidR="000627A1">
          <w:rPr>
            <w:noProof/>
            <w:webHidden/>
          </w:rPr>
          <w:fldChar w:fldCharType="begin"/>
        </w:r>
        <w:r w:rsidR="000627A1">
          <w:rPr>
            <w:noProof/>
            <w:webHidden/>
          </w:rPr>
          <w:instrText xml:space="preserve"> PAGEREF _Toc105776356 \h </w:instrText>
        </w:r>
        <w:r w:rsidR="000627A1">
          <w:rPr>
            <w:noProof/>
            <w:webHidden/>
          </w:rPr>
        </w:r>
        <w:r w:rsidR="000627A1">
          <w:rPr>
            <w:noProof/>
            <w:webHidden/>
          </w:rPr>
          <w:fldChar w:fldCharType="separate"/>
        </w:r>
        <w:r w:rsidR="009B23FC">
          <w:rPr>
            <w:noProof/>
            <w:webHidden/>
          </w:rPr>
          <w:t>36</w:t>
        </w:r>
        <w:r w:rsidR="000627A1">
          <w:rPr>
            <w:noProof/>
            <w:webHidden/>
          </w:rPr>
          <w:fldChar w:fldCharType="end"/>
        </w:r>
      </w:hyperlink>
    </w:p>
    <w:p w14:paraId="0CE6FA55" w14:textId="5560676C" w:rsidR="000627A1" w:rsidRDefault="00F05F8E">
      <w:pPr>
        <w:pStyle w:val="TOC6"/>
        <w:tabs>
          <w:tab w:val="right" w:pos="9062"/>
        </w:tabs>
        <w:rPr>
          <w:rFonts w:asciiTheme="minorHAnsi" w:eastAsiaTheme="minorEastAsia" w:hAnsiTheme="minorHAnsi"/>
          <w:noProof/>
          <w:sz w:val="22"/>
          <w:szCs w:val="22"/>
          <w:lang w:eastAsia="en-AU"/>
        </w:rPr>
      </w:pPr>
      <w:hyperlink w:anchor="_Toc105776357" w:history="1">
        <w:r w:rsidR="000627A1" w:rsidRPr="00B278B9">
          <w:rPr>
            <w:rStyle w:val="Hyperlink"/>
            <w:noProof/>
          </w:rPr>
          <w:t>Chart 2.8 : Sample of cost observations by field of education, sub-bachelor</w:t>
        </w:r>
        <w:r w:rsidR="000627A1">
          <w:rPr>
            <w:noProof/>
            <w:webHidden/>
          </w:rPr>
          <w:tab/>
        </w:r>
        <w:r w:rsidR="000627A1">
          <w:rPr>
            <w:noProof/>
            <w:webHidden/>
          </w:rPr>
          <w:fldChar w:fldCharType="begin"/>
        </w:r>
        <w:r w:rsidR="000627A1">
          <w:rPr>
            <w:noProof/>
            <w:webHidden/>
          </w:rPr>
          <w:instrText xml:space="preserve"> PAGEREF _Toc105776357 \h </w:instrText>
        </w:r>
        <w:r w:rsidR="000627A1">
          <w:rPr>
            <w:noProof/>
            <w:webHidden/>
          </w:rPr>
        </w:r>
        <w:r w:rsidR="000627A1">
          <w:rPr>
            <w:noProof/>
            <w:webHidden/>
          </w:rPr>
          <w:fldChar w:fldCharType="separate"/>
        </w:r>
        <w:r w:rsidR="009B23FC">
          <w:rPr>
            <w:noProof/>
            <w:webHidden/>
          </w:rPr>
          <w:t>37</w:t>
        </w:r>
        <w:r w:rsidR="000627A1">
          <w:rPr>
            <w:noProof/>
            <w:webHidden/>
          </w:rPr>
          <w:fldChar w:fldCharType="end"/>
        </w:r>
      </w:hyperlink>
    </w:p>
    <w:p w14:paraId="141E3FF6" w14:textId="52FE1F71" w:rsidR="000627A1" w:rsidRDefault="00F05F8E">
      <w:pPr>
        <w:pStyle w:val="TOC6"/>
        <w:tabs>
          <w:tab w:val="right" w:pos="9062"/>
        </w:tabs>
        <w:rPr>
          <w:rFonts w:asciiTheme="minorHAnsi" w:eastAsiaTheme="minorEastAsia" w:hAnsiTheme="minorHAnsi"/>
          <w:noProof/>
          <w:sz w:val="22"/>
          <w:szCs w:val="22"/>
          <w:lang w:eastAsia="en-AU"/>
        </w:rPr>
      </w:pPr>
      <w:hyperlink w:anchor="_Toc105776358" w:history="1">
        <w:r w:rsidR="000627A1" w:rsidRPr="00B278B9">
          <w:rPr>
            <w:rStyle w:val="Hyperlink"/>
            <w:noProof/>
          </w:rPr>
          <w:t>Chart 2.9 : Sample of cost observations by field of education, bachelor</w:t>
        </w:r>
        <w:r w:rsidR="000627A1">
          <w:rPr>
            <w:noProof/>
            <w:webHidden/>
          </w:rPr>
          <w:tab/>
        </w:r>
        <w:r w:rsidR="000627A1">
          <w:rPr>
            <w:noProof/>
            <w:webHidden/>
          </w:rPr>
          <w:fldChar w:fldCharType="begin"/>
        </w:r>
        <w:r w:rsidR="000627A1">
          <w:rPr>
            <w:noProof/>
            <w:webHidden/>
          </w:rPr>
          <w:instrText xml:space="preserve"> PAGEREF _Toc105776358 \h </w:instrText>
        </w:r>
        <w:r w:rsidR="000627A1">
          <w:rPr>
            <w:noProof/>
            <w:webHidden/>
          </w:rPr>
        </w:r>
        <w:r w:rsidR="000627A1">
          <w:rPr>
            <w:noProof/>
            <w:webHidden/>
          </w:rPr>
          <w:fldChar w:fldCharType="separate"/>
        </w:r>
        <w:r w:rsidR="009B23FC">
          <w:rPr>
            <w:noProof/>
            <w:webHidden/>
          </w:rPr>
          <w:t>37</w:t>
        </w:r>
        <w:r w:rsidR="000627A1">
          <w:rPr>
            <w:noProof/>
            <w:webHidden/>
          </w:rPr>
          <w:fldChar w:fldCharType="end"/>
        </w:r>
      </w:hyperlink>
    </w:p>
    <w:p w14:paraId="678872DE" w14:textId="4A86DF91" w:rsidR="000627A1" w:rsidRDefault="00F05F8E">
      <w:pPr>
        <w:pStyle w:val="TOC6"/>
        <w:tabs>
          <w:tab w:val="right" w:pos="9062"/>
        </w:tabs>
        <w:rPr>
          <w:rFonts w:asciiTheme="minorHAnsi" w:eastAsiaTheme="minorEastAsia" w:hAnsiTheme="minorHAnsi"/>
          <w:noProof/>
          <w:sz w:val="22"/>
          <w:szCs w:val="22"/>
          <w:lang w:eastAsia="en-AU"/>
        </w:rPr>
      </w:pPr>
      <w:hyperlink w:anchor="_Toc105776359" w:history="1">
        <w:r w:rsidR="000627A1" w:rsidRPr="00B278B9">
          <w:rPr>
            <w:rStyle w:val="Hyperlink"/>
            <w:noProof/>
          </w:rPr>
          <w:t>Chart 2.10 : Sample of cost observations by field of education, postgraduate</w:t>
        </w:r>
        <w:r w:rsidR="000627A1">
          <w:rPr>
            <w:noProof/>
            <w:webHidden/>
          </w:rPr>
          <w:tab/>
        </w:r>
        <w:r w:rsidR="000627A1">
          <w:rPr>
            <w:noProof/>
            <w:webHidden/>
          </w:rPr>
          <w:fldChar w:fldCharType="begin"/>
        </w:r>
        <w:r w:rsidR="000627A1">
          <w:rPr>
            <w:noProof/>
            <w:webHidden/>
          </w:rPr>
          <w:instrText xml:space="preserve"> PAGEREF _Toc105776359 \h </w:instrText>
        </w:r>
        <w:r w:rsidR="000627A1">
          <w:rPr>
            <w:noProof/>
            <w:webHidden/>
          </w:rPr>
        </w:r>
        <w:r w:rsidR="000627A1">
          <w:rPr>
            <w:noProof/>
            <w:webHidden/>
          </w:rPr>
          <w:fldChar w:fldCharType="separate"/>
        </w:r>
        <w:r w:rsidR="009B23FC">
          <w:rPr>
            <w:noProof/>
            <w:webHidden/>
          </w:rPr>
          <w:t>38</w:t>
        </w:r>
        <w:r w:rsidR="000627A1">
          <w:rPr>
            <w:noProof/>
            <w:webHidden/>
          </w:rPr>
          <w:fldChar w:fldCharType="end"/>
        </w:r>
      </w:hyperlink>
    </w:p>
    <w:p w14:paraId="78AB98D2" w14:textId="0EFA0298" w:rsidR="000627A1" w:rsidRDefault="00F05F8E">
      <w:pPr>
        <w:pStyle w:val="TOC6"/>
        <w:tabs>
          <w:tab w:val="right" w:pos="9062"/>
        </w:tabs>
        <w:rPr>
          <w:rFonts w:asciiTheme="minorHAnsi" w:eastAsiaTheme="minorEastAsia" w:hAnsiTheme="minorHAnsi"/>
          <w:noProof/>
          <w:sz w:val="22"/>
          <w:szCs w:val="22"/>
          <w:lang w:eastAsia="en-AU"/>
        </w:rPr>
      </w:pPr>
      <w:hyperlink w:anchor="_Toc105776360" w:history="1">
        <w:r w:rsidR="000627A1" w:rsidRPr="00B278B9">
          <w:rPr>
            <w:rStyle w:val="Hyperlink"/>
            <w:noProof/>
          </w:rPr>
          <w:t>Chart 2.11 : Count of outlier cost observations removed by field and level of education combination (2019)</w:t>
        </w:r>
        <w:r w:rsidR="000627A1">
          <w:rPr>
            <w:noProof/>
            <w:webHidden/>
          </w:rPr>
          <w:tab/>
        </w:r>
        <w:r w:rsidR="000627A1">
          <w:rPr>
            <w:noProof/>
            <w:webHidden/>
          </w:rPr>
          <w:fldChar w:fldCharType="begin"/>
        </w:r>
        <w:r w:rsidR="000627A1">
          <w:rPr>
            <w:noProof/>
            <w:webHidden/>
          </w:rPr>
          <w:instrText xml:space="preserve"> PAGEREF _Toc105776360 \h </w:instrText>
        </w:r>
        <w:r w:rsidR="000627A1">
          <w:rPr>
            <w:noProof/>
            <w:webHidden/>
          </w:rPr>
        </w:r>
        <w:r w:rsidR="000627A1">
          <w:rPr>
            <w:noProof/>
            <w:webHidden/>
          </w:rPr>
          <w:fldChar w:fldCharType="separate"/>
        </w:r>
        <w:r w:rsidR="009B23FC">
          <w:rPr>
            <w:noProof/>
            <w:webHidden/>
          </w:rPr>
          <w:t>39</w:t>
        </w:r>
        <w:r w:rsidR="000627A1">
          <w:rPr>
            <w:noProof/>
            <w:webHidden/>
          </w:rPr>
          <w:fldChar w:fldCharType="end"/>
        </w:r>
      </w:hyperlink>
    </w:p>
    <w:p w14:paraId="6A1298E3" w14:textId="12507B48" w:rsidR="000627A1" w:rsidRDefault="00F05F8E">
      <w:pPr>
        <w:pStyle w:val="TOC6"/>
        <w:tabs>
          <w:tab w:val="right" w:pos="9062"/>
        </w:tabs>
        <w:rPr>
          <w:rFonts w:asciiTheme="minorHAnsi" w:eastAsiaTheme="minorEastAsia" w:hAnsiTheme="minorHAnsi"/>
          <w:noProof/>
          <w:sz w:val="22"/>
          <w:szCs w:val="22"/>
          <w:lang w:eastAsia="en-AU"/>
        </w:rPr>
      </w:pPr>
      <w:hyperlink w:anchor="_Toc105776361" w:history="1">
        <w:r w:rsidR="000627A1" w:rsidRPr="00B278B9">
          <w:rPr>
            <w:rStyle w:val="Hyperlink"/>
            <w:noProof/>
          </w:rPr>
          <w:t>Chart 2.12 : Count of outlier cost observations removed by field and level of education combination (2020)</w:t>
        </w:r>
        <w:r w:rsidR="000627A1">
          <w:rPr>
            <w:noProof/>
            <w:webHidden/>
          </w:rPr>
          <w:tab/>
        </w:r>
        <w:r w:rsidR="000627A1">
          <w:rPr>
            <w:noProof/>
            <w:webHidden/>
          </w:rPr>
          <w:fldChar w:fldCharType="begin"/>
        </w:r>
        <w:r w:rsidR="000627A1">
          <w:rPr>
            <w:noProof/>
            <w:webHidden/>
          </w:rPr>
          <w:instrText xml:space="preserve"> PAGEREF _Toc105776361 \h </w:instrText>
        </w:r>
        <w:r w:rsidR="000627A1">
          <w:rPr>
            <w:noProof/>
            <w:webHidden/>
          </w:rPr>
        </w:r>
        <w:r w:rsidR="000627A1">
          <w:rPr>
            <w:noProof/>
            <w:webHidden/>
          </w:rPr>
          <w:fldChar w:fldCharType="separate"/>
        </w:r>
        <w:r w:rsidR="009B23FC">
          <w:rPr>
            <w:noProof/>
            <w:webHidden/>
          </w:rPr>
          <w:t>39</w:t>
        </w:r>
        <w:r w:rsidR="000627A1">
          <w:rPr>
            <w:noProof/>
            <w:webHidden/>
          </w:rPr>
          <w:fldChar w:fldCharType="end"/>
        </w:r>
      </w:hyperlink>
    </w:p>
    <w:p w14:paraId="66802C2E" w14:textId="035FF051" w:rsidR="000627A1" w:rsidRDefault="00F05F8E">
      <w:pPr>
        <w:pStyle w:val="TOC6"/>
        <w:tabs>
          <w:tab w:val="right" w:pos="9062"/>
        </w:tabs>
        <w:rPr>
          <w:rFonts w:asciiTheme="minorHAnsi" w:eastAsiaTheme="minorEastAsia" w:hAnsiTheme="minorHAnsi"/>
          <w:noProof/>
          <w:sz w:val="22"/>
          <w:szCs w:val="22"/>
          <w:lang w:eastAsia="en-AU"/>
        </w:rPr>
      </w:pPr>
      <w:hyperlink w:anchor="_Toc105776362" w:history="1">
        <w:r w:rsidR="000627A1" w:rsidRPr="00B278B9">
          <w:rPr>
            <w:rStyle w:val="Hyperlink"/>
            <w:noProof/>
          </w:rPr>
          <w:t>Chart 2.13 : Average unit costs by field for sub-bachelor (2019 and 2020)</w:t>
        </w:r>
        <w:r w:rsidR="000627A1">
          <w:rPr>
            <w:noProof/>
            <w:webHidden/>
          </w:rPr>
          <w:tab/>
        </w:r>
        <w:r w:rsidR="000627A1">
          <w:rPr>
            <w:noProof/>
            <w:webHidden/>
          </w:rPr>
          <w:fldChar w:fldCharType="begin"/>
        </w:r>
        <w:r w:rsidR="000627A1">
          <w:rPr>
            <w:noProof/>
            <w:webHidden/>
          </w:rPr>
          <w:instrText xml:space="preserve"> PAGEREF _Toc105776362 \h </w:instrText>
        </w:r>
        <w:r w:rsidR="000627A1">
          <w:rPr>
            <w:noProof/>
            <w:webHidden/>
          </w:rPr>
        </w:r>
        <w:r w:rsidR="000627A1">
          <w:rPr>
            <w:noProof/>
            <w:webHidden/>
          </w:rPr>
          <w:fldChar w:fldCharType="separate"/>
        </w:r>
        <w:r w:rsidR="009B23FC">
          <w:rPr>
            <w:noProof/>
            <w:webHidden/>
          </w:rPr>
          <w:t>42</w:t>
        </w:r>
        <w:r w:rsidR="000627A1">
          <w:rPr>
            <w:noProof/>
            <w:webHidden/>
          </w:rPr>
          <w:fldChar w:fldCharType="end"/>
        </w:r>
      </w:hyperlink>
    </w:p>
    <w:p w14:paraId="5E2BDA3E" w14:textId="2CF8638A" w:rsidR="000627A1" w:rsidRDefault="00F05F8E">
      <w:pPr>
        <w:pStyle w:val="TOC6"/>
        <w:tabs>
          <w:tab w:val="right" w:pos="9062"/>
        </w:tabs>
        <w:rPr>
          <w:rFonts w:asciiTheme="minorHAnsi" w:eastAsiaTheme="minorEastAsia" w:hAnsiTheme="minorHAnsi"/>
          <w:noProof/>
          <w:sz w:val="22"/>
          <w:szCs w:val="22"/>
          <w:lang w:eastAsia="en-AU"/>
        </w:rPr>
      </w:pPr>
      <w:hyperlink w:anchor="_Toc105776363" w:history="1">
        <w:r w:rsidR="000627A1" w:rsidRPr="00B278B9">
          <w:rPr>
            <w:rStyle w:val="Hyperlink"/>
            <w:noProof/>
          </w:rPr>
          <w:t>Chart 2.14 : Distribution of unit costs by field for bachelor (2019 and 2020)</w:t>
        </w:r>
        <w:r w:rsidR="000627A1">
          <w:rPr>
            <w:noProof/>
            <w:webHidden/>
          </w:rPr>
          <w:tab/>
        </w:r>
        <w:r w:rsidR="000627A1">
          <w:rPr>
            <w:noProof/>
            <w:webHidden/>
          </w:rPr>
          <w:fldChar w:fldCharType="begin"/>
        </w:r>
        <w:r w:rsidR="000627A1">
          <w:rPr>
            <w:noProof/>
            <w:webHidden/>
          </w:rPr>
          <w:instrText xml:space="preserve"> PAGEREF _Toc105776363 \h </w:instrText>
        </w:r>
        <w:r w:rsidR="000627A1">
          <w:rPr>
            <w:noProof/>
            <w:webHidden/>
          </w:rPr>
        </w:r>
        <w:r w:rsidR="000627A1">
          <w:rPr>
            <w:noProof/>
            <w:webHidden/>
          </w:rPr>
          <w:fldChar w:fldCharType="separate"/>
        </w:r>
        <w:r w:rsidR="009B23FC">
          <w:rPr>
            <w:noProof/>
            <w:webHidden/>
          </w:rPr>
          <w:t>44</w:t>
        </w:r>
        <w:r w:rsidR="000627A1">
          <w:rPr>
            <w:noProof/>
            <w:webHidden/>
          </w:rPr>
          <w:fldChar w:fldCharType="end"/>
        </w:r>
      </w:hyperlink>
    </w:p>
    <w:p w14:paraId="53606E30" w14:textId="7D1F6CC8" w:rsidR="000627A1" w:rsidRDefault="00F05F8E">
      <w:pPr>
        <w:pStyle w:val="TOC6"/>
        <w:tabs>
          <w:tab w:val="right" w:pos="9062"/>
        </w:tabs>
        <w:rPr>
          <w:rFonts w:asciiTheme="minorHAnsi" w:eastAsiaTheme="minorEastAsia" w:hAnsiTheme="minorHAnsi"/>
          <w:noProof/>
          <w:sz w:val="22"/>
          <w:szCs w:val="22"/>
          <w:lang w:eastAsia="en-AU"/>
        </w:rPr>
      </w:pPr>
      <w:hyperlink w:anchor="_Toc105776364" w:history="1">
        <w:r w:rsidR="000627A1" w:rsidRPr="00B278B9">
          <w:rPr>
            <w:rStyle w:val="Hyperlink"/>
            <w:noProof/>
          </w:rPr>
          <w:t>Chart 2.15 : Average unit cost and dispersion by field for bachelor (2019)</w:t>
        </w:r>
        <w:r w:rsidR="000627A1">
          <w:rPr>
            <w:noProof/>
            <w:webHidden/>
          </w:rPr>
          <w:tab/>
        </w:r>
        <w:r w:rsidR="000627A1">
          <w:rPr>
            <w:noProof/>
            <w:webHidden/>
          </w:rPr>
          <w:fldChar w:fldCharType="begin"/>
        </w:r>
        <w:r w:rsidR="000627A1">
          <w:rPr>
            <w:noProof/>
            <w:webHidden/>
          </w:rPr>
          <w:instrText xml:space="preserve"> PAGEREF _Toc105776364 \h </w:instrText>
        </w:r>
        <w:r w:rsidR="000627A1">
          <w:rPr>
            <w:noProof/>
            <w:webHidden/>
          </w:rPr>
        </w:r>
        <w:r w:rsidR="000627A1">
          <w:rPr>
            <w:noProof/>
            <w:webHidden/>
          </w:rPr>
          <w:fldChar w:fldCharType="separate"/>
        </w:r>
        <w:r w:rsidR="009B23FC">
          <w:rPr>
            <w:noProof/>
            <w:webHidden/>
          </w:rPr>
          <w:t>45</w:t>
        </w:r>
        <w:r w:rsidR="000627A1">
          <w:rPr>
            <w:noProof/>
            <w:webHidden/>
          </w:rPr>
          <w:fldChar w:fldCharType="end"/>
        </w:r>
      </w:hyperlink>
    </w:p>
    <w:p w14:paraId="35701655" w14:textId="5E2CF73D" w:rsidR="000627A1" w:rsidRDefault="00F05F8E">
      <w:pPr>
        <w:pStyle w:val="TOC6"/>
        <w:tabs>
          <w:tab w:val="right" w:pos="9062"/>
        </w:tabs>
        <w:rPr>
          <w:rFonts w:asciiTheme="minorHAnsi" w:eastAsiaTheme="minorEastAsia" w:hAnsiTheme="minorHAnsi"/>
          <w:noProof/>
          <w:sz w:val="22"/>
          <w:szCs w:val="22"/>
          <w:lang w:eastAsia="en-AU"/>
        </w:rPr>
      </w:pPr>
      <w:hyperlink w:anchor="_Toc105776365" w:history="1">
        <w:r w:rsidR="000627A1" w:rsidRPr="00B278B9">
          <w:rPr>
            <w:rStyle w:val="Hyperlink"/>
            <w:noProof/>
          </w:rPr>
          <w:t>Chart 2.16 : Average unit cost and dispersion by field for bachelor (2020)</w:t>
        </w:r>
        <w:r w:rsidR="000627A1">
          <w:rPr>
            <w:noProof/>
            <w:webHidden/>
          </w:rPr>
          <w:tab/>
        </w:r>
        <w:r w:rsidR="000627A1">
          <w:rPr>
            <w:noProof/>
            <w:webHidden/>
          </w:rPr>
          <w:fldChar w:fldCharType="begin"/>
        </w:r>
        <w:r w:rsidR="000627A1">
          <w:rPr>
            <w:noProof/>
            <w:webHidden/>
          </w:rPr>
          <w:instrText xml:space="preserve"> PAGEREF _Toc105776365 \h </w:instrText>
        </w:r>
        <w:r w:rsidR="000627A1">
          <w:rPr>
            <w:noProof/>
            <w:webHidden/>
          </w:rPr>
        </w:r>
        <w:r w:rsidR="000627A1">
          <w:rPr>
            <w:noProof/>
            <w:webHidden/>
          </w:rPr>
          <w:fldChar w:fldCharType="separate"/>
        </w:r>
        <w:r w:rsidR="009B23FC">
          <w:rPr>
            <w:noProof/>
            <w:webHidden/>
          </w:rPr>
          <w:t>46</w:t>
        </w:r>
        <w:r w:rsidR="000627A1">
          <w:rPr>
            <w:noProof/>
            <w:webHidden/>
          </w:rPr>
          <w:fldChar w:fldCharType="end"/>
        </w:r>
      </w:hyperlink>
    </w:p>
    <w:p w14:paraId="28158E20" w14:textId="23165EC9" w:rsidR="000627A1" w:rsidRDefault="00F05F8E">
      <w:pPr>
        <w:pStyle w:val="TOC6"/>
        <w:tabs>
          <w:tab w:val="right" w:pos="9062"/>
        </w:tabs>
        <w:rPr>
          <w:rFonts w:asciiTheme="minorHAnsi" w:eastAsiaTheme="minorEastAsia" w:hAnsiTheme="minorHAnsi"/>
          <w:noProof/>
          <w:sz w:val="22"/>
          <w:szCs w:val="22"/>
          <w:lang w:eastAsia="en-AU"/>
        </w:rPr>
      </w:pPr>
      <w:hyperlink w:anchor="_Toc105776366" w:history="1">
        <w:r w:rsidR="000627A1" w:rsidRPr="00B278B9">
          <w:rPr>
            <w:rStyle w:val="Hyperlink"/>
            <w:noProof/>
          </w:rPr>
          <w:t xml:space="preserve">Chart 2.17 : Average unit costs by field for postgraduate (2019 and 2020) </w:t>
        </w:r>
        <w:r w:rsidR="000627A1">
          <w:rPr>
            <w:noProof/>
            <w:webHidden/>
          </w:rPr>
          <w:tab/>
        </w:r>
        <w:r w:rsidR="000627A1">
          <w:rPr>
            <w:noProof/>
            <w:webHidden/>
          </w:rPr>
          <w:fldChar w:fldCharType="begin"/>
        </w:r>
        <w:r w:rsidR="000627A1">
          <w:rPr>
            <w:noProof/>
            <w:webHidden/>
          </w:rPr>
          <w:instrText xml:space="preserve"> PAGEREF _Toc105776366 \h </w:instrText>
        </w:r>
        <w:r w:rsidR="000627A1">
          <w:rPr>
            <w:noProof/>
            <w:webHidden/>
          </w:rPr>
        </w:r>
        <w:r w:rsidR="000627A1">
          <w:rPr>
            <w:noProof/>
            <w:webHidden/>
          </w:rPr>
          <w:fldChar w:fldCharType="separate"/>
        </w:r>
        <w:r w:rsidR="009B23FC">
          <w:rPr>
            <w:noProof/>
            <w:webHidden/>
          </w:rPr>
          <w:t>48</w:t>
        </w:r>
        <w:r w:rsidR="000627A1">
          <w:rPr>
            <w:noProof/>
            <w:webHidden/>
          </w:rPr>
          <w:fldChar w:fldCharType="end"/>
        </w:r>
      </w:hyperlink>
    </w:p>
    <w:p w14:paraId="5DFA33E5" w14:textId="0953D4D8" w:rsidR="000627A1" w:rsidRDefault="00F05F8E">
      <w:pPr>
        <w:pStyle w:val="TOC6"/>
        <w:tabs>
          <w:tab w:val="right" w:pos="9062"/>
        </w:tabs>
        <w:rPr>
          <w:rFonts w:asciiTheme="minorHAnsi" w:eastAsiaTheme="minorEastAsia" w:hAnsiTheme="minorHAnsi"/>
          <w:noProof/>
          <w:sz w:val="22"/>
          <w:szCs w:val="22"/>
          <w:lang w:eastAsia="en-AU"/>
        </w:rPr>
      </w:pPr>
      <w:hyperlink w:anchor="_Toc105776367" w:history="1">
        <w:r w:rsidR="000627A1" w:rsidRPr="00B278B9">
          <w:rPr>
            <w:rStyle w:val="Hyperlink"/>
            <w:noProof/>
          </w:rPr>
          <w:t>Chart 2.18 : Average unit costs as a proportion of base funding for bachelor (2019 and 2020) (37 universities)</w:t>
        </w:r>
        <w:r w:rsidR="000627A1">
          <w:rPr>
            <w:noProof/>
            <w:webHidden/>
          </w:rPr>
          <w:tab/>
        </w:r>
        <w:r w:rsidR="000627A1">
          <w:rPr>
            <w:noProof/>
            <w:webHidden/>
          </w:rPr>
          <w:fldChar w:fldCharType="begin"/>
        </w:r>
        <w:r w:rsidR="000627A1">
          <w:rPr>
            <w:noProof/>
            <w:webHidden/>
          </w:rPr>
          <w:instrText xml:space="preserve"> PAGEREF _Toc105776367 \h </w:instrText>
        </w:r>
        <w:r w:rsidR="000627A1">
          <w:rPr>
            <w:noProof/>
            <w:webHidden/>
          </w:rPr>
        </w:r>
        <w:r w:rsidR="000627A1">
          <w:rPr>
            <w:noProof/>
            <w:webHidden/>
          </w:rPr>
          <w:fldChar w:fldCharType="separate"/>
        </w:r>
        <w:r w:rsidR="009B23FC">
          <w:rPr>
            <w:noProof/>
            <w:webHidden/>
          </w:rPr>
          <w:t>50</w:t>
        </w:r>
        <w:r w:rsidR="000627A1">
          <w:rPr>
            <w:noProof/>
            <w:webHidden/>
          </w:rPr>
          <w:fldChar w:fldCharType="end"/>
        </w:r>
      </w:hyperlink>
    </w:p>
    <w:p w14:paraId="62A5C2F6" w14:textId="0CFE7B81" w:rsidR="000627A1" w:rsidRDefault="00F05F8E">
      <w:pPr>
        <w:pStyle w:val="TOC6"/>
        <w:tabs>
          <w:tab w:val="right" w:pos="9062"/>
        </w:tabs>
        <w:rPr>
          <w:rFonts w:asciiTheme="minorHAnsi" w:eastAsiaTheme="minorEastAsia" w:hAnsiTheme="minorHAnsi"/>
          <w:noProof/>
          <w:sz w:val="22"/>
          <w:szCs w:val="22"/>
          <w:lang w:eastAsia="en-AU"/>
        </w:rPr>
      </w:pPr>
      <w:hyperlink w:anchor="_Toc105776368" w:history="1">
        <w:r w:rsidR="000627A1" w:rsidRPr="00B278B9">
          <w:rPr>
            <w:rStyle w:val="Hyperlink"/>
            <w:noProof/>
          </w:rPr>
          <w:t>Chart 2.19 : Distribution of average unit costs to base funding ratio for bachelor studies, 2018 common sample (32 universities).</w:t>
        </w:r>
        <w:r w:rsidR="000627A1">
          <w:rPr>
            <w:noProof/>
            <w:webHidden/>
          </w:rPr>
          <w:tab/>
        </w:r>
        <w:r w:rsidR="000627A1">
          <w:rPr>
            <w:noProof/>
            <w:webHidden/>
          </w:rPr>
          <w:fldChar w:fldCharType="begin"/>
        </w:r>
        <w:r w:rsidR="000627A1">
          <w:rPr>
            <w:noProof/>
            <w:webHidden/>
          </w:rPr>
          <w:instrText xml:space="preserve"> PAGEREF _Toc105776368 \h </w:instrText>
        </w:r>
        <w:r w:rsidR="000627A1">
          <w:rPr>
            <w:noProof/>
            <w:webHidden/>
          </w:rPr>
        </w:r>
        <w:r w:rsidR="000627A1">
          <w:rPr>
            <w:noProof/>
            <w:webHidden/>
          </w:rPr>
          <w:fldChar w:fldCharType="separate"/>
        </w:r>
        <w:r w:rsidR="009B23FC">
          <w:rPr>
            <w:noProof/>
            <w:webHidden/>
          </w:rPr>
          <w:t>51</w:t>
        </w:r>
        <w:r w:rsidR="000627A1">
          <w:rPr>
            <w:noProof/>
            <w:webHidden/>
          </w:rPr>
          <w:fldChar w:fldCharType="end"/>
        </w:r>
      </w:hyperlink>
    </w:p>
    <w:p w14:paraId="0C35515B" w14:textId="10F1D1A0" w:rsidR="000627A1" w:rsidRDefault="00F05F8E">
      <w:pPr>
        <w:pStyle w:val="TOC6"/>
        <w:tabs>
          <w:tab w:val="right" w:pos="9062"/>
        </w:tabs>
        <w:rPr>
          <w:rFonts w:asciiTheme="minorHAnsi" w:eastAsiaTheme="minorEastAsia" w:hAnsiTheme="minorHAnsi"/>
          <w:noProof/>
          <w:sz w:val="22"/>
          <w:szCs w:val="22"/>
          <w:lang w:eastAsia="en-AU"/>
        </w:rPr>
      </w:pPr>
      <w:hyperlink w:anchor="_Toc105776369" w:history="1">
        <w:r w:rsidR="000627A1" w:rsidRPr="00B278B9">
          <w:rPr>
            <w:rStyle w:val="Hyperlink"/>
            <w:noProof/>
          </w:rPr>
          <w:t>Chart 2.20 : Comparing average costs between 2018 and 2020 for all levels of study (2018 common sample (32 universities)), CAGR</w:t>
        </w:r>
        <w:r w:rsidR="000627A1">
          <w:rPr>
            <w:noProof/>
            <w:webHidden/>
          </w:rPr>
          <w:tab/>
        </w:r>
        <w:r w:rsidR="000627A1">
          <w:rPr>
            <w:noProof/>
            <w:webHidden/>
          </w:rPr>
          <w:fldChar w:fldCharType="begin"/>
        </w:r>
        <w:r w:rsidR="000627A1">
          <w:rPr>
            <w:noProof/>
            <w:webHidden/>
          </w:rPr>
          <w:instrText xml:space="preserve"> PAGEREF _Toc105776369 \h </w:instrText>
        </w:r>
        <w:r w:rsidR="000627A1">
          <w:rPr>
            <w:noProof/>
            <w:webHidden/>
          </w:rPr>
        </w:r>
        <w:r w:rsidR="000627A1">
          <w:rPr>
            <w:noProof/>
            <w:webHidden/>
          </w:rPr>
          <w:fldChar w:fldCharType="separate"/>
        </w:r>
        <w:r w:rsidR="009B23FC">
          <w:rPr>
            <w:noProof/>
            <w:webHidden/>
          </w:rPr>
          <w:t>53</w:t>
        </w:r>
        <w:r w:rsidR="000627A1">
          <w:rPr>
            <w:noProof/>
            <w:webHidden/>
          </w:rPr>
          <w:fldChar w:fldCharType="end"/>
        </w:r>
      </w:hyperlink>
    </w:p>
    <w:p w14:paraId="747EB871" w14:textId="2E010F9A" w:rsidR="000627A1" w:rsidRDefault="00F05F8E">
      <w:pPr>
        <w:pStyle w:val="TOC6"/>
        <w:tabs>
          <w:tab w:val="right" w:pos="9062"/>
        </w:tabs>
        <w:rPr>
          <w:rFonts w:asciiTheme="minorHAnsi" w:eastAsiaTheme="minorEastAsia" w:hAnsiTheme="minorHAnsi"/>
          <w:noProof/>
          <w:sz w:val="22"/>
          <w:szCs w:val="22"/>
          <w:lang w:eastAsia="en-AU"/>
        </w:rPr>
      </w:pPr>
      <w:hyperlink w:anchor="_Toc105776370" w:history="1">
        <w:r w:rsidR="000627A1" w:rsidRPr="00B278B9">
          <w:rPr>
            <w:rStyle w:val="Hyperlink"/>
            <w:noProof/>
          </w:rPr>
          <w:t>Chart 2.21 : Comparing costs between 2018 and 2020 for sub-bachelor (2018 common sample (32 universities))</w:t>
        </w:r>
        <w:r w:rsidR="000627A1">
          <w:rPr>
            <w:noProof/>
            <w:webHidden/>
          </w:rPr>
          <w:tab/>
        </w:r>
        <w:r w:rsidR="000627A1">
          <w:rPr>
            <w:noProof/>
            <w:webHidden/>
          </w:rPr>
          <w:fldChar w:fldCharType="begin"/>
        </w:r>
        <w:r w:rsidR="000627A1">
          <w:rPr>
            <w:noProof/>
            <w:webHidden/>
          </w:rPr>
          <w:instrText xml:space="preserve"> PAGEREF _Toc105776370 \h </w:instrText>
        </w:r>
        <w:r w:rsidR="000627A1">
          <w:rPr>
            <w:noProof/>
            <w:webHidden/>
          </w:rPr>
        </w:r>
        <w:r w:rsidR="000627A1">
          <w:rPr>
            <w:noProof/>
            <w:webHidden/>
          </w:rPr>
          <w:fldChar w:fldCharType="separate"/>
        </w:r>
        <w:r w:rsidR="009B23FC">
          <w:rPr>
            <w:noProof/>
            <w:webHidden/>
          </w:rPr>
          <w:t>54</w:t>
        </w:r>
        <w:r w:rsidR="000627A1">
          <w:rPr>
            <w:noProof/>
            <w:webHidden/>
          </w:rPr>
          <w:fldChar w:fldCharType="end"/>
        </w:r>
      </w:hyperlink>
    </w:p>
    <w:p w14:paraId="3C76C395" w14:textId="6070FD2E" w:rsidR="000627A1" w:rsidRDefault="00F05F8E">
      <w:pPr>
        <w:pStyle w:val="TOC6"/>
        <w:tabs>
          <w:tab w:val="right" w:pos="9062"/>
        </w:tabs>
        <w:rPr>
          <w:rFonts w:asciiTheme="minorHAnsi" w:eastAsiaTheme="minorEastAsia" w:hAnsiTheme="minorHAnsi"/>
          <w:noProof/>
          <w:sz w:val="22"/>
          <w:szCs w:val="22"/>
          <w:lang w:eastAsia="en-AU"/>
        </w:rPr>
      </w:pPr>
      <w:hyperlink w:anchor="_Toc105776371" w:history="1">
        <w:r w:rsidR="000627A1" w:rsidRPr="00B278B9">
          <w:rPr>
            <w:rStyle w:val="Hyperlink"/>
            <w:noProof/>
          </w:rPr>
          <w:t>Chart 2.22 : Comparing costs between 2018 and 2020 for bachelor (2018 common sample (32 universities))</w:t>
        </w:r>
        <w:r w:rsidR="000627A1">
          <w:rPr>
            <w:noProof/>
            <w:webHidden/>
          </w:rPr>
          <w:tab/>
        </w:r>
        <w:r w:rsidR="000627A1">
          <w:rPr>
            <w:noProof/>
            <w:webHidden/>
          </w:rPr>
          <w:fldChar w:fldCharType="begin"/>
        </w:r>
        <w:r w:rsidR="000627A1">
          <w:rPr>
            <w:noProof/>
            <w:webHidden/>
          </w:rPr>
          <w:instrText xml:space="preserve"> PAGEREF _Toc105776371 \h </w:instrText>
        </w:r>
        <w:r w:rsidR="000627A1">
          <w:rPr>
            <w:noProof/>
            <w:webHidden/>
          </w:rPr>
        </w:r>
        <w:r w:rsidR="000627A1">
          <w:rPr>
            <w:noProof/>
            <w:webHidden/>
          </w:rPr>
          <w:fldChar w:fldCharType="separate"/>
        </w:r>
        <w:r w:rsidR="009B23FC">
          <w:rPr>
            <w:noProof/>
            <w:webHidden/>
          </w:rPr>
          <w:t>55</w:t>
        </w:r>
        <w:r w:rsidR="000627A1">
          <w:rPr>
            <w:noProof/>
            <w:webHidden/>
          </w:rPr>
          <w:fldChar w:fldCharType="end"/>
        </w:r>
      </w:hyperlink>
    </w:p>
    <w:p w14:paraId="333A00C6" w14:textId="45B12184" w:rsidR="000627A1" w:rsidRDefault="00F05F8E">
      <w:pPr>
        <w:pStyle w:val="TOC6"/>
        <w:tabs>
          <w:tab w:val="right" w:pos="9062"/>
        </w:tabs>
        <w:rPr>
          <w:rFonts w:asciiTheme="minorHAnsi" w:eastAsiaTheme="minorEastAsia" w:hAnsiTheme="minorHAnsi"/>
          <w:noProof/>
          <w:sz w:val="22"/>
          <w:szCs w:val="22"/>
          <w:lang w:eastAsia="en-AU"/>
        </w:rPr>
      </w:pPr>
      <w:hyperlink w:anchor="_Toc105776373" w:history="1">
        <w:r w:rsidR="000627A1" w:rsidRPr="00B278B9">
          <w:rPr>
            <w:rStyle w:val="Hyperlink"/>
            <w:noProof/>
          </w:rPr>
          <w:t>Chart 2.23 : Comparing costs between 2018 and 2020 for postgraduate (2018 common sample (32 universities))</w:t>
        </w:r>
        <w:r w:rsidR="000627A1">
          <w:rPr>
            <w:noProof/>
            <w:webHidden/>
          </w:rPr>
          <w:tab/>
        </w:r>
        <w:r w:rsidR="000627A1">
          <w:rPr>
            <w:noProof/>
            <w:webHidden/>
          </w:rPr>
          <w:fldChar w:fldCharType="begin"/>
        </w:r>
        <w:r w:rsidR="000627A1">
          <w:rPr>
            <w:noProof/>
            <w:webHidden/>
          </w:rPr>
          <w:instrText xml:space="preserve"> PAGEREF _Toc105776373 \h </w:instrText>
        </w:r>
        <w:r w:rsidR="000627A1">
          <w:rPr>
            <w:noProof/>
            <w:webHidden/>
          </w:rPr>
        </w:r>
        <w:r w:rsidR="000627A1">
          <w:rPr>
            <w:noProof/>
            <w:webHidden/>
          </w:rPr>
          <w:fldChar w:fldCharType="separate"/>
        </w:r>
        <w:r w:rsidR="009B23FC">
          <w:rPr>
            <w:noProof/>
            <w:webHidden/>
          </w:rPr>
          <w:t>56</w:t>
        </w:r>
        <w:r w:rsidR="000627A1">
          <w:rPr>
            <w:noProof/>
            <w:webHidden/>
          </w:rPr>
          <w:fldChar w:fldCharType="end"/>
        </w:r>
      </w:hyperlink>
    </w:p>
    <w:p w14:paraId="533C7702" w14:textId="6A55E3AD" w:rsidR="000627A1" w:rsidRDefault="00F05F8E">
      <w:pPr>
        <w:pStyle w:val="TOC6"/>
        <w:tabs>
          <w:tab w:val="right" w:pos="9062"/>
        </w:tabs>
        <w:rPr>
          <w:rFonts w:asciiTheme="minorHAnsi" w:eastAsiaTheme="minorEastAsia" w:hAnsiTheme="minorHAnsi"/>
          <w:noProof/>
          <w:sz w:val="22"/>
          <w:szCs w:val="22"/>
          <w:lang w:eastAsia="en-AU"/>
        </w:rPr>
      </w:pPr>
      <w:hyperlink w:anchor="_Toc105776374" w:history="1">
        <w:r w:rsidR="000627A1" w:rsidRPr="00B278B9">
          <w:rPr>
            <w:rStyle w:val="Hyperlink"/>
            <w:noProof/>
          </w:rPr>
          <w:t>Chart 2.24 : Comparing average costs between 2017 and 2020 for all levels of study (2017 common sample (25 universities)), CAGR</w:t>
        </w:r>
        <w:r w:rsidR="000627A1">
          <w:rPr>
            <w:noProof/>
            <w:webHidden/>
          </w:rPr>
          <w:tab/>
        </w:r>
        <w:r w:rsidR="000627A1">
          <w:rPr>
            <w:noProof/>
            <w:webHidden/>
          </w:rPr>
          <w:fldChar w:fldCharType="begin"/>
        </w:r>
        <w:r w:rsidR="000627A1">
          <w:rPr>
            <w:noProof/>
            <w:webHidden/>
          </w:rPr>
          <w:instrText xml:space="preserve"> PAGEREF _Toc105776374 \h </w:instrText>
        </w:r>
        <w:r w:rsidR="000627A1">
          <w:rPr>
            <w:noProof/>
            <w:webHidden/>
          </w:rPr>
        </w:r>
        <w:r w:rsidR="000627A1">
          <w:rPr>
            <w:noProof/>
            <w:webHidden/>
          </w:rPr>
          <w:fldChar w:fldCharType="separate"/>
        </w:r>
        <w:r w:rsidR="009B23FC">
          <w:rPr>
            <w:noProof/>
            <w:webHidden/>
          </w:rPr>
          <w:t>57</w:t>
        </w:r>
        <w:r w:rsidR="000627A1">
          <w:rPr>
            <w:noProof/>
            <w:webHidden/>
          </w:rPr>
          <w:fldChar w:fldCharType="end"/>
        </w:r>
      </w:hyperlink>
    </w:p>
    <w:p w14:paraId="51AE61B7" w14:textId="7DD24D28" w:rsidR="000627A1" w:rsidRDefault="00F05F8E">
      <w:pPr>
        <w:pStyle w:val="TOC6"/>
        <w:tabs>
          <w:tab w:val="right" w:pos="9062"/>
        </w:tabs>
        <w:rPr>
          <w:rFonts w:asciiTheme="minorHAnsi" w:eastAsiaTheme="minorEastAsia" w:hAnsiTheme="minorHAnsi"/>
          <w:noProof/>
          <w:sz w:val="22"/>
          <w:szCs w:val="22"/>
          <w:lang w:eastAsia="en-AU"/>
        </w:rPr>
      </w:pPr>
      <w:hyperlink w:anchor="_Toc105776375" w:history="1">
        <w:r w:rsidR="000627A1" w:rsidRPr="00B278B9">
          <w:rPr>
            <w:rStyle w:val="Hyperlink"/>
            <w:noProof/>
          </w:rPr>
          <w:t>Chart 2.25 : Comparing average costs between 2015 and 2020 for all levels of study (2015 common sample (17 universities)), CAGR</w:t>
        </w:r>
        <w:r w:rsidR="000627A1">
          <w:rPr>
            <w:noProof/>
            <w:webHidden/>
          </w:rPr>
          <w:tab/>
        </w:r>
        <w:r w:rsidR="000627A1">
          <w:rPr>
            <w:noProof/>
            <w:webHidden/>
          </w:rPr>
          <w:fldChar w:fldCharType="begin"/>
        </w:r>
        <w:r w:rsidR="000627A1">
          <w:rPr>
            <w:noProof/>
            <w:webHidden/>
          </w:rPr>
          <w:instrText xml:space="preserve"> PAGEREF _Toc105776375 \h </w:instrText>
        </w:r>
        <w:r w:rsidR="000627A1">
          <w:rPr>
            <w:noProof/>
            <w:webHidden/>
          </w:rPr>
        </w:r>
        <w:r w:rsidR="000627A1">
          <w:rPr>
            <w:noProof/>
            <w:webHidden/>
          </w:rPr>
          <w:fldChar w:fldCharType="separate"/>
        </w:r>
        <w:r w:rsidR="009B23FC">
          <w:rPr>
            <w:noProof/>
            <w:webHidden/>
          </w:rPr>
          <w:t>58</w:t>
        </w:r>
        <w:r w:rsidR="000627A1">
          <w:rPr>
            <w:noProof/>
            <w:webHidden/>
          </w:rPr>
          <w:fldChar w:fldCharType="end"/>
        </w:r>
      </w:hyperlink>
    </w:p>
    <w:p w14:paraId="29E78917" w14:textId="41B244F1" w:rsidR="000627A1" w:rsidRDefault="00F05F8E">
      <w:pPr>
        <w:pStyle w:val="TOC6"/>
        <w:tabs>
          <w:tab w:val="right" w:pos="9062"/>
        </w:tabs>
        <w:rPr>
          <w:rFonts w:asciiTheme="minorHAnsi" w:eastAsiaTheme="minorEastAsia" w:hAnsiTheme="minorHAnsi"/>
          <w:noProof/>
          <w:sz w:val="22"/>
          <w:szCs w:val="22"/>
          <w:lang w:eastAsia="en-AU"/>
        </w:rPr>
      </w:pPr>
      <w:hyperlink w:anchor="_Toc105776376" w:history="1">
        <w:r w:rsidR="000627A1" w:rsidRPr="00B278B9">
          <w:rPr>
            <w:rStyle w:val="Hyperlink"/>
            <w:noProof/>
          </w:rPr>
          <w:t>Chart 2.26 : Variation in capital costs per EFTSL reported ‘above the line’ and the optional depreciation adjustment by university (all levels) (2019)</w:t>
        </w:r>
        <w:r w:rsidR="000627A1">
          <w:rPr>
            <w:noProof/>
            <w:webHidden/>
          </w:rPr>
          <w:tab/>
        </w:r>
        <w:r w:rsidR="000627A1">
          <w:rPr>
            <w:noProof/>
            <w:webHidden/>
          </w:rPr>
          <w:fldChar w:fldCharType="begin"/>
        </w:r>
        <w:r w:rsidR="000627A1">
          <w:rPr>
            <w:noProof/>
            <w:webHidden/>
          </w:rPr>
          <w:instrText xml:space="preserve"> PAGEREF _Toc105776376 \h </w:instrText>
        </w:r>
        <w:r w:rsidR="000627A1">
          <w:rPr>
            <w:noProof/>
            <w:webHidden/>
          </w:rPr>
        </w:r>
        <w:r w:rsidR="000627A1">
          <w:rPr>
            <w:noProof/>
            <w:webHidden/>
          </w:rPr>
          <w:fldChar w:fldCharType="separate"/>
        </w:r>
        <w:r w:rsidR="009B23FC">
          <w:rPr>
            <w:noProof/>
            <w:webHidden/>
          </w:rPr>
          <w:t>71</w:t>
        </w:r>
        <w:r w:rsidR="000627A1">
          <w:rPr>
            <w:noProof/>
            <w:webHidden/>
          </w:rPr>
          <w:fldChar w:fldCharType="end"/>
        </w:r>
      </w:hyperlink>
    </w:p>
    <w:p w14:paraId="32830881" w14:textId="2E088982" w:rsidR="000627A1" w:rsidRDefault="00F05F8E">
      <w:pPr>
        <w:pStyle w:val="TOC6"/>
        <w:tabs>
          <w:tab w:val="right" w:pos="9062"/>
        </w:tabs>
        <w:rPr>
          <w:rFonts w:asciiTheme="minorHAnsi" w:eastAsiaTheme="minorEastAsia" w:hAnsiTheme="minorHAnsi"/>
          <w:noProof/>
          <w:sz w:val="22"/>
          <w:szCs w:val="22"/>
          <w:lang w:eastAsia="en-AU"/>
        </w:rPr>
      </w:pPr>
      <w:hyperlink w:anchor="_Toc105776377" w:history="1">
        <w:r w:rsidR="000627A1" w:rsidRPr="00B278B9">
          <w:rPr>
            <w:rStyle w:val="Hyperlink"/>
            <w:noProof/>
          </w:rPr>
          <w:t>Chart 2.27 : Variation in capital costs per EFTSL reported ‘above the line’ and the optional depreciation adjustment by university (all levels) (2020)</w:t>
        </w:r>
        <w:r w:rsidR="000627A1">
          <w:rPr>
            <w:noProof/>
            <w:webHidden/>
          </w:rPr>
          <w:tab/>
        </w:r>
        <w:r w:rsidR="000627A1">
          <w:rPr>
            <w:noProof/>
            <w:webHidden/>
          </w:rPr>
          <w:fldChar w:fldCharType="begin"/>
        </w:r>
        <w:r w:rsidR="000627A1">
          <w:rPr>
            <w:noProof/>
            <w:webHidden/>
          </w:rPr>
          <w:instrText xml:space="preserve"> PAGEREF _Toc105776377 \h </w:instrText>
        </w:r>
        <w:r w:rsidR="000627A1">
          <w:rPr>
            <w:noProof/>
            <w:webHidden/>
          </w:rPr>
        </w:r>
        <w:r w:rsidR="000627A1">
          <w:rPr>
            <w:noProof/>
            <w:webHidden/>
          </w:rPr>
          <w:fldChar w:fldCharType="separate"/>
        </w:r>
        <w:r w:rsidR="009B23FC">
          <w:rPr>
            <w:noProof/>
            <w:webHidden/>
          </w:rPr>
          <w:t>71</w:t>
        </w:r>
        <w:r w:rsidR="000627A1">
          <w:rPr>
            <w:noProof/>
            <w:webHidden/>
          </w:rPr>
          <w:fldChar w:fldCharType="end"/>
        </w:r>
      </w:hyperlink>
    </w:p>
    <w:p w14:paraId="67EA0BD6" w14:textId="6BC909E5" w:rsidR="000627A1" w:rsidRDefault="00F05F8E">
      <w:pPr>
        <w:pStyle w:val="TOC6"/>
        <w:tabs>
          <w:tab w:val="right" w:pos="9062"/>
        </w:tabs>
        <w:rPr>
          <w:rFonts w:asciiTheme="minorHAnsi" w:eastAsiaTheme="minorEastAsia" w:hAnsiTheme="minorHAnsi"/>
          <w:noProof/>
          <w:sz w:val="22"/>
          <w:szCs w:val="22"/>
          <w:lang w:eastAsia="en-AU"/>
        </w:rPr>
      </w:pPr>
      <w:hyperlink w:anchor="_Toc105776378" w:history="1">
        <w:r w:rsidR="000627A1" w:rsidRPr="00B278B9">
          <w:rPr>
            <w:rStyle w:val="Hyperlink"/>
            <w:noProof/>
          </w:rPr>
          <w:t>Chart 2.28 : Capital costs per EFTSL reported ‘above the line’ and the optional depreciation adjustment (all levels) (2019 and 2020)</w:t>
        </w:r>
        <w:r w:rsidR="000627A1">
          <w:rPr>
            <w:noProof/>
            <w:webHidden/>
          </w:rPr>
          <w:tab/>
        </w:r>
        <w:r w:rsidR="000627A1">
          <w:rPr>
            <w:noProof/>
            <w:webHidden/>
          </w:rPr>
          <w:fldChar w:fldCharType="begin"/>
        </w:r>
        <w:r w:rsidR="000627A1">
          <w:rPr>
            <w:noProof/>
            <w:webHidden/>
          </w:rPr>
          <w:instrText xml:space="preserve"> PAGEREF _Toc105776378 \h </w:instrText>
        </w:r>
        <w:r w:rsidR="000627A1">
          <w:rPr>
            <w:noProof/>
            <w:webHidden/>
          </w:rPr>
        </w:r>
        <w:r w:rsidR="000627A1">
          <w:rPr>
            <w:noProof/>
            <w:webHidden/>
          </w:rPr>
          <w:fldChar w:fldCharType="separate"/>
        </w:r>
        <w:r w:rsidR="009B23FC">
          <w:rPr>
            <w:noProof/>
            <w:webHidden/>
          </w:rPr>
          <w:t>72</w:t>
        </w:r>
        <w:r w:rsidR="000627A1">
          <w:rPr>
            <w:noProof/>
            <w:webHidden/>
          </w:rPr>
          <w:fldChar w:fldCharType="end"/>
        </w:r>
      </w:hyperlink>
    </w:p>
    <w:p w14:paraId="18D4FBD1" w14:textId="45146F56" w:rsidR="000627A1" w:rsidRDefault="00F05F8E">
      <w:pPr>
        <w:pStyle w:val="TOC6"/>
        <w:tabs>
          <w:tab w:val="right" w:pos="9062"/>
        </w:tabs>
        <w:rPr>
          <w:rFonts w:asciiTheme="minorHAnsi" w:eastAsiaTheme="minorEastAsia" w:hAnsiTheme="minorHAnsi"/>
          <w:noProof/>
          <w:sz w:val="22"/>
          <w:szCs w:val="22"/>
          <w:lang w:eastAsia="en-AU"/>
        </w:rPr>
      </w:pPr>
      <w:hyperlink w:anchor="_Toc105776379" w:history="1">
        <w:r w:rsidR="000627A1" w:rsidRPr="00B278B9">
          <w:rPr>
            <w:rStyle w:val="Hyperlink"/>
            <w:noProof/>
          </w:rPr>
          <w:t>Chart 2.29 : Unit costs and deviation from average using different EFTSL thresholds, by level (2019 and 2020)</w:t>
        </w:r>
        <w:r w:rsidR="000627A1">
          <w:rPr>
            <w:noProof/>
            <w:webHidden/>
          </w:rPr>
          <w:tab/>
        </w:r>
        <w:r w:rsidR="000627A1">
          <w:rPr>
            <w:noProof/>
            <w:webHidden/>
          </w:rPr>
          <w:fldChar w:fldCharType="begin"/>
        </w:r>
        <w:r w:rsidR="000627A1">
          <w:rPr>
            <w:noProof/>
            <w:webHidden/>
          </w:rPr>
          <w:instrText xml:space="preserve"> PAGEREF _Toc105776379 \h </w:instrText>
        </w:r>
        <w:r w:rsidR="000627A1">
          <w:rPr>
            <w:noProof/>
            <w:webHidden/>
          </w:rPr>
        </w:r>
        <w:r w:rsidR="000627A1">
          <w:rPr>
            <w:noProof/>
            <w:webHidden/>
          </w:rPr>
          <w:fldChar w:fldCharType="separate"/>
        </w:r>
        <w:r w:rsidR="009B23FC">
          <w:rPr>
            <w:noProof/>
            <w:webHidden/>
          </w:rPr>
          <w:t>73</w:t>
        </w:r>
        <w:r w:rsidR="000627A1">
          <w:rPr>
            <w:noProof/>
            <w:webHidden/>
          </w:rPr>
          <w:fldChar w:fldCharType="end"/>
        </w:r>
      </w:hyperlink>
    </w:p>
    <w:p w14:paraId="3DCD4A0E" w14:textId="671D0254" w:rsidR="000627A1" w:rsidRDefault="00F05F8E">
      <w:pPr>
        <w:pStyle w:val="TOC6"/>
        <w:tabs>
          <w:tab w:val="right" w:pos="9062"/>
        </w:tabs>
        <w:rPr>
          <w:rFonts w:asciiTheme="minorHAnsi" w:eastAsiaTheme="minorEastAsia" w:hAnsiTheme="minorHAnsi"/>
          <w:noProof/>
          <w:sz w:val="22"/>
          <w:szCs w:val="22"/>
          <w:lang w:eastAsia="en-AU"/>
        </w:rPr>
      </w:pPr>
      <w:hyperlink w:anchor="_Toc105776380" w:history="1">
        <w:r w:rsidR="000627A1" w:rsidRPr="00B278B9">
          <w:rPr>
            <w:rStyle w:val="Hyperlink"/>
            <w:noProof/>
            <w:lang w:eastAsia="en-AU"/>
          </w:rPr>
          <w:t>Chart 2.30</w:t>
        </w:r>
        <w:r w:rsidR="000627A1" w:rsidRPr="00B278B9">
          <w:rPr>
            <w:rStyle w:val="Hyperlink"/>
            <w:noProof/>
          </w:rPr>
          <w:t xml:space="preserve"> : Cost per EFTSL, percentage deviation from mean, all levels (2019 and 2020)</w:t>
        </w:r>
        <w:r w:rsidR="000627A1">
          <w:rPr>
            <w:noProof/>
            <w:webHidden/>
          </w:rPr>
          <w:tab/>
        </w:r>
        <w:r w:rsidR="000627A1">
          <w:rPr>
            <w:noProof/>
            <w:webHidden/>
          </w:rPr>
          <w:fldChar w:fldCharType="begin"/>
        </w:r>
        <w:r w:rsidR="000627A1">
          <w:rPr>
            <w:noProof/>
            <w:webHidden/>
          </w:rPr>
          <w:instrText xml:space="preserve"> PAGEREF _Toc105776380 \h </w:instrText>
        </w:r>
        <w:r w:rsidR="000627A1">
          <w:rPr>
            <w:noProof/>
            <w:webHidden/>
          </w:rPr>
        </w:r>
        <w:r w:rsidR="000627A1">
          <w:rPr>
            <w:noProof/>
            <w:webHidden/>
          </w:rPr>
          <w:fldChar w:fldCharType="separate"/>
        </w:r>
        <w:r w:rsidR="009B23FC">
          <w:rPr>
            <w:noProof/>
            <w:webHidden/>
          </w:rPr>
          <w:t>75</w:t>
        </w:r>
        <w:r w:rsidR="000627A1">
          <w:rPr>
            <w:noProof/>
            <w:webHidden/>
          </w:rPr>
          <w:fldChar w:fldCharType="end"/>
        </w:r>
      </w:hyperlink>
    </w:p>
    <w:p w14:paraId="079EDFB8" w14:textId="1ABF79A2" w:rsidR="000627A1" w:rsidRDefault="00F05F8E">
      <w:pPr>
        <w:pStyle w:val="TOC6"/>
        <w:tabs>
          <w:tab w:val="right" w:pos="9062"/>
        </w:tabs>
        <w:rPr>
          <w:rFonts w:asciiTheme="minorHAnsi" w:eastAsiaTheme="minorEastAsia" w:hAnsiTheme="minorHAnsi"/>
          <w:noProof/>
          <w:sz w:val="22"/>
          <w:szCs w:val="22"/>
          <w:lang w:eastAsia="en-AU"/>
        </w:rPr>
      </w:pPr>
      <w:hyperlink w:anchor="_Toc105776381" w:history="1">
        <w:r w:rsidR="000627A1" w:rsidRPr="00B278B9">
          <w:rPr>
            <w:rStyle w:val="Hyperlink"/>
            <w:noProof/>
            <w:lang w:eastAsia="en-AU"/>
          </w:rPr>
          <w:t>Chart 2.31</w:t>
        </w:r>
        <w:r w:rsidR="000627A1" w:rsidRPr="00B278B9">
          <w:rPr>
            <w:rStyle w:val="Hyperlink"/>
            <w:noProof/>
          </w:rPr>
          <w:t xml:space="preserve"> : Percentage change in in-scope overseas student EFTSL by FOE, all levels (2020)</w:t>
        </w:r>
        <w:r w:rsidR="000627A1">
          <w:rPr>
            <w:noProof/>
            <w:webHidden/>
          </w:rPr>
          <w:tab/>
        </w:r>
        <w:r w:rsidR="000627A1">
          <w:rPr>
            <w:noProof/>
            <w:webHidden/>
          </w:rPr>
          <w:fldChar w:fldCharType="begin"/>
        </w:r>
        <w:r w:rsidR="000627A1">
          <w:rPr>
            <w:noProof/>
            <w:webHidden/>
          </w:rPr>
          <w:instrText xml:space="preserve"> PAGEREF _Toc105776381 \h </w:instrText>
        </w:r>
        <w:r w:rsidR="000627A1">
          <w:rPr>
            <w:noProof/>
            <w:webHidden/>
          </w:rPr>
        </w:r>
        <w:r w:rsidR="000627A1">
          <w:rPr>
            <w:noProof/>
            <w:webHidden/>
          </w:rPr>
          <w:fldChar w:fldCharType="separate"/>
        </w:r>
        <w:r w:rsidR="009B23FC">
          <w:rPr>
            <w:noProof/>
            <w:webHidden/>
          </w:rPr>
          <w:t>76</w:t>
        </w:r>
        <w:r w:rsidR="000627A1">
          <w:rPr>
            <w:noProof/>
            <w:webHidden/>
          </w:rPr>
          <w:fldChar w:fldCharType="end"/>
        </w:r>
      </w:hyperlink>
    </w:p>
    <w:p w14:paraId="74F94725" w14:textId="1D03A501" w:rsidR="000627A1" w:rsidRDefault="00F05F8E">
      <w:pPr>
        <w:pStyle w:val="TOC6"/>
        <w:tabs>
          <w:tab w:val="right" w:pos="9062"/>
        </w:tabs>
        <w:rPr>
          <w:rFonts w:asciiTheme="minorHAnsi" w:eastAsiaTheme="minorEastAsia" w:hAnsiTheme="minorHAnsi"/>
          <w:noProof/>
          <w:sz w:val="22"/>
          <w:szCs w:val="22"/>
          <w:lang w:eastAsia="en-AU"/>
        </w:rPr>
      </w:pPr>
      <w:hyperlink w:anchor="_Toc105776382" w:history="1">
        <w:r w:rsidR="000627A1" w:rsidRPr="00B278B9">
          <w:rPr>
            <w:rStyle w:val="Hyperlink"/>
            <w:noProof/>
            <w:lang w:eastAsia="en-AU"/>
          </w:rPr>
          <w:t>Chart 2.32</w:t>
        </w:r>
        <w:r w:rsidR="000627A1" w:rsidRPr="00B278B9">
          <w:rPr>
            <w:rStyle w:val="Hyperlink"/>
            <w:noProof/>
          </w:rPr>
          <w:t xml:space="preserve"> : Change in overseas student EFTSL by university (2020)</w:t>
        </w:r>
        <w:r w:rsidR="000627A1">
          <w:rPr>
            <w:noProof/>
            <w:webHidden/>
          </w:rPr>
          <w:tab/>
        </w:r>
        <w:r w:rsidR="000627A1">
          <w:rPr>
            <w:noProof/>
            <w:webHidden/>
          </w:rPr>
          <w:fldChar w:fldCharType="begin"/>
        </w:r>
        <w:r w:rsidR="000627A1">
          <w:rPr>
            <w:noProof/>
            <w:webHidden/>
          </w:rPr>
          <w:instrText xml:space="preserve"> PAGEREF _Toc105776382 \h </w:instrText>
        </w:r>
        <w:r w:rsidR="000627A1">
          <w:rPr>
            <w:noProof/>
            <w:webHidden/>
          </w:rPr>
        </w:r>
        <w:r w:rsidR="000627A1">
          <w:rPr>
            <w:noProof/>
            <w:webHidden/>
          </w:rPr>
          <w:fldChar w:fldCharType="separate"/>
        </w:r>
        <w:r w:rsidR="009B23FC">
          <w:rPr>
            <w:noProof/>
            <w:webHidden/>
          </w:rPr>
          <w:t>77</w:t>
        </w:r>
        <w:r w:rsidR="000627A1">
          <w:rPr>
            <w:noProof/>
            <w:webHidden/>
          </w:rPr>
          <w:fldChar w:fldCharType="end"/>
        </w:r>
      </w:hyperlink>
    </w:p>
    <w:p w14:paraId="1A2B4437" w14:textId="57817D7F" w:rsidR="000627A1" w:rsidRDefault="00F05F8E">
      <w:pPr>
        <w:pStyle w:val="TOC6"/>
        <w:tabs>
          <w:tab w:val="right" w:pos="9062"/>
        </w:tabs>
        <w:rPr>
          <w:rFonts w:asciiTheme="minorHAnsi" w:eastAsiaTheme="minorEastAsia" w:hAnsiTheme="minorHAnsi"/>
          <w:noProof/>
          <w:sz w:val="22"/>
          <w:szCs w:val="22"/>
          <w:lang w:eastAsia="en-AU"/>
        </w:rPr>
      </w:pPr>
      <w:hyperlink w:anchor="_Toc105776383" w:history="1">
        <w:r w:rsidR="000627A1" w:rsidRPr="00B278B9">
          <w:rPr>
            <w:rStyle w:val="Hyperlink"/>
            <w:noProof/>
          </w:rPr>
          <w:t>Chart 3.1 : Total COVID-19 related costs by university as a percentage of above the line costs (2020)</w:t>
        </w:r>
        <w:r w:rsidR="000627A1">
          <w:rPr>
            <w:noProof/>
            <w:webHidden/>
          </w:rPr>
          <w:tab/>
        </w:r>
        <w:r w:rsidR="000627A1">
          <w:rPr>
            <w:noProof/>
            <w:webHidden/>
          </w:rPr>
          <w:fldChar w:fldCharType="begin"/>
        </w:r>
        <w:r w:rsidR="000627A1">
          <w:rPr>
            <w:noProof/>
            <w:webHidden/>
          </w:rPr>
          <w:instrText xml:space="preserve"> PAGEREF _Toc105776383 \h </w:instrText>
        </w:r>
        <w:r w:rsidR="000627A1">
          <w:rPr>
            <w:noProof/>
            <w:webHidden/>
          </w:rPr>
        </w:r>
        <w:r w:rsidR="000627A1">
          <w:rPr>
            <w:noProof/>
            <w:webHidden/>
          </w:rPr>
          <w:fldChar w:fldCharType="separate"/>
        </w:r>
        <w:r w:rsidR="009B23FC">
          <w:rPr>
            <w:noProof/>
            <w:webHidden/>
          </w:rPr>
          <w:t>81</w:t>
        </w:r>
        <w:r w:rsidR="000627A1">
          <w:rPr>
            <w:noProof/>
            <w:webHidden/>
          </w:rPr>
          <w:fldChar w:fldCharType="end"/>
        </w:r>
      </w:hyperlink>
    </w:p>
    <w:p w14:paraId="08E4A982" w14:textId="1DB85F22" w:rsidR="000627A1" w:rsidRDefault="00F05F8E">
      <w:pPr>
        <w:pStyle w:val="TOC6"/>
        <w:tabs>
          <w:tab w:val="right" w:pos="9062"/>
        </w:tabs>
        <w:rPr>
          <w:rFonts w:asciiTheme="minorHAnsi" w:eastAsiaTheme="minorEastAsia" w:hAnsiTheme="minorHAnsi"/>
          <w:noProof/>
          <w:sz w:val="22"/>
          <w:szCs w:val="22"/>
          <w:lang w:eastAsia="en-AU"/>
        </w:rPr>
      </w:pPr>
      <w:hyperlink w:anchor="_Toc105776384" w:history="1">
        <w:r w:rsidR="000627A1" w:rsidRPr="00B278B9">
          <w:rPr>
            <w:rStyle w:val="Hyperlink"/>
            <w:noProof/>
          </w:rPr>
          <w:t>Chart 3.2 : Average unit costs by university (all fields and all levels) % change in 2020</w:t>
        </w:r>
        <w:r w:rsidR="000627A1">
          <w:rPr>
            <w:noProof/>
            <w:webHidden/>
          </w:rPr>
          <w:tab/>
        </w:r>
        <w:r w:rsidR="000627A1">
          <w:rPr>
            <w:noProof/>
            <w:webHidden/>
          </w:rPr>
          <w:fldChar w:fldCharType="begin"/>
        </w:r>
        <w:r w:rsidR="000627A1">
          <w:rPr>
            <w:noProof/>
            <w:webHidden/>
          </w:rPr>
          <w:instrText xml:space="preserve"> PAGEREF _Toc105776384 \h </w:instrText>
        </w:r>
        <w:r w:rsidR="000627A1">
          <w:rPr>
            <w:noProof/>
            <w:webHidden/>
          </w:rPr>
        </w:r>
        <w:r w:rsidR="000627A1">
          <w:rPr>
            <w:noProof/>
            <w:webHidden/>
          </w:rPr>
          <w:fldChar w:fldCharType="separate"/>
        </w:r>
        <w:r w:rsidR="009B23FC">
          <w:rPr>
            <w:noProof/>
            <w:webHidden/>
          </w:rPr>
          <w:t>82</w:t>
        </w:r>
        <w:r w:rsidR="000627A1">
          <w:rPr>
            <w:noProof/>
            <w:webHidden/>
          </w:rPr>
          <w:fldChar w:fldCharType="end"/>
        </w:r>
      </w:hyperlink>
    </w:p>
    <w:p w14:paraId="47478431" w14:textId="452667B4" w:rsidR="000627A1" w:rsidRDefault="00F05F8E">
      <w:pPr>
        <w:pStyle w:val="TOC6"/>
        <w:tabs>
          <w:tab w:val="right" w:pos="9062"/>
        </w:tabs>
        <w:rPr>
          <w:rFonts w:asciiTheme="minorHAnsi" w:eastAsiaTheme="minorEastAsia" w:hAnsiTheme="minorHAnsi"/>
          <w:noProof/>
          <w:sz w:val="22"/>
          <w:szCs w:val="22"/>
          <w:lang w:eastAsia="en-AU"/>
        </w:rPr>
      </w:pPr>
      <w:hyperlink w:anchor="_Toc105776385" w:history="1">
        <w:r w:rsidR="000627A1" w:rsidRPr="00B278B9">
          <w:rPr>
            <w:rStyle w:val="Hyperlink"/>
            <w:noProof/>
          </w:rPr>
          <w:t>Chart 4.1 : Average unit costs for institutions able to identify costs at a unit of study level, by level of study (all fields) (2019 and 2020)</w:t>
        </w:r>
        <w:r w:rsidR="000627A1">
          <w:rPr>
            <w:noProof/>
            <w:webHidden/>
          </w:rPr>
          <w:tab/>
        </w:r>
        <w:r w:rsidR="000627A1">
          <w:rPr>
            <w:noProof/>
            <w:webHidden/>
          </w:rPr>
          <w:fldChar w:fldCharType="begin"/>
        </w:r>
        <w:r w:rsidR="000627A1">
          <w:rPr>
            <w:noProof/>
            <w:webHidden/>
          </w:rPr>
          <w:instrText xml:space="preserve"> PAGEREF _Toc105776385 \h </w:instrText>
        </w:r>
        <w:r w:rsidR="000627A1">
          <w:rPr>
            <w:noProof/>
            <w:webHidden/>
          </w:rPr>
        </w:r>
        <w:r w:rsidR="000627A1">
          <w:rPr>
            <w:noProof/>
            <w:webHidden/>
          </w:rPr>
          <w:fldChar w:fldCharType="separate"/>
        </w:r>
        <w:r w:rsidR="009B23FC">
          <w:rPr>
            <w:noProof/>
            <w:webHidden/>
          </w:rPr>
          <w:t>91</w:t>
        </w:r>
        <w:r w:rsidR="000627A1">
          <w:rPr>
            <w:noProof/>
            <w:webHidden/>
          </w:rPr>
          <w:fldChar w:fldCharType="end"/>
        </w:r>
      </w:hyperlink>
    </w:p>
    <w:p w14:paraId="1DA72CD6" w14:textId="6D6541C0" w:rsidR="000627A1" w:rsidRDefault="00F05F8E">
      <w:pPr>
        <w:pStyle w:val="TOC6"/>
        <w:tabs>
          <w:tab w:val="right" w:pos="9062"/>
        </w:tabs>
        <w:rPr>
          <w:rFonts w:asciiTheme="minorHAnsi" w:eastAsiaTheme="minorEastAsia" w:hAnsiTheme="minorHAnsi"/>
          <w:noProof/>
          <w:sz w:val="22"/>
          <w:szCs w:val="22"/>
          <w:lang w:eastAsia="en-AU"/>
        </w:rPr>
      </w:pPr>
      <w:hyperlink w:anchor="_Toc105776386" w:history="1">
        <w:r w:rsidR="000627A1" w:rsidRPr="00B278B9">
          <w:rPr>
            <w:rStyle w:val="Hyperlink"/>
            <w:noProof/>
          </w:rPr>
          <w:t>Chart 4.2 : Average unit costs for institutions able to identify costs at a unit of study level, by university, bachelor level of study (FOEs where all 37 universities have reported a cost observation) (2019)</w:t>
        </w:r>
        <w:r w:rsidR="000627A1">
          <w:rPr>
            <w:noProof/>
            <w:webHidden/>
          </w:rPr>
          <w:tab/>
        </w:r>
        <w:r w:rsidR="000627A1">
          <w:rPr>
            <w:noProof/>
            <w:webHidden/>
          </w:rPr>
          <w:fldChar w:fldCharType="begin"/>
        </w:r>
        <w:r w:rsidR="000627A1">
          <w:rPr>
            <w:noProof/>
            <w:webHidden/>
          </w:rPr>
          <w:instrText xml:space="preserve"> PAGEREF _Toc105776386 \h </w:instrText>
        </w:r>
        <w:r w:rsidR="000627A1">
          <w:rPr>
            <w:noProof/>
            <w:webHidden/>
          </w:rPr>
        </w:r>
        <w:r w:rsidR="000627A1">
          <w:rPr>
            <w:noProof/>
            <w:webHidden/>
          </w:rPr>
          <w:fldChar w:fldCharType="separate"/>
        </w:r>
        <w:r w:rsidR="009B23FC">
          <w:rPr>
            <w:noProof/>
            <w:webHidden/>
          </w:rPr>
          <w:t>91</w:t>
        </w:r>
        <w:r w:rsidR="000627A1">
          <w:rPr>
            <w:noProof/>
            <w:webHidden/>
          </w:rPr>
          <w:fldChar w:fldCharType="end"/>
        </w:r>
      </w:hyperlink>
    </w:p>
    <w:p w14:paraId="316FC9D6" w14:textId="60984907" w:rsidR="000627A1" w:rsidRDefault="00F05F8E">
      <w:pPr>
        <w:pStyle w:val="TOC6"/>
        <w:tabs>
          <w:tab w:val="right" w:pos="9062"/>
        </w:tabs>
        <w:rPr>
          <w:rFonts w:asciiTheme="minorHAnsi" w:eastAsiaTheme="minorEastAsia" w:hAnsiTheme="minorHAnsi"/>
          <w:noProof/>
          <w:sz w:val="22"/>
          <w:szCs w:val="22"/>
          <w:lang w:eastAsia="en-AU"/>
        </w:rPr>
      </w:pPr>
      <w:hyperlink w:anchor="_Toc105776388" w:history="1">
        <w:r w:rsidR="000627A1" w:rsidRPr="00B278B9">
          <w:rPr>
            <w:rStyle w:val="Hyperlink"/>
            <w:noProof/>
          </w:rPr>
          <w:t>Chart 4.3 : Average unit costs for institutions able to identify costs at a unit of study level, by university, bachelor level of study (FOEs where all 37 universities have reported a cost observation) (2020)</w:t>
        </w:r>
        <w:r w:rsidR="000627A1">
          <w:rPr>
            <w:noProof/>
            <w:webHidden/>
          </w:rPr>
          <w:tab/>
        </w:r>
        <w:r w:rsidR="000627A1">
          <w:rPr>
            <w:noProof/>
            <w:webHidden/>
          </w:rPr>
          <w:fldChar w:fldCharType="begin"/>
        </w:r>
        <w:r w:rsidR="000627A1">
          <w:rPr>
            <w:noProof/>
            <w:webHidden/>
          </w:rPr>
          <w:instrText xml:space="preserve"> PAGEREF _Toc105776388 \h </w:instrText>
        </w:r>
        <w:r w:rsidR="000627A1">
          <w:rPr>
            <w:noProof/>
            <w:webHidden/>
          </w:rPr>
        </w:r>
        <w:r w:rsidR="000627A1">
          <w:rPr>
            <w:noProof/>
            <w:webHidden/>
          </w:rPr>
          <w:fldChar w:fldCharType="separate"/>
        </w:r>
        <w:r w:rsidR="009B23FC">
          <w:rPr>
            <w:noProof/>
            <w:webHidden/>
          </w:rPr>
          <w:t>92</w:t>
        </w:r>
        <w:r w:rsidR="000627A1">
          <w:rPr>
            <w:noProof/>
            <w:webHidden/>
          </w:rPr>
          <w:fldChar w:fldCharType="end"/>
        </w:r>
      </w:hyperlink>
    </w:p>
    <w:p w14:paraId="289EE425" w14:textId="4D366922" w:rsidR="000627A1" w:rsidRDefault="00F05F8E">
      <w:pPr>
        <w:pStyle w:val="TOC6"/>
        <w:tabs>
          <w:tab w:val="right" w:pos="9062"/>
        </w:tabs>
        <w:rPr>
          <w:rFonts w:asciiTheme="minorHAnsi" w:eastAsiaTheme="minorEastAsia" w:hAnsiTheme="minorHAnsi"/>
          <w:noProof/>
          <w:sz w:val="22"/>
          <w:szCs w:val="22"/>
          <w:lang w:eastAsia="en-AU"/>
        </w:rPr>
      </w:pPr>
      <w:hyperlink w:anchor="_Toc105776389" w:history="1">
        <w:r w:rsidR="000627A1" w:rsidRPr="00B278B9">
          <w:rPr>
            <w:rStyle w:val="Hyperlink"/>
            <w:noProof/>
          </w:rPr>
          <w:t>Chart 4.4 : Average unit costs for institutions able to identify costs at a unit of study level, by university, postgraduate level of study (FOEs where all 37 universities have reported a cost observation) (2019)</w:t>
        </w:r>
        <w:r w:rsidR="000627A1">
          <w:rPr>
            <w:noProof/>
            <w:webHidden/>
          </w:rPr>
          <w:tab/>
        </w:r>
        <w:r w:rsidR="000627A1">
          <w:rPr>
            <w:noProof/>
            <w:webHidden/>
          </w:rPr>
          <w:fldChar w:fldCharType="begin"/>
        </w:r>
        <w:r w:rsidR="000627A1">
          <w:rPr>
            <w:noProof/>
            <w:webHidden/>
          </w:rPr>
          <w:instrText xml:space="preserve"> PAGEREF _Toc105776389 \h </w:instrText>
        </w:r>
        <w:r w:rsidR="000627A1">
          <w:rPr>
            <w:noProof/>
            <w:webHidden/>
          </w:rPr>
        </w:r>
        <w:r w:rsidR="000627A1">
          <w:rPr>
            <w:noProof/>
            <w:webHidden/>
          </w:rPr>
          <w:fldChar w:fldCharType="separate"/>
        </w:r>
        <w:r w:rsidR="009B23FC">
          <w:rPr>
            <w:noProof/>
            <w:webHidden/>
          </w:rPr>
          <w:t>93</w:t>
        </w:r>
        <w:r w:rsidR="000627A1">
          <w:rPr>
            <w:noProof/>
            <w:webHidden/>
          </w:rPr>
          <w:fldChar w:fldCharType="end"/>
        </w:r>
      </w:hyperlink>
    </w:p>
    <w:p w14:paraId="72A32B44" w14:textId="3B6C2427" w:rsidR="000627A1" w:rsidRDefault="00F05F8E">
      <w:pPr>
        <w:pStyle w:val="TOC6"/>
        <w:tabs>
          <w:tab w:val="right" w:pos="9062"/>
        </w:tabs>
        <w:rPr>
          <w:rFonts w:asciiTheme="minorHAnsi" w:eastAsiaTheme="minorEastAsia" w:hAnsiTheme="minorHAnsi"/>
          <w:noProof/>
          <w:sz w:val="22"/>
          <w:szCs w:val="22"/>
          <w:lang w:eastAsia="en-AU"/>
        </w:rPr>
      </w:pPr>
      <w:hyperlink w:anchor="_Toc105776390" w:history="1">
        <w:r w:rsidR="000627A1" w:rsidRPr="00B278B9">
          <w:rPr>
            <w:rStyle w:val="Hyperlink"/>
            <w:noProof/>
          </w:rPr>
          <w:t>Chart 4.5 : Average unit costs for institutions able to identify costs at a unit of study level, by university, postgraduate level of study (FOEs where all 37 universities have reported a cost observation) (2020)</w:t>
        </w:r>
        <w:r w:rsidR="000627A1">
          <w:rPr>
            <w:noProof/>
            <w:webHidden/>
          </w:rPr>
          <w:tab/>
        </w:r>
        <w:r w:rsidR="000627A1">
          <w:rPr>
            <w:noProof/>
            <w:webHidden/>
          </w:rPr>
          <w:fldChar w:fldCharType="begin"/>
        </w:r>
        <w:r w:rsidR="000627A1">
          <w:rPr>
            <w:noProof/>
            <w:webHidden/>
          </w:rPr>
          <w:instrText xml:space="preserve"> PAGEREF _Toc105776390 \h </w:instrText>
        </w:r>
        <w:r w:rsidR="000627A1">
          <w:rPr>
            <w:noProof/>
            <w:webHidden/>
          </w:rPr>
        </w:r>
        <w:r w:rsidR="000627A1">
          <w:rPr>
            <w:noProof/>
            <w:webHidden/>
          </w:rPr>
          <w:fldChar w:fldCharType="separate"/>
        </w:r>
        <w:r w:rsidR="009B23FC">
          <w:rPr>
            <w:noProof/>
            <w:webHidden/>
          </w:rPr>
          <w:t>93</w:t>
        </w:r>
        <w:r w:rsidR="000627A1">
          <w:rPr>
            <w:noProof/>
            <w:webHidden/>
          </w:rPr>
          <w:fldChar w:fldCharType="end"/>
        </w:r>
      </w:hyperlink>
    </w:p>
    <w:p w14:paraId="78BFC902" w14:textId="3EB3CE1A" w:rsidR="000627A1" w:rsidRDefault="00F05F8E">
      <w:pPr>
        <w:pStyle w:val="TOC6"/>
        <w:tabs>
          <w:tab w:val="right" w:pos="9062"/>
        </w:tabs>
        <w:rPr>
          <w:rFonts w:asciiTheme="minorHAnsi" w:eastAsiaTheme="minorEastAsia" w:hAnsiTheme="minorHAnsi"/>
          <w:noProof/>
          <w:sz w:val="22"/>
          <w:szCs w:val="22"/>
          <w:lang w:eastAsia="en-AU"/>
        </w:rPr>
      </w:pPr>
      <w:hyperlink w:anchor="_Toc105776392" w:history="1">
        <w:r w:rsidR="000627A1" w:rsidRPr="00B278B9">
          <w:rPr>
            <w:rStyle w:val="Hyperlink"/>
            <w:noProof/>
          </w:rPr>
          <w:t>Chart 4.6 : Average unit costs for institutions able to identify costs at a unit of study by FOE for bachelor level study (2019)</w:t>
        </w:r>
        <w:r w:rsidR="000627A1">
          <w:rPr>
            <w:noProof/>
            <w:webHidden/>
          </w:rPr>
          <w:tab/>
        </w:r>
        <w:r w:rsidR="000627A1">
          <w:rPr>
            <w:noProof/>
            <w:webHidden/>
          </w:rPr>
          <w:fldChar w:fldCharType="begin"/>
        </w:r>
        <w:r w:rsidR="000627A1">
          <w:rPr>
            <w:noProof/>
            <w:webHidden/>
          </w:rPr>
          <w:instrText xml:space="preserve"> PAGEREF _Toc105776392 \h </w:instrText>
        </w:r>
        <w:r w:rsidR="000627A1">
          <w:rPr>
            <w:noProof/>
            <w:webHidden/>
          </w:rPr>
        </w:r>
        <w:r w:rsidR="000627A1">
          <w:rPr>
            <w:noProof/>
            <w:webHidden/>
          </w:rPr>
          <w:fldChar w:fldCharType="separate"/>
        </w:r>
        <w:r w:rsidR="009B23FC">
          <w:rPr>
            <w:noProof/>
            <w:webHidden/>
          </w:rPr>
          <w:t>94</w:t>
        </w:r>
        <w:r w:rsidR="000627A1">
          <w:rPr>
            <w:noProof/>
            <w:webHidden/>
          </w:rPr>
          <w:fldChar w:fldCharType="end"/>
        </w:r>
      </w:hyperlink>
    </w:p>
    <w:p w14:paraId="708F54EC" w14:textId="12F67E6F" w:rsidR="000627A1" w:rsidRDefault="00F05F8E">
      <w:pPr>
        <w:pStyle w:val="TOC6"/>
        <w:tabs>
          <w:tab w:val="right" w:pos="9062"/>
        </w:tabs>
        <w:rPr>
          <w:rFonts w:asciiTheme="minorHAnsi" w:eastAsiaTheme="minorEastAsia" w:hAnsiTheme="minorHAnsi"/>
          <w:noProof/>
          <w:sz w:val="22"/>
          <w:szCs w:val="22"/>
          <w:lang w:eastAsia="en-AU"/>
        </w:rPr>
      </w:pPr>
      <w:hyperlink w:anchor="_Toc105776393" w:history="1">
        <w:r w:rsidR="000627A1" w:rsidRPr="00B278B9">
          <w:rPr>
            <w:rStyle w:val="Hyperlink"/>
            <w:noProof/>
          </w:rPr>
          <w:t>Chart 4.7 : Average unit costs for institutions able to identify costs at a unit of study by FOE for bachelor level study (2020)</w:t>
        </w:r>
        <w:r w:rsidR="000627A1">
          <w:rPr>
            <w:noProof/>
            <w:webHidden/>
          </w:rPr>
          <w:tab/>
        </w:r>
        <w:r w:rsidR="000627A1">
          <w:rPr>
            <w:noProof/>
            <w:webHidden/>
          </w:rPr>
          <w:fldChar w:fldCharType="begin"/>
        </w:r>
        <w:r w:rsidR="000627A1">
          <w:rPr>
            <w:noProof/>
            <w:webHidden/>
          </w:rPr>
          <w:instrText xml:space="preserve"> PAGEREF _Toc105776393 \h </w:instrText>
        </w:r>
        <w:r w:rsidR="000627A1">
          <w:rPr>
            <w:noProof/>
            <w:webHidden/>
          </w:rPr>
        </w:r>
        <w:r w:rsidR="000627A1">
          <w:rPr>
            <w:noProof/>
            <w:webHidden/>
          </w:rPr>
          <w:fldChar w:fldCharType="separate"/>
        </w:r>
        <w:r w:rsidR="009B23FC">
          <w:rPr>
            <w:noProof/>
            <w:webHidden/>
          </w:rPr>
          <w:t>94</w:t>
        </w:r>
        <w:r w:rsidR="000627A1">
          <w:rPr>
            <w:noProof/>
            <w:webHidden/>
          </w:rPr>
          <w:fldChar w:fldCharType="end"/>
        </w:r>
      </w:hyperlink>
    </w:p>
    <w:p w14:paraId="45B9E409" w14:textId="155D2AA4" w:rsidR="000627A1" w:rsidRDefault="00F05F8E">
      <w:pPr>
        <w:pStyle w:val="TOC6"/>
        <w:tabs>
          <w:tab w:val="right" w:pos="9062"/>
        </w:tabs>
        <w:rPr>
          <w:rFonts w:asciiTheme="minorHAnsi" w:eastAsiaTheme="minorEastAsia" w:hAnsiTheme="minorHAnsi"/>
          <w:noProof/>
          <w:sz w:val="22"/>
          <w:szCs w:val="22"/>
          <w:lang w:eastAsia="en-AU"/>
        </w:rPr>
      </w:pPr>
      <w:hyperlink w:anchor="_Toc105776394" w:history="1">
        <w:r w:rsidR="000627A1" w:rsidRPr="00B278B9">
          <w:rPr>
            <w:rStyle w:val="Hyperlink"/>
            <w:noProof/>
          </w:rPr>
          <w:t>Chart C.2: Comparing costs between 2017 and 2020 for sub-bachelor (2017 common sample (25 universities))</w:t>
        </w:r>
        <w:r w:rsidR="000627A1">
          <w:rPr>
            <w:noProof/>
            <w:webHidden/>
          </w:rPr>
          <w:tab/>
        </w:r>
        <w:r w:rsidR="000627A1">
          <w:rPr>
            <w:noProof/>
            <w:webHidden/>
          </w:rPr>
          <w:fldChar w:fldCharType="begin"/>
        </w:r>
        <w:r w:rsidR="000627A1">
          <w:rPr>
            <w:noProof/>
            <w:webHidden/>
          </w:rPr>
          <w:instrText xml:space="preserve"> PAGEREF _Toc105776394 \h </w:instrText>
        </w:r>
        <w:r w:rsidR="000627A1">
          <w:rPr>
            <w:noProof/>
            <w:webHidden/>
          </w:rPr>
        </w:r>
        <w:r w:rsidR="000627A1">
          <w:rPr>
            <w:noProof/>
            <w:webHidden/>
          </w:rPr>
          <w:fldChar w:fldCharType="separate"/>
        </w:r>
        <w:r w:rsidR="009B23FC">
          <w:rPr>
            <w:noProof/>
            <w:webHidden/>
          </w:rPr>
          <w:t>120</w:t>
        </w:r>
        <w:r w:rsidR="000627A1">
          <w:rPr>
            <w:noProof/>
            <w:webHidden/>
          </w:rPr>
          <w:fldChar w:fldCharType="end"/>
        </w:r>
      </w:hyperlink>
    </w:p>
    <w:p w14:paraId="076E0251" w14:textId="32397F8A" w:rsidR="000627A1" w:rsidRDefault="00F05F8E">
      <w:pPr>
        <w:pStyle w:val="TOC6"/>
        <w:tabs>
          <w:tab w:val="right" w:pos="9062"/>
        </w:tabs>
        <w:rPr>
          <w:rFonts w:asciiTheme="minorHAnsi" w:eastAsiaTheme="minorEastAsia" w:hAnsiTheme="minorHAnsi"/>
          <w:noProof/>
          <w:sz w:val="22"/>
          <w:szCs w:val="22"/>
          <w:lang w:eastAsia="en-AU"/>
        </w:rPr>
      </w:pPr>
      <w:hyperlink w:anchor="_Toc105776395" w:history="1">
        <w:r w:rsidR="000627A1" w:rsidRPr="00B278B9">
          <w:rPr>
            <w:rStyle w:val="Hyperlink"/>
            <w:noProof/>
          </w:rPr>
          <w:t>Chart C.3: Comparing costs between 2017 and 2020 for bachelor (2017 common sample (25 universities))</w:t>
        </w:r>
        <w:r w:rsidR="000627A1">
          <w:rPr>
            <w:noProof/>
            <w:webHidden/>
          </w:rPr>
          <w:tab/>
        </w:r>
        <w:r w:rsidR="000627A1">
          <w:rPr>
            <w:noProof/>
            <w:webHidden/>
          </w:rPr>
          <w:fldChar w:fldCharType="begin"/>
        </w:r>
        <w:r w:rsidR="000627A1">
          <w:rPr>
            <w:noProof/>
            <w:webHidden/>
          </w:rPr>
          <w:instrText xml:space="preserve"> PAGEREF _Toc105776395 \h </w:instrText>
        </w:r>
        <w:r w:rsidR="000627A1">
          <w:rPr>
            <w:noProof/>
            <w:webHidden/>
          </w:rPr>
        </w:r>
        <w:r w:rsidR="000627A1">
          <w:rPr>
            <w:noProof/>
            <w:webHidden/>
          </w:rPr>
          <w:fldChar w:fldCharType="separate"/>
        </w:r>
        <w:r w:rsidR="009B23FC">
          <w:rPr>
            <w:noProof/>
            <w:webHidden/>
          </w:rPr>
          <w:t>121</w:t>
        </w:r>
        <w:r w:rsidR="000627A1">
          <w:rPr>
            <w:noProof/>
            <w:webHidden/>
          </w:rPr>
          <w:fldChar w:fldCharType="end"/>
        </w:r>
      </w:hyperlink>
    </w:p>
    <w:p w14:paraId="225B971F" w14:textId="62DEA02E" w:rsidR="000627A1" w:rsidRDefault="00F05F8E">
      <w:pPr>
        <w:pStyle w:val="TOC6"/>
        <w:tabs>
          <w:tab w:val="right" w:pos="9062"/>
        </w:tabs>
        <w:rPr>
          <w:rFonts w:asciiTheme="minorHAnsi" w:eastAsiaTheme="minorEastAsia" w:hAnsiTheme="minorHAnsi"/>
          <w:noProof/>
          <w:sz w:val="22"/>
          <w:szCs w:val="22"/>
          <w:lang w:eastAsia="en-AU"/>
        </w:rPr>
      </w:pPr>
      <w:hyperlink w:anchor="_Toc105776396" w:history="1">
        <w:r w:rsidR="000627A1" w:rsidRPr="00B278B9">
          <w:rPr>
            <w:rStyle w:val="Hyperlink"/>
            <w:noProof/>
          </w:rPr>
          <w:t>Chart C.4: Comparing costs between 2017 and 2020 for postgraduate (2017 common sample (25 universities))</w:t>
        </w:r>
        <w:r w:rsidR="000627A1">
          <w:rPr>
            <w:noProof/>
            <w:webHidden/>
          </w:rPr>
          <w:tab/>
        </w:r>
        <w:r w:rsidR="000627A1">
          <w:rPr>
            <w:noProof/>
            <w:webHidden/>
          </w:rPr>
          <w:fldChar w:fldCharType="begin"/>
        </w:r>
        <w:r w:rsidR="000627A1">
          <w:rPr>
            <w:noProof/>
            <w:webHidden/>
          </w:rPr>
          <w:instrText xml:space="preserve"> PAGEREF _Toc105776396 \h </w:instrText>
        </w:r>
        <w:r w:rsidR="000627A1">
          <w:rPr>
            <w:noProof/>
            <w:webHidden/>
          </w:rPr>
        </w:r>
        <w:r w:rsidR="000627A1">
          <w:rPr>
            <w:noProof/>
            <w:webHidden/>
          </w:rPr>
          <w:fldChar w:fldCharType="separate"/>
        </w:r>
        <w:r w:rsidR="009B23FC">
          <w:rPr>
            <w:noProof/>
            <w:webHidden/>
          </w:rPr>
          <w:t>122</w:t>
        </w:r>
        <w:r w:rsidR="000627A1">
          <w:rPr>
            <w:noProof/>
            <w:webHidden/>
          </w:rPr>
          <w:fldChar w:fldCharType="end"/>
        </w:r>
      </w:hyperlink>
    </w:p>
    <w:p w14:paraId="67D8E85D" w14:textId="31D40270" w:rsidR="001A0146" w:rsidRDefault="00FC6122" w:rsidP="0067298B">
      <w:pPr>
        <w:pStyle w:val="TOC6"/>
        <w:tabs>
          <w:tab w:val="right" w:pos="9062"/>
        </w:tabs>
      </w:pPr>
      <w:r w:rsidRPr="00691B65">
        <w:rPr>
          <w:rStyle w:val="Hyperlink"/>
          <w:noProof/>
        </w:rPr>
        <w:fldChar w:fldCharType="end"/>
      </w:r>
    </w:p>
    <w:p w14:paraId="07571EAA" w14:textId="77777777" w:rsidR="00FC6122" w:rsidRPr="00691B65" w:rsidRDefault="00FC6122" w:rsidP="00810613">
      <w:pPr>
        <w:pStyle w:val="TOCHeading"/>
      </w:pPr>
      <w:r w:rsidRPr="00691B65">
        <w:t>Tables</w:t>
      </w:r>
    </w:p>
    <w:p w14:paraId="095A8A6F" w14:textId="7891680C" w:rsidR="000627A1" w:rsidRDefault="00FC6122">
      <w:pPr>
        <w:pStyle w:val="TOC8"/>
        <w:tabs>
          <w:tab w:val="right" w:pos="9062"/>
        </w:tabs>
        <w:rPr>
          <w:rFonts w:asciiTheme="minorHAnsi" w:eastAsiaTheme="minorEastAsia" w:hAnsiTheme="minorHAnsi"/>
          <w:noProof/>
          <w:sz w:val="22"/>
          <w:szCs w:val="22"/>
          <w:lang w:eastAsia="en-AU"/>
        </w:rPr>
      </w:pPr>
      <w:r w:rsidRPr="00691B65">
        <w:fldChar w:fldCharType="begin"/>
      </w:r>
      <w:r w:rsidRPr="00691B65">
        <w:instrText xml:space="preserve"> TOC \h \z \t "Caption_Table,8,Exec Table Caption,8,Appendix Table Caption,8" </w:instrText>
      </w:r>
      <w:r w:rsidRPr="00691B65">
        <w:fldChar w:fldCharType="separate"/>
      </w:r>
      <w:hyperlink w:anchor="_Toc105776398" w:history="1">
        <w:r w:rsidR="000627A1" w:rsidRPr="00BB0F1D">
          <w:rPr>
            <w:rStyle w:val="Hyperlink"/>
            <w:noProof/>
          </w:rPr>
          <w:t>Table i : Average unit cost per EFTSL</w:t>
        </w:r>
        <w:r w:rsidR="000627A1">
          <w:rPr>
            <w:noProof/>
            <w:webHidden/>
          </w:rPr>
          <w:tab/>
        </w:r>
        <w:r w:rsidR="000627A1">
          <w:rPr>
            <w:noProof/>
            <w:webHidden/>
          </w:rPr>
          <w:fldChar w:fldCharType="begin"/>
        </w:r>
        <w:r w:rsidR="000627A1">
          <w:rPr>
            <w:noProof/>
            <w:webHidden/>
          </w:rPr>
          <w:instrText xml:space="preserve"> PAGEREF _Toc105776398 \h </w:instrText>
        </w:r>
        <w:r w:rsidR="000627A1">
          <w:rPr>
            <w:noProof/>
            <w:webHidden/>
          </w:rPr>
        </w:r>
        <w:r w:rsidR="000627A1">
          <w:rPr>
            <w:noProof/>
            <w:webHidden/>
          </w:rPr>
          <w:fldChar w:fldCharType="separate"/>
        </w:r>
        <w:r w:rsidR="009B23FC">
          <w:rPr>
            <w:noProof/>
            <w:webHidden/>
          </w:rPr>
          <w:t>xvii</w:t>
        </w:r>
        <w:r w:rsidR="000627A1">
          <w:rPr>
            <w:noProof/>
            <w:webHidden/>
          </w:rPr>
          <w:fldChar w:fldCharType="end"/>
        </w:r>
      </w:hyperlink>
    </w:p>
    <w:p w14:paraId="717D6C42" w14:textId="3F49D836" w:rsidR="000627A1" w:rsidRDefault="00F05F8E">
      <w:pPr>
        <w:pStyle w:val="TOC8"/>
        <w:tabs>
          <w:tab w:val="right" w:pos="9062"/>
        </w:tabs>
        <w:rPr>
          <w:rFonts w:asciiTheme="minorHAnsi" w:eastAsiaTheme="minorEastAsia" w:hAnsiTheme="minorHAnsi"/>
          <w:noProof/>
          <w:sz w:val="22"/>
          <w:szCs w:val="22"/>
          <w:lang w:eastAsia="en-AU"/>
        </w:rPr>
      </w:pPr>
      <w:hyperlink w:anchor="_Toc105776552" w:history="1">
        <w:r w:rsidR="000627A1" w:rsidRPr="00BB0F1D">
          <w:rPr>
            <w:rStyle w:val="Hyperlink"/>
            <w:noProof/>
          </w:rPr>
          <w:t>Table ii : Growth over time in average unit cost per EFTSL</w:t>
        </w:r>
        <w:r w:rsidR="000627A1">
          <w:rPr>
            <w:noProof/>
            <w:webHidden/>
          </w:rPr>
          <w:tab/>
        </w:r>
        <w:r w:rsidR="000627A1">
          <w:rPr>
            <w:noProof/>
            <w:webHidden/>
          </w:rPr>
          <w:fldChar w:fldCharType="begin"/>
        </w:r>
        <w:r w:rsidR="000627A1">
          <w:rPr>
            <w:noProof/>
            <w:webHidden/>
          </w:rPr>
          <w:instrText xml:space="preserve"> PAGEREF _Toc105776552 \h </w:instrText>
        </w:r>
        <w:r w:rsidR="000627A1">
          <w:rPr>
            <w:noProof/>
            <w:webHidden/>
          </w:rPr>
        </w:r>
        <w:r w:rsidR="000627A1">
          <w:rPr>
            <w:noProof/>
            <w:webHidden/>
          </w:rPr>
          <w:fldChar w:fldCharType="separate"/>
        </w:r>
        <w:r w:rsidR="009B23FC">
          <w:rPr>
            <w:noProof/>
            <w:webHidden/>
          </w:rPr>
          <w:t>xviii</w:t>
        </w:r>
        <w:r w:rsidR="000627A1">
          <w:rPr>
            <w:noProof/>
            <w:webHidden/>
          </w:rPr>
          <w:fldChar w:fldCharType="end"/>
        </w:r>
      </w:hyperlink>
    </w:p>
    <w:p w14:paraId="73AF190F" w14:textId="6CF22827" w:rsidR="000627A1" w:rsidRDefault="00F05F8E">
      <w:pPr>
        <w:pStyle w:val="TOC8"/>
        <w:tabs>
          <w:tab w:val="right" w:pos="9062"/>
        </w:tabs>
        <w:rPr>
          <w:rFonts w:asciiTheme="minorHAnsi" w:eastAsiaTheme="minorEastAsia" w:hAnsiTheme="minorHAnsi"/>
          <w:noProof/>
          <w:sz w:val="22"/>
          <w:szCs w:val="22"/>
          <w:lang w:eastAsia="en-AU"/>
        </w:rPr>
      </w:pPr>
      <w:hyperlink w:anchor="_Toc105776553" w:history="1">
        <w:r w:rsidR="000627A1" w:rsidRPr="00BB0F1D">
          <w:rPr>
            <w:rStyle w:val="Hyperlink"/>
            <w:noProof/>
          </w:rPr>
          <w:t>Table iii : Teaching costs relative to base funding for bachelor studies</w:t>
        </w:r>
        <w:r w:rsidR="000627A1">
          <w:rPr>
            <w:noProof/>
            <w:webHidden/>
          </w:rPr>
          <w:tab/>
        </w:r>
        <w:r w:rsidR="000627A1">
          <w:rPr>
            <w:noProof/>
            <w:webHidden/>
          </w:rPr>
          <w:fldChar w:fldCharType="begin"/>
        </w:r>
        <w:r w:rsidR="000627A1">
          <w:rPr>
            <w:noProof/>
            <w:webHidden/>
          </w:rPr>
          <w:instrText xml:space="preserve"> PAGEREF _Toc105776553 \h </w:instrText>
        </w:r>
        <w:r w:rsidR="000627A1">
          <w:rPr>
            <w:noProof/>
            <w:webHidden/>
          </w:rPr>
        </w:r>
        <w:r w:rsidR="000627A1">
          <w:rPr>
            <w:noProof/>
            <w:webHidden/>
          </w:rPr>
          <w:fldChar w:fldCharType="separate"/>
        </w:r>
        <w:r w:rsidR="009B23FC">
          <w:rPr>
            <w:noProof/>
            <w:webHidden/>
          </w:rPr>
          <w:t>xix</w:t>
        </w:r>
        <w:r w:rsidR="000627A1">
          <w:rPr>
            <w:noProof/>
            <w:webHidden/>
          </w:rPr>
          <w:fldChar w:fldCharType="end"/>
        </w:r>
      </w:hyperlink>
    </w:p>
    <w:p w14:paraId="1F6142AC" w14:textId="65E9770D" w:rsidR="000627A1" w:rsidRDefault="00F05F8E">
      <w:pPr>
        <w:pStyle w:val="TOC8"/>
        <w:tabs>
          <w:tab w:val="right" w:pos="9062"/>
        </w:tabs>
        <w:rPr>
          <w:rFonts w:asciiTheme="minorHAnsi" w:eastAsiaTheme="minorEastAsia" w:hAnsiTheme="minorHAnsi"/>
          <w:noProof/>
          <w:sz w:val="22"/>
          <w:szCs w:val="22"/>
          <w:lang w:eastAsia="en-AU"/>
        </w:rPr>
      </w:pPr>
      <w:hyperlink w:anchor="_Toc105776554" w:history="1">
        <w:r w:rsidR="000627A1" w:rsidRPr="00BB0F1D">
          <w:rPr>
            <w:rStyle w:val="Hyperlink"/>
            <w:noProof/>
          </w:rPr>
          <w:t>Table 1.1 : Key changes to the template for 2022</w:t>
        </w:r>
        <w:r w:rsidR="000627A1">
          <w:rPr>
            <w:noProof/>
            <w:webHidden/>
          </w:rPr>
          <w:tab/>
        </w:r>
        <w:r w:rsidR="000627A1">
          <w:rPr>
            <w:noProof/>
            <w:webHidden/>
          </w:rPr>
          <w:fldChar w:fldCharType="begin"/>
        </w:r>
        <w:r w:rsidR="000627A1">
          <w:rPr>
            <w:noProof/>
            <w:webHidden/>
          </w:rPr>
          <w:instrText xml:space="preserve"> PAGEREF _Toc105776554 \h </w:instrText>
        </w:r>
        <w:r w:rsidR="000627A1">
          <w:rPr>
            <w:noProof/>
            <w:webHidden/>
          </w:rPr>
        </w:r>
        <w:r w:rsidR="000627A1">
          <w:rPr>
            <w:noProof/>
            <w:webHidden/>
          </w:rPr>
          <w:fldChar w:fldCharType="separate"/>
        </w:r>
        <w:r w:rsidR="009B23FC">
          <w:rPr>
            <w:noProof/>
            <w:webHidden/>
          </w:rPr>
          <w:t>23</w:t>
        </w:r>
        <w:r w:rsidR="000627A1">
          <w:rPr>
            <w:noProof/>
            <w:webHidden/>
          </w:rPr>
          <w:fldChar w:fldCharType="end"/>
        </w:r>
      </w:hyperlink>
    </w:p>
    <w:p w14:paraId="71477B73" w14:textId="4EAE718F" w:rsidR="000627A1" w:rsidRDefault="00F05F8E">
      <w:pPr>
        <w:pStyle w:val="TOC8"/>
        <w:tabs>
          <w:tab w:val="right" w:pos="9062"/>
        </w:tabs>
        <w:rPr>
          <w:rFonts w:asciiTheme="minorHAnsi" w:eastAsiaTheme="minorEastAsia" w:hAnsiTheme="minorHAnsi"/>
          <w:noProof/>
          <w:sz w:val="22"/>
          <w:szCs w:val="22"/>
          <w:lang w:eastAsia="en-AU"/>
        </w:rPr>
      </w:pPr>
      <w:hyperlink w:anchor="_Toc105776555" w:history="1">
        <w:r w:rsidR="000627A1" w:rsidRPr="00BB0F1D">
          <w:rPr>
            <w:rStyle w:val="Hyperlink"/>
            <w:noProof/>
          </w:rPr>
          <w:t>Table 1.2 : Participation by universities</w:t>
        </w:r>
        <w:r w:rsidR="000627A1">
          <w:rPr>
            <w:noProof/>
            <w:webHidden/>
          </w:rPr>
          <w:tab/>
        </w:r>
        <w:r w:rsidR="000627A1">
          <w:rPr>
            <w:noProof/>
            <w:webHidden/>
          </w:rPr>
          <w:fldChar w:fldCharType="begin"/>
        </w:r>
        <w:r w:rsidR="000627A1">
          <w:rPr>
            <w:noProof/>
            <w:webHidden/>
          </w:rPr>
          <w:instrText xml:space="preserve"> PAGEREF _Toc105776555 \h </w:instrText>
        </w:r>
        <w:r w:rsidR="000627A1">
          <w:rPr>
            <w:noProof/>
            <w:webHidden/>
          </w:rPr>
        </w:r>
        <w:r w:rsidR="000627A1">
          <w:rPr>
            <w:noProof/>
            <w:webHidden/>
          </w:rPr>
          <w:fldChar w:fldCharType="separate"/>
        </w:r>
        <w:r w:rsidR="009B23FC">
          <w:rPr>
            <w:noProof/>
            <w:webHidden/>
          </w:rPr>
          <w:t>24</w:t>
        </w:r>
        <w:r w:rsidR="000627A1">
          <w:rPr>
            <w:noProof/>
            <w:webHidden/>
          </w:rPr>
          <w:fldChar w:fldCharType="end"/>
        </w:r>
      </w:hyperlink>
    </w:p>
    <w:p w14:paraId="5E57E91B" w14:textId="6BE302AF" w:rsidR="000627A1" w:rsidRDefault="00F05F8E">
      <w:pPr>
        <w:pStyle w:val="TOC8"/>
        <w:tabs>
          <w:tab w:val="right" w:pos="9062"/>
        </w:tabs>
        <w:rPr>
          <w:rFonts w:asciiTheme="minorHAnsi" w:eastAsiaTheme="minorEastAsia" w:hAnsiTheme="minorHAnsi"/>
          <w:noProof/>
          <w:sz w:val="22"/>
          <w:szCs w:val="22"/>
          <w:lang w:eastAsia="en-AU"/>
        </w:rPr>
      </w:pPr>
      <w:hyperlink w:anchor="_Toc105776556" w:history="1">
        <w:r w:rsidR="000627A1" w:rsidRPr="00BB0F1D">
          <w:rPr>
            <w:rStyle w:val="Hyperlink"/>
            <w:noProof/>
          </w:rPr>
          <w:t>Table 2.1 : Average unit cost per EFTSL</w:t>
        </w:r>
        <w:r w:rsidR="000627A1">
          <w:rPr>
            <w:noProof/>
            <w:webHidden/>
          </w:rPr>
          <w:tab/>
        </w:r>
        <w:r w:rsidR="000627A1">
          <w:rPr>
            <w:noProof/>
            <w:webHidden/>
          </w:rPr>
          <w:fldChar w:fldCharType="begin"/>
        </w:r>
        <w:r w:rsidR="000627A1">
          <w:rPr>
            <w:noProof/>
            <w:webHidden/>
          </w:rPr>
          <w:instrText xml:space="preserve"> PAGEREF _Toc105776556 \h </w:instrText>
        </w:r>
        <w:r w:rsidR="000627A1">
          <w:rPr>
            <w:noProof/>
            <w:webHidden/>
          </w:rPr>
        </w:r>
        <w:r w:rsidR="000627A1">
          <w:rPr>
            <w:noProof/>
            <w:webHidden/>
          </w:rPr>
          <w:fldChar w:fldCharType="separate"/>
        </w:r>
        <w:r w:rsidR="009B23FC">
          <w:rPr>
            <w:noProof/>
            <w:webHidden/>
          </w:rPr>
          <w:t>59</w:t>
        </w:r>
        <w:r w:rsidR="000627A1">
          <w:rPr>
            <w:noProof/>
            <w:webHidden/>
          </w:rPr>
          <w:fldChar w:fldCharType="end"/>
        </w:r>
      </w:hyperlink>
    </w:p>
    <w:p w14:paraId="6D96943C" w14:textId="12B737BC" w:rsidR="000627A1" w:rsidRDefault="00F05F8E">
      <w:pPr>
        <w:pStyle w:val="TOC8"/>
        <w:tabs>
          <w:tab w:val="right" w:pos="9062"/>
        </w:tabs>
        <w:rPr>
          <w:rFonts w:asciiTheme="minorHAnsi" w:eastAsiaTheme="minorEastAsia" w:hAnsiTheme="minorHAnsi"/>
          <w:noProof/>
          <w:sz w:val="22"/>
          <w:szCs w:val="22"/>
          <w:lang w:eastAsia="en-AU"/>
        </w:rPr>
      </w:pPr>
      <w:hyperlink w:anchor="_Toc105776710" w:history="1">
        <w:r w:rsidR="000627A1" w:rsidRPr="00BB0F1D">
          <w:rPr>
            <w:rStyle w:val="Hyperlink"/>
            <w:noProof/>
          </w:rPr>
          <w:t>Table 2.2 : Growth over time in average unit cost per EFTSL</w:t>
        </w:r>
        <w:r w:rsidR="000627A1">
          <w:rPr>
            <w:noProof/>
            <w:webHidden/>
          </w:rPr>
          <w:tab/>
        </w:r>
        <w:r w:rsidR="000627A1">
          <w:rPr>
            <w:noProof/>
            <w:webHidden/>
          </w:rPr>
          <w:fldChar w:fldCharType="begin"/>
        </w:r>
        <w:r w:rsidR="000627A1">
          <w:rPr>
            <w:noProof/>
            <w:webHidden/>
          </w:rPr>
          <w:instrText xml:space="preserve"> PAGEREF _Toc105776710 \h </w:instrText>
        </w:r>
        <w:r w:rsidR="000627A1">
          <w:rPr>
            <w:noProof/>
            <w:webHidden/>
          </w:rPr>
        </w:r>
        <w:r w:rsidR="000627A1">
          <w:rPr>
            <w:noProof/>
            <w:webHidden/>
          </w:rPr>
          <w:fldChar w:fldCharType="separate"/>
        </w:r>
        <w:r w:rsidR="009B23FC">
          <w:rPr>
            <w:noProof/>
            <w:webHidden/>
          </w:rPr>
          <w:t>59</w:t>
        </w:r>
        <w:r w:rsidR="000627A1">
          <w:rPr>
            <w:noProof/>
            <w:webHidden/>
          </w:rPr>
          <w:fldChar w:fldCharType="end"/>
        </w:r>
      </w:hyperlink>
    </w:p>
    <w:p w14:paraId="44C1C36C" w14:textId="0AF41430" w:rsidR="000627A1" w:rsidRDefault="00F05F8E">
      <w:pPr>
        <w:pStyle w:val="TOC8"/>
        <w:tabs>
          <w:tab w:val="right" w:pos="9062"/>
        </w:tabs>
        <w:rPr>
          <w:rFonts w:asciiTheme="minorHAnsi" w:eastAsiaTheme="minorEastAsia" w:hAnsiTheme="minorHAnsi"/>
          <w:noProof/>
          <w:sz w:val="22"/>
          <w:szCs w:val="22"/>
          <w:lang w:eastAsia="en-AU"/>
        </w:rPr>
      </w:pPr>
      <w:hyperlink w:anchor="_Toc105776711" w:history="1">
        <w:r w:rsidR="000627A1" w:rsidRPr="00BB0F1D">
          <w:rPr>
            <w:rStyle w:val="Hyperlink"/>
            <w:noProof/>
          </w:rPr>
          <w:t>Table 2.3 : Change in costs, CAGRs</w:t>
        </w:r>
        <w:r w:rsidR="000627A1">
          <w:rPr>
            <w:noProof/>
            <w:webHidden/>
          </w:rPr>
          <w:tab/>
        </w:r>
        <w:r w:rsidR="000627A1">
          <w:rPr>
            <w:noProof/>
            <w:webHidden/>
          </w:rPr>
          <w:fldChar w:fldCharType="begin"/>
        </w:r>
        <w:r w:rsidR="000627A1">
          <w:rPr>
            <w:noProof/>
            <w:webHidden/>
          </w:rPr>
          <w:instrText xml:space="preserve"> PAGEREF _Toc105776711 \h </w:instrText>
        </w:r>
        <w:r w:rsidR="000627A1">
          <w:rPr>
            <w:noProof/>
            <w:webHidden/>
          </w:rPr>
        </w:r>
        <w:r w:rsidR="000627A1">
          <w:rPr>
            <w:noProof/>
            <w:webHidden/>
          </w:rPr>
          <w:fldChar w:fldCharType="separate"/>
        </w:r>
        <w:r w:rsidR="009B23FC">
          <w:rPr>
            <w:noProof/>
            <w:webHidden/>
          </w:rPr>
          <w:t>61</w:t>
        </w:r>
        <w:r w:rsidR="000627A1">
          <w:rPr>
            <w:noProof/>
            <w:webHidden/>
          </w:rPr>
          <w:fldChar w:fldCharType="end"/>
        </w:r>
      </w:hyperlink>
    </w:p>
    <w:p w14:paraId="5872E95D" w14:textId="1EE59C75" w:rsidR="000627A1" w:rsidRDefault="00F05F8E">
      <w:pPr>
        <w:pStyle w:val="TOC8"/>
        <w:tabs>
          <w:tab w:val="right" w:pos="9062"/>
        </w:tabs>
        <w:rPr>
          <w:rFonts w:asciiTheme="minorHAnsi" w:eastAsiaTheme="minorEastAsia" w:hAnsiTheme="minorHAnsi"/>
          <w:noProof/>
          <w:sz w:val="22"/>
          <w:szCs w:val="22"/>
          <w:lang w:eastAsia="en-AU"/>
        </w:rPr>
      </w:pPr>
      <w:hyperlink w:anchor="_Toc105776712" w:history="1">
        <w:r w:rsidR="000627A1" w:rsidRPr="00BB0F1D">
          <w:rPr>
            <w:rStyle w:val="Hyperlink"/>
            <w:noProof/>
          </w:rPr>
          <w:t>Table 2.4 : Change in costs by line item, CAGRs</w:t>
        </w:r>
        <w:r w:rsidR="000627A1">
          <w:rPr>
            <w:noProof/>
            <w:webHidden/>
          </w:rPr>
          <w:tab/>
        </w:r>
        <w:r w:rsidR="000627A1">
          <w:rPr>
            <w:noProof/>
            <w:webHidden/>
          </w:rPr>
          <w:fldChar w:fldCharType="begin"/>
        </w:r>
        <w:r w:rsidR="000627A1">
          <w:rPr>
            <w:noProof/>
            <w:webHidden/>
          </w:rPr>
          <w:instrText xml:space="preserve"> PAGEREF _Toc105776712 \h </w:instrText>
        </w:r>
        <w:r w:rsidR="000627A1">
          <w:rPr>
            <w:noProof/>
            <w:webHidden/>
          </w:rPr>
        </w:r>
        <w:r w:rsidR="000627A1">
          <w:rPr>
            <w:noProof/>
            <w:webHidden/>
          </w:rPr>
          <w:fldChar w:fldCharType="separate"/>
        </w:r>
        <w:r w:rsidR="009B23FC">
          <w:rPr>
            <w:noProof/>
            <w:webHidden/>
          </w:rPr>
          <w:t>62</w:t>
        </w:r>
        <w:r w:rsidR="000627A1">
          <w:rPr>
            <w:noProof/>
            <w:webHidden/>
          </w:rPr>
          <w:fldChar w:fldCharType="end"/>
        </w:r>
      </w:hyperlink>
    </w:p>
    <w:p w14:paraId="4B6F7A8A" w14:textId="1D604E7A" w:rsidR="000627A1" w:rsidRDefault="00F05F8E">
      <w:pPr>
        <w:pStyle w:val="TOC8"/>
        <w:tabs>
          <w:tab w:val="right" w:pos="9062"/>
        </w:tabs>
        <w:rPr>
          <w:rFonts w:asciiTheme="minorHAnsi" w:eastAsiaTheme="minorEastAsia" w:hAnsiTheme="minorHAnsi"/>
          <w:noProof/>
          <w:sz w:val="22"/>
          <w:szCs w:val="22"/>
          <w:lang w:eastAsia="en-AU"/>
        </w:rPr>
      </w:pPr>
      <w:hyperlink w:anchor="_Toc105776713" w:history="1">
        <w:r w:rsidR="000627A1" w:rsidRPr="00BB0F1D">
          <w:rPr>
            <w:rStyle w:val="Hyperlink"/>
            <w:noProof/>
          </w:rPr>
          <w:t>Table 2.5 : Total average impact of ‘below the line’ costs on teaching and scholarship costs (2019 and 2020)</w:t>
        </w:r>
        <w:r w:rsidR="000627A1">
          <w:rPr>
            <w:noProof/>
            <w:webHidden/>
          </w:rPr>
          <w:tab/>
        </w:r>
        <w:r w:rsidR="000627A1">
          <w:rPr>
            <w:noProof/>
            <w:webHidden/>
          </w:rPr>
          <w:fldChar w:fldCharType="begin"/>
        </w:r>
        <w:r w:rsidR="000627A1">
          <w:rPr>
            <w:noProof/>
            <w:webHidden/>
          </w:rPr>
          <w:instrText xml:space="preserve"> PAGEREF _Toc105776713 \h </w:instrText>
        </w:r>
        <w:r w:rsidR="000627A1">
          <w:rPr>
            <w:noProof/>
            <w:webHidden/>
          </w:rPr>
        </w:r>
        <w:r w:rsidR="000627A1">
          <w:rPr>
            <w:noProof/>
            <w:webHidden/>
          </w:rPr>
          <w:fldChar w:fldCharType="separate"/>
        </w:r>
        <w:r w:rsidR="009B23FC">
          <w:rPr>
            <w:noProof/>
            <w:webHidden/>
          </w:rPr>
          <w:t>63</w:t>
        </w:r>
        <w:r w:rsidR="000627A1">
          <w:rPr>
            <w:noProof/>
            <w:webHidden/>
          </w:rPr>
          <w:fldChar w:fldCharType="end"/>
        </w:r>
      </w:hyperlink>
    </w:p>
    <w:p w14:paraId="0EBCCD3D" w14:textId="6DF56D58" w:rsidR="000627A1" w:rsidRDefault="00F05F8E">
      <w:pPr>
        <w:pStyle w:val="TOC8"/>
        <w:tabs>
          <w:tab w:val="right" w:pos="9062"/>
        </w:tabs>
        <w:rPr>
          <w:rFonts w:asciiTheme="minorHAnsi" w:eastAsiaTheme="minorEastAsia" w:hAnsiTheme="minorHAnsi"/>
          <w:noProof/>
          <w:sz w:val="22"/>
          <w:szCs w:val="22"/>
          <w:lang w:eastAsia="en-AU"/>
        </w:rPr>
      </w:pPr>
      <w:hyperlink w:anchor="_Toc105776714" w:history="1">
        <w:r w:rsidR="000627A1" w:rsidRPr="00BB0F1D">
          <w:rPr>
            <w:rStyle w:val="Hyperlink"/>
            <w:noProof/>
          </w:rPr>
          <w:t>Table 2.6 : Impact of in-kind costs on total teaching and scholarship costs (2019)</w:t>
        </w:r>
        <w:r w:rsidR="000627A1">
          <w:rPr>
            <w:noProof/>
            <w:webHidden/>
          </w:rPr>
          <w:tab/>
        </w:r>
        <w:r w:rsidR="000627A1">
          <w:rPr>
            <w:noProof/>
            <w:webHidden/>
          </w:rPr>
          <w:fldChar w:fldCharType="begin"/>
        </w:r>
        <w:r w:rsidR="000627A1">
          <w:rPr>
            <w:noProof/>
            <w:webHidden/>
          </w:rPr>
          <w:instrText xml:space="preserve"> PAGEREF _Toc105776714 \h </w:instrText>
        </w:r>
        <w:r w:rsidR="000627A1">
          <w:rPr>
            <w:noProof/>
            <w:webHidden/>
          </w:rPr>
        </w:r>
        <w:r w:rsidR="000627A1">
          <w:rPr>
            <w:noProof/>
            <w:webHidden/>
          </w:rPr>
          <w:fldChar w:fldCharType="separate"/>
        </w:r>
        <w:r w:rsidR="009B23FC">
          <w:rPr>
            <w:noProof/>
            <w:webHidden/>
          </w:rPr>
          <w:t>65</w:t>
        </w:r>
        <w:r w:rsidR="000627A1">
          <w:rPr>
            <w:noProof/>
            <w:webHidden/>
          </w:rPr>
          <w:fldChar w:fldCharType="end"/>
        </w:r>
      </w:hyperlink>
    </w:p>
    <w:p w14:paraId="7C1A4D1C" w14:textId="2E530C38" w:rsidR="000627A1" w:rsidRDefault="00F05F8E">
      <w:pPr>
        <w:pStyle w:val="TOC8"/>
        <w:tabs>
          <w:tab w:val="right" w:pos="9062"/>
        </w:tabs>
        <w:rPr>
          <w:rFonts w:asciiTheme="minorHAnsi" w:eastAsiaTheme="minorEastAsia" w:hAnsiTheme="minorHAnsi"/>
          <w:noProof/>
          <w:sz w:val="22"/>
          <w:szCs w:val="22"/>
          <w:lang w:eastAsia="en-AU"/>
        </w:rPr>
      </w:pPr>
      <w:hyperlink w:anchor="_Toc105776715" w:history="1">
        <w:r w:rsidR="000627A1" w:rsidRPr="00BB0F1D">
          <w:rPr>
            <w:rStyle w:val="Hyperlink"/>
            <w:noProof/>
          </w:rPr>
          <w:t>Table 2.7 : Impact of in-kind costs on total teaching and scholarship costs (2020)</w:t>
        </w:r>
        <w:r w:rsidR="000627A1">
          <w:rPr>
            <w:noProof/>
            <w:webHidden/>
          </w:rPr>
          <w:tab/>
        </w:r>
        <w:r w:rsidR="000627A1">
          <w:rPr>
            <w:noProof/>
            <w:webHidden/>
          </w:rPr>
          <w:fldChar w:fldCharType="begin"/>
        </w:r>
        <w:r w:rsidR="000627A1">
          <w:rPr>
            <w:noProof/>
            <w:webHidden/>
          </w:rPr>
          <w:instrText xml:space="preserve"> PAGEREF _Toc105776715 \h </w:instrText>
        </w:r>
        <w:r w:rsidR="000627A1">
          <w:rPr>
            <w:noProof/>
            <w:webHidden/>
          </w:rPr>
        </w:r>
        <w:r w:rsidR="000627A1">
          <w:rPr>
            <w:noProof/>
            <w:webHidden/>
          </w:rPr>
          <w:fldChar w:fldCharType="separate"/>
        </w:r>
        <w:r w:rsidR="009B23FC">
          <w:rPr>
            <w:noProof/>
            <w:webHidden/>
          </w:rPr>
          <w:t>66</w:t>
        </w:r>
        <w:r w:rsidR="000627A1">
          <w:rPr>
            <w:noProof/>
            <w:webHidden/>
          </w:rPr>
          <w:fldChar w:fldCharType="end"/>
        </w:r>
      </w:hyperlink>
    </w:p>
    <w:p w14:paraId="180D34F8" w14:textId="3A2164FE" w:rsidR="000627A1" w:rsidRDefault="00F05F8E">
      <w:pPr>
        <w:pStyle w:val="TOC8"/>
        <w:tabs>
          <w:tab w:val="right" w:pos="9062"/>
        </w:tabs>
        <w:rPr>
          <w:rFonts w:asciiTheme="minorHAnsi" w:eastAsiaTheme="minorEastAsia" w:hAnsiTheme="minorHAnsi"/>
          <w:noProof/>
          <w:sz w:val="22"/>
          <w:szCs w:val="22"/>
          <w:lang w:eastAsia="en-AU"/>
        </w:rPr>
      </w:pPr>
      <w:hyperlink w:anchor="_Toc105776716" w:history="1">
        <w:r w:rsidR="000627A1" w:rsidRPr="00BB0F1D">
          <w:rPr>
            <w:rStyle w:val="Hyperlink"/>
            <w:noProof/>
          </w:rPr>
          <w:t>Table 2.8 : Impact of additional partnership costs on total teaching and scholarship costs (2019)</w:t>
        </w:r>
        <w:r w:rsidR="000627A1">
          <w:rPr>
            <w:noProof/>
            <w:webHidden/>
          </w:rPr>
          <w:tab/>
        </w:r>
        <w:r w:rsidR="000627A1">
          <w:rPr>
            <w:noProof/>
            <w:webHidden/>
          </w:rPr>
          <w:fldChar w:fldCharType="begin"/>
        </w:r>
        <w:r w:rsidR="000627A1">
          <w:rPr>
            <w:noProof/>
            <w:webHidden/>
          </w:rPr>
          <w:instrText xml:space="preserve"> PAGEREF _Toc105776716 \h </w:instrText>
        </w:r>
        <w:r w:rsidR="000627A1">
          <w:rPr>
            <w:noProof/>
            <w:webHidden/>
          </w:rPr>
        </w:r>
        <w:r w:rsidR="000627A1">
          <w:rPr>
            <w:noProof/>
            <w:webHidden/>
          </w:rPr>
          <w:fldChar w:fldCharType="separate"/>
        </w:r>
        <w:r w:rsidR="009B23FC">
          <w:rPr>
            <w:noProof/>
            <w:webHidden/>
          </w:rPr>
          <w:t>67</w:t>
        </w:r>
        <w:r w:rsidR="000627A1">
          <w:rPr>
            <w:noProof/>
            <w:webHidden/>
          </w:rPr>
          <w:fldChar w:fldCharType="end"/>
        </w:r>
      </w:hyperlink>
    </w:p>
    <w:p w14:paraId="4DB5C311" w14:textId="6F4413A4" w:rsidR="000627A1" w:rsidRDefault="00F05F8E">
      <w:pPr>
        <w:pStyle w:val="TOC8"/>
        <w:tabs>
          <w:tab w:val="right" w:pos="9062"/>
        </w:tabs>
        <w:rPr>
          <w:rFonts w:asciiTheme="minorHAnsi" w:eastAsiaTheme="minorEastAsia" w:hAnsiTheme="minorHAnsi"/>
          <w:noProof/>
          <w:sz w:val="22"/>
          <w:szCs w:val="22"/>
          <w:lang w:eastAsia="en-AU"/>
        </w:rPr>
      </w:pPr>
      <w:hyperlink w:anchor="_Toc105776717" w:history="1">
        <w:r w:rsidR="000627A1" w:rsidRPr="00BB0F1D">
          <w:rPr>
            <w:rStyle w:val="Hyperlink"/>
            <w:noProof/>
          </w:rPr>
          <w:t>Table 2.9 : Impact of additional partnership costs on total teaching and scholarship costs (2020)</w:t>
        </w:r>
        <w:r w:rsidR="000627A1">
          <w:rPr>
            <w:noProof/>
            <w:webHidden/>
          </w:rPr>
          <w:tab/>
        </w:r>
        <w:r w:rsidR="000627A1">
          <w:rPr>
            <w:noProof/>
            <w:webHidden/>
          </w:rPr>
          <w:fldChar w:fldCharType="begin"/>
        </w:r>
        <w:r w:rsidR="000627A1">
          <w:rPr>
            <w:noProof/>
            <w:webHidden/>
          </w:rPr>
          <w:instrText xml:space="preserve"> PAGEREF _Toc105776717 \h </w:instrText>
        </w:r>
        <w:r w:rsidR="000627A1">
          <w:rPr>
            <w:noProof/>
            <w:webHidden/>
          </w:rPr>
        </w:r>
        <w:r w:rsidR="000627A1">
          <w:rPr>
            <w:noProof/>
            <w:webHidden/>
          </w:rPr>
          <w:fldChar w:fldCharType="separate"/>
        </w:r>
        <w:r w:rsidR="009B23FC">
          <w:rPr>
            <w:noProof/>
            <w:webHidden/>
          </w:rPr>
          <w:t>68</w:t>
        </w:r>
        <w:r w:rsidR="000627A1">
          <w:rPr>
            <w:noProof/>
            <w:webHidden/>
          </w:rPr>
          <w:fldChar w:fldCharType="end"/>
        </w:r>
      </w:hyperlink>
    </w:p>
    <w:p w14:paraId="51094D20" w14:textId="53CA42AF" w:rsidR="000627A1" w:rsidRDefault="00F05F8E">
      <w:pPr>
        <w:pStyle w:val="TOC8"/>
        <w:tabs>
          <w:tab w:val="right" w:pos="9062"/>
        </w:tabs>
        <w:rPr>
          <w:rFonts w:asciiTheme="minorHAnsi" w:eastAsiaTheme="minorEastAsia" w:hAnsiTheme="minorHAnsi"/>
          <w:noProof/>
          <w:sz w:val="22"/>
          <w:szCs w:val="22"/>
          <w:lang w:eastAsia="en-AU"/>
        </w:rPr>
      </w:pPr>
      <w:hyperlink w:anchor="_Toc105776718" w:history="1">
        <w:r w:rsidR="000627A1" w:rsidRPr="00BB0F1D">
          <w:rPr>
            <w:rStyle w:val="Hyperlink"/>
            <w:noProof/>
          </w:rPr>
          <w:t>Table 2.10 : Impact of the optional depreciation adjustment on total teaching and scholarship costs (2019)</w:t>
        </w:r>
        <w:r w:rsidR="000627A1">
          <w:rPr>
            <w:noProof/>
            <w:webHidden/>
          </w:rPr>
          <w:tab/>
        </w:r>
        <w:r w:rsidR="000627A1">
          <w:rPr>
            <w:noProof/>
            <w:webHidden/>
          </w:rPr>
          <w:fldChar w:fldCharType="begin"/>
        </w:r>
        <w:r w:rsidR="000627A1">
          <w:rPr>
            <w:noProof/>
            <w:webHidden/>
          </w:rPr>
          <w:instrText xml:space="preserve"> PAGEREF _Toc105776718 \h </w:instrText>
        </w:r>
        <w:r w:rsidR="000627A1">
          <w:rPr>
            <w:noProof/>
            <w:webHidden/>
          </w:rPr>
        </w:r>
        <w:r w:rsidR="000627A1">
          <w:rPr>
            <w:noProof/>
            <w:webHidden/>
          </w:rPr>
          <w:fldChar w:fldCharType="separate"/>
        </w:r>
        <w:r w:rsidR="009B23FC">
          <w:rPr>
            <w:noProof/>
            <w:webHidden/>
          </w:rPr>
          <w:t>69</w:t>
        </w:r>
        <w:r w:rsidR="000627A1">
          <w:rPr>
            <w:noProof/>
            <w:webHidden/>
          </w:rPr>
          <w:fldChar w:fldCharType="end"/>
        </w:r>
      </w:hyperlink>
    </w:p>
    <w:p w14:paraId="6CE09851" w14:textId="1F778F61" w:rsidR="000627A1" w:rsidRDefault="00F05F8E">
      <w:pPr>
        <w:pStyle w:val="TOC8"/>
        <w:tabs>
          <w:tab w:val="right" w:pos="9062"/>
        </w:tabs>
        <w:rPr>
          <w:rFonts w:asciiTheme="minorHAnsi" w:eastAsiaTheme="minorEastAsia" w:hAnsiTheme="minorHAnsi"/>
          <w:noProof/>
          <w:sz w:val="22"/>
          <w:szCs w:val="22"/>
          <w:lang w:eastAsia="en-AU"/>
        </w:rPr>
      </w:pPr>
      <w:hyperlink w:anchor="_Toc105776719" w:history="1">
        <w:r w:rsidR="000627A1" w:rsidRPr="00BB0F1D">
          <w:rPr>
            <w:rStyle w:val="Hyperlink"/>
            <w:noProof/>
          </w:rPr>
          <w:t>Table 2.11 : Impact of the optional depreciation adjustment on total teaching and scholarship costs (2020)</w:t>
        </w:r>
        <w:r w:rsidR="000627A1">
          <w:rPr>
            <w:noProof/>
            <w:webHidden/>
          </w:rPr>
          <w:tab/>
        </w:r>
        <w:r w:rsidR="000627A1">
          <w:rPr>
            <w:noProof/>
            <w:webHidden/>
          </w:rPr>
          <w:fldChar w:fldCharType="begin"/>
        </w:r>
        <w:r w:rsidR="000627A1">
          <w:rPr>
            <w:noProof/>
            <w:webHidden/>
          </w:rPr>
          <w:instrText xml:space="preserve"> PAGEREF _Toc105776719 \h </w:instrText>
        </w:r>
        <w:r w:rsidR="000627A1">
          <w:rPr>
            <w:noProof/>
            <w:webHidden/>
          </w:rPr>
        </w:r>
        <w:r w:rsidR="000627A1">
          <w:rPr>
            <w:noProof/>
            <w:webHidden/>
          </w:rPr>
          <w:fldChar w:fldCharType="separate"/>
        </w:r>
        <w:r w:rsidR="009B23FC">
          <w:rPr>
            <w:noProof/>
            <w:webHidden/>
          </w:rPr>
          <w:t>70</w:t>
        </w:r>
        <w:r w:rsidR="000627A1">
          <w:rPr>
            <w:noProof/>
            <w:webHidden/>
          </w:rPr>
          <w:fldChar w:fldCharType="end"/>
        </w:r>
      </w:hyperlink>
    </w:p>
    <w:p w14:paraId="7F405781" w14:textId="11B3F6C1" w:rsidR="000627A1" w:rsidRDefault="00F05F8E">
      <w:pPr>
        <w:pStyle w:val="TOC8"/>
        <w:tabs>
          <w:tab w:val="right" w:pos="9062"/>
        </w:tabs>
        <w:rPr>
          <w:rFonts w:asciiTheme="minorHAnsi" w:eastAsiaTheme="minorEastAsia" w:hAnsiTheme="minorHAnsi"/>
          <w:noProof/>
          <w:sz w:val="22"/>
          <w:szCs w:val="22"/>
          <w:lang w:eastAsia="en-AU"/>
        </w:rPr>
      </w:pPr>
      <w:hyperlink w:anchor="_Toc105776720" w:history="1">
        <w:r w:rsidR="000627A1" w:rsidRPr="00BB0F1D">
          <w:rPr>
            <w:rStyle w:val="Hyperlink"/>
            <w:noProof/>
          </w:rPr>
          <w:t>Table 3.1 : Impact of COVID-19 costs on teaching and scholarship costs for universities that completed the COVID-measures tab (2020)</w:t>
        </w:r>
        <w:r w:rsidR="000627A1">
          <w:rPr>
            <w:noProof/>
            <w:webHidden/>
          </w:rPr>
          <w:tab/>
        </w:r>
        <w:r w:rsidR="000627A1">
          <w:rPr>
            <w:noProof/>
            <w:webHidden/>
          </w:rPr>
          <w:fldChar w:fldCharType="begin"/>
        </w:r>
        <w:r w:rsidR="000627A1">
          <w:rPr>
            <w:noProof/>
            <w:webHidden/>
          </w:rPr>
          <w:instrText xml:space="preserve"> PAGEREF _Toc105776720 \h </w:instrText>
        </w:r>
        <w:r w:rsidR="000627A1">
          <w:rPr>
            <w:noProof/>
            <w:webHidden/>
          </w:rPr>
        </w:r>
        <w:r w:rsidR="000627A1">
          <w:rPr>
            <w:noProof/>
            <w:webHidden/>
          </w:rPr>
          <w:fldChar w:fldCharType="separate"/>
        </w:r>
        <w:r w:rsidR="009B23FC">
          <w:rPr>
            <w:noProof/>
            <w:webHidden/>
          </w:rPr>
          <w:t>79</w:t>
        </w:r>
        <w:r w:rsidR="000627A1">
          <w:rPr>
            <w:noProof/>
            <w:webHidden/>
          </w:rPr>
          <w:fldChar w:fldCharType="end"/>
        </w:r>
      </w:hyperlink>
    </w:p>
    <w:p w14:paraId="6269E845" w14:textId="400E0F1F" w:rsidR="000627A1" w:rsidRDefault="00F05F8E">
      <w:pPr>
        <w:pStyle w:val="TOC8"/>
        <w:tabs>
          <w:tab w:val="right" w:pos="9062"/>
        </w:tabs>
        <w:rPr>
          <w:rFonts w:asciiTheme="minorHAnsi" w:eastAsiaTheme="minorEastAsia" w:hAnsiTheme="minorHAnsi"/>
          <w:noProof/>
          <w:sz w:val="22"/>
          <w:szCs w:val="22"/>
          <w:lang w:eastAsia="en-AU"/>
        </w:rPr>
      </w:pPr>
      <w:hyperlink w:anchor="_Toc105776721" w:history="1">
        <w:r w:rsidR="000627A1" w:rsidRPr="00BB0F1D">
          <w:rPr>
            <w:rStyle w:val="Hyperlink"/>
            <w:noProof/>
          </w:rPr>
          <w:t>Table 3.2 Total average impact of COVID-19 costs on teaching and scholarship costs (2020)</w:t>
        </w:r>
        <w:r w:rsidR="000627A1">
          <w:rPr>
            <w:noProof/>
            <w:webHidden/>
          </w:rPr>
          <w:tab/>
        </w:r>
        <w:r w:rsidR="000627A1">
          <w:rPr>
            <w:noProof/>
            <w:webHidden/>
          </w:rPr>
          <w:fldChar w:fldCharType="begin"/>
        </w:r>
        <w:r w:rsidR="000627A1">
          <w:rPr>
            <w:noProof/>
            <w:webHidden/>
          </w:rPr>
          <w:instrText xml:space="preserve"> PAGEREF _Toc105776721 \h </w:instrText>
        </w:r>
        <w:r w:rsidR="000627A1">
          <w:rPr>
            <w:noProof/>
            <w:webHidden/>
          </w:rPr>
        </w:r>
        <w:r w:rsidR="000627A1">
          <w:rPr>
            <w:noProof/>
            <w:webHidden/>
          </w:rPr>
          <w:fldChar w:fldCharType="separate"/>
        </w:r>
        <w:r w:rsidR="009B23FC">
          <w:rPr>
            <w:noProof/>
            <w:webHidden/>
          </w:rPr>
          <w:t>80</w:t>
        </w:r>
        <w:r w:rsidR="000627A1">
          <w:rPr>
            <w:noProof/>
            <w:webHidden/>
          </w:rPr>
          <w:fldChar w:fldCharType="end"/>
        </w:r>
      </w:hyperlink>
    </w:p>
    <w:p w14:paraId="14009B60" w14:textId="7666FD43" w:rsidR="000627A1" w:rsidRDefault="00F05F8E">
      <w:pPr>
        <w:pStyle w:val="TOC8"/>
        <w:tabs>
          <w:tab w:val="right" w:pos="9062"/>
        </w:tabs>
        <w:rPr>
          <w:rFonts w:asciiTheme="minorHAnsi" w:eastAsiaTheme="minorEastAsia" w:hAnsiTheme="minorHAnsi"/>
          <w:noProof/>
          <w:sz w:val="22"/>
          <w:szCs w:val="22"/>
          <w:lang w:eastAsia="en-AU"/>
        </w:rPr>
      </w:pPr>
      <w:hyperlink w:anchor="_Toc105776722" w:history="1">
        <w:r w:rsidR="000627A1" w:rsidRPr="00BB0F1D">
          <w:rPr>
            <w:rStyle w:val="Hyperlink"/>
            <w:noProof/>
          </w:rPr>
          <w:t>Table 4.1 : Key limitations of the exercise</w:t>
        </w:r>
        <w:r w:rsidR="000627A1">
          <w:rPr>
            <w:noProof/>
            <w:webHidden/>
          </w:rPr>
          <w:tab/>
        </w:r>
        <w:r w:rsidR="000627A1">
          <w:rPr>
            <w:noProof/>
            <w:webHidden/>
          </w:rPr>
          <w:fldChar w:fldCharType="begin"/>
        </w:r>
        <w:r w:rsidR="000627A1">
          <w:rPr>
            <w:noProof/>
            <w:webHidden/>
          </w:rPr>
          <w:instrText xml:space="preserve"> PAGEREF _Toc105776722 \h </w:instrText>
        </w:r>
        <w:r w:rsidR="000627A1">
          <w:rPr>
            <w:noProof/>
            <w:webHidden/>
          </w:rPr>
        </w:r>
        <w:r w:rsidR="000627A1">
          <w:rPr>
            <w:noProof/>
            <w:webHidden/>
          </w:rPr>
          <w:fldChar w:fldCharType="separate"/>
        </w:r>
        <w:r w:rsidR="009B23FC">
          <w:rPr>
            <w:noProof/>
            <w:webHidden/>
          </w:rPr>
          <w:t>85</w:t>
        </w:r>
        <w:r w:rsidR="000627A1">
          <w:rPr>
            <w:noProof/>
            <w:webHidden/>
          </w:rPr>
          <w:fldChar w:fldCharType="end"/>
        </w:r>
      </w:hyperlink>
    </w:p>
    <w:p w14:paraId="76557276" w14:textId="680EEDD8" w:rsidR="000627A1" w:rsidRDefault="00F05F8E">
      <w:pPr>
        <w:pStyle w:val="TOC8"/>
        <w:tabs>
          <w:tab w:val="right" w:pos="9062"/>
        </w:tabs>
        <w:rPr>
          <w:rFonts w:asciiTheme="minorHAnsi" w:eastAsiaTheme="minorEastAsia" w:hAnsiTheme="minorHAnsi"/>
          <w:noProof/>
          <w:sz w:val="22"/>
          <w:szCs w:val="22"/>
          <w:lang w:eastAsia="en-AU"/>
        </w:rPr>
      </w:pPr>
      <w:hyperlink w:anchor="_Toc105776723" w:history="1">
        <w:r w:rsidR="000627A1" w:rsidRPr="00BB0F1D">
          <w:rPr>
            <w:rStyle w:val="Hyperlink"/>
            <w:noProof/>
          </w:rPr>
          <w:t>Table B.1: Levels of education</w:t>
        </w:r>
        <w:r w:rsidR="000627A1">
          <w:rPr>
            <w:noProof/>
            <w:webHidden/>
          </w:rPr>
          <w:tab/>
        </w:r>
        <w:r w:rsidR="000627A1">
          <w:rPr>
            <w:noProof/>
            <w:webHidden/>
          </w:rPr>
          <w:fldChar w:fldCharType="begin"/>
        </w:r>
        <w:r w:rsidR="000627A1">
          <w:rPr>
            <w:noProof/>
            <w:webHidden/>
          </w:rPr>
          <w:instrText xml:space="preserve"> PAGEREF _Toc105776723 \h </w:instrText>
        </w:r>
        <w:r w:rsidR="000627A1">
          <w:rPr>
            <w:noProof/>
            <w:webHidden/>
          </w:rPr>
        </w:r>
        <w:r w:rsidR="000627A1">
          <w:rPr>
            <w:noProof/>
            <w:webHidden/>
          </w:rPr>
          <w:fldChar w:fldCharType="separate"/>
        </w:r>
        <w:r w:rsidR="009B23FC">
          <w:rPr>
            <w:noProof/>
            <w:webHidden/>
          </w:rPr>
          <w:t>105</w:t>
        </w:r>
        <w:r w:rsidR="000627A1">
          <w:rPr>
            <w:noProof/>
            <w:webHidden/>
          </w:rPr>
          <w:fldChar w:fldCharType="end"/>
        </w:r>
      </w:hyperlink>
    </w:p>
    <w:p w14:paraId="471508BC" w14:textId="1FC77713" w:rsidR="000627A1" w:rsidRDefault="00F05F8E">
      <w:pPr>
        <w:pStyle w:val="TOC8"/>
        <w:tabs>
          <w:tab w:val="right" w:pos="9062"/>
        </w:tabs>
        <w:rPr>
          <w:rFonts w:asciiTheme="minorHAnsi" w:eastAsiaTheme="minorEastAsia" w:hAnsiTheme="minorHAnsi"/>
          <w:noProof/>
          <w:sz w:val="22"/>
          <w:szCs w:val="22"/>
          <w:lang w:eastAsia="en-AU"/>
        </w:rPr>
      </w:pPr>
      <w:hyperlink w:anchor="_Toc105776724" w:history="1">
        <w:r w:rsidR="000627A1" w:rsidRPr="00BB0F1D">
          <w:rPr>
            <w:rStyle w:val="Hyperlink"/>
            <w:noProof/>
          </w:rPr>
          <w:t>Table B.2: Fields of education</w:t>
        </w:r>
        <w:r w:rsidR="000627A1">
          <w:rPr>
            <w:noProof/>
            <w:webHidden/>
          </w:rPr>
          <w:tab/>
        </w:r>
        <w:r w:rsidR="000627A1">
          <w:rPr>
            <w:noProof/>
            <w:webHidden/>
          </w:rPr>
          <w:fldChar w:fldCharType="begin"/>
        </w:r>
        <w:r w:rsidR="000627A1">
          <w:rPr>
            <w:noProof/>
            <w:webHidden/>
          </w:rPr>
          <w:instrText xml:space="preserve"> PAGEREF _Toc105776724 \h </w:instrText>
        </w:r>
        <w:r w:rsidR="000627A1">
          <w:rPr>
            <w:noProof/>
            <w:webHidden/>
          </w:rPr>
        </w:r>
        <w:r w:rsidR="000627A1">
          <w:rPr>
            <w:noProof/>
            <w:webHidden/>
          </w:rPr>
          <w:fldChar w:fldCharType="separate"/>
        </w:r>
        <w:r w:rsidR="009B23FC">
          <w:rPr>
            <w:noProof/>
            <w:webHidden/>
          </w:rPr>
          <w:t>107</w:t>
        </w:r>
        <w:r w:rsidR="000627A1">
          <w:rPr>
            <w:noProof/>
            <w:webHidden/>
          </w:rPr>
          <w:fldChar w:fldCharType="end"/>
        </w:r>
      </w:hyperlink>
    </w:p>
    <w:p w14:paraId="0CFCF57B" w14:textId="422FD431" w:rsidR="000627A1" w:rsidRDefault="00F05F8E">
      <w:pPr>
        <w:pStyle w:val="TOC8"/>
        <w:tabs>
          <w:tab w:val="right" w:pos="9062"/>
        </w:tabs>
        <w:rPr>
          <w:rFonts w:asciiTheme="minorHAnsi" w:eastAsiaTheme="minorEastAsia" w:hAnsiTheme="minorHAnsi"/>
          <w:noProof/>
          <w:sz w:val="22"/>
          <w:szCs w:val="22"/>
          <w:lang w:eastAsia="en-AU"/>
        </w:rPr>
      </w:pPr>
      <w:hyperlink w:anchor="_Toc105776725" w:history="1">
        <w:r w:rsidR="000627A1" w:rsidRPr="00BB0F1D">
          <w:rPr>
            <w:rStyle w:val="Hyperlink"/>
            <w:noProof/>
          </w:rPr>
          <w:t>Chart C.1: Distribution of the average unit costs to base funding ratio 2017, 2018, 2019, and 2020 (2015 common sample (25 universities))</w:t>
        </w:r>
        <w:r w:rsidR="000627A1">
          <w:rPr>
            <w:noProof/>
            <w:webHidden/>
          </w:rPr>
          <w:tab/>
        </w:r>
        <w:r w:rsidR="000627A1">
          <w:rPr>
            <w:noProof/>
            <w:webHidden/>
          </w:rPr>
          <w:fldChar w:fldCharType="begin"/>
        </w:r>
        <w:r w:rsidR="000627A1">
          <w:rPr>
            <w:noProof/>
            <w:webHidden/>
          </w:rPr>
          <w:instrText xml:space="preserve"> PAGEREF _Toc105776725 \h </w:instrText>
        </w:r>
        <w:r w:rsidR="000627A1">
          <w:rPr>
            <w:noProof/>
            <w:webHidden/>
          </w:rPr>
        </w:r>
        <w:r w:rsidR="000627A1">
          <w:rPr>
            <w:noProof/>
            <w:webHidden/>
          </w:rPr>
          <w:fldChar w:fldCharType="separate"/>
        </w:r>
        <w:r w:rsidR="009B23FC">
          <w:rPr>
            <w:noProof/>
            <w:webHidden/>
          </w:rPr>
          <w:t>119</w:t>
        </w:r>
        <w:r w:rsidR="000627A1">
          <w:rPr>
            <w:noProof/>
            <w:webHidden/>
          </w:rPr>
          <w:fldChar w:fldCharType="end"/>
        </w:r>
      </w:hyperlink>
    </w:p>
    <w:p w14:paraId="5F6239B6" w14:textId="3FEC2FCC" w:rsidR="000627A1" w:rsidRDefault="00F05F8E">
      <w:pPr>
        <w:pStyle w:val="TOC8"/>
        <w:tabs>
          <w:tab w:val="right" w:pos="9062"/>
        </w:tabs>
        <w:rPr>
          <w:rFonts w:asciiTheme="minorHAnsi" w:eastAsiaTheme="minorEastAsia" w:hAnsiTheme="minorHAnsi"/>
          <w:noProof/>
          <w:sz w:val="22"/>
          <w:szCs w:val="22"/>
          <w:lang w:eastAsia="en-AU"/>
        </w:rPr>
      </w:pPr>
      <w:hyperlink w:anchor="_Toc105776726" w:history="1">
        <w:r w:rsidR="000627A1" w:rsidRPr="00BB0F1D">
          <w:rPr>
            <w:rStyle w:val="Hyperlink"/>
            <w:noProof/>
          </w:rPr>
          <w:t>Chart D.1: Distribution of the average unit costs to base funding ratio, 2015, 2017, 2018, 2019, and 2020 (2015 common sample (17 universities))</w:t>
        </w:r>
        <w:r w:rsidR="000627A1">
          <w:rPr>
            <w:noProof/>
            <w:webHidden/>
          </w:rPr>
          <w:tab/>
        </w:r>
        <w:r w:rsidR="000627A1">
          <w:rPr>
            <w:noProof/>
            <w:webHidden/>
          </w:rPr>
          <w:fldChar w:fldCharType="begin"/>
        </w:r>
        <w:r w:rsidR="000627A1">
          <w:rPr>
            <w:noProof/>
            <w:webHidden/>
          </w:rPr>
          <w:instrText xml:space="preserve"> PAGEREF _Toc105776726 \h </w:instrText>
        </w:r>
        <w:r w:rsidR="000627A1">
          <w:rPr>
            <w:noProof/>
            <w:webHidden/>
          </w:rPr>
        </w:r>
        <w:r w:rsidR="000627A1">
          <w:rPr>
            <w:noProof/>
            <w:webHidden/>
          </w:rPr>
          <w:fldChar w:fldCharType="separate"/>
        </w:r>
        <w:r w:rsidR="009B23FC">
          <w:rPr>
            <w:noProof/>
            <w:webHidden/>
          </w:rPr>
          <w:t>124</w:t>
        </w:r>
        <w:r w:rsidR="000627A1">
          <w:rPr>
            <w:noProof/>
            <w:webHidden/>
          </w:rPr>
          <w:fldChar w:fldCharType="end"/>
        </w:r>
      </w:hyperlink>
    </w:p>
    <w:p w14:paraId="564CE6A3" w14:textId="62F27056" w:rsidR="000627A1" w:rsidRDefault="00F05F8E">
      <w:pPr>
        <w:pStyle w:val="TOC8"/>
        <w:tabs>
          <w:tab w:val="right" w:pos="9062"/>
        </w:tabs>
        <w:rPr>
          <w:rFonts w:asciiTheme="minorHAnsi" w:eastAsiaTheme="minorEastAsia" w:hAnsiTheme="minorHAnsi"/>
          <w:noProof/>
          <w:sz w:val="22"/>
          <w:szCs w:val="22"/>
          <w:lang w:eastAsia="en-AU"/>
        </w:rPr>
      </w:pPr>
      <w:hyperlink w:anchor="_Toc105776727" w:history="1">
        <w:r w:rsidR="000627A1" w:rsidRPr="00BB0F1D">
          <w:rPr>
            <w:rStyle w:val="Hyperlink"/>
            <w:noProof/>
          </w:rPr>
          <w:t>Chart D.2: Comparing costs between 2015, 2017, 2018, 2019, and 2020 for sub-bachelor (2015 common sample (17 universities))</w:t>
        </w:r>
        <w:r w:rsidR="000627A1">
          <w:rPr>
            <w:noProof/>
            <w:webHidden/>
          </w:rPr>
          <w:tab/>
        </w:r>
        <w:r w:rsidR="000627A1">
          <w:rPr>
            <w:noProof/>
            <w:webHidden/>
          </w:rPr>
          <w:fldChar w:fldCharType="begin"/>
        </w:r>
        <w:r w:rsidR="000627A1">
          <w:rPr>
            <w:noProof/>
            <w:webHidden/>
          </w:rPr>
          <w:instrText xml:space="preserve"> PAGEREF _Toc105776727 \h </w:instrText>
        </w:r>
        <w:r w:rsidR="000627A1">
          <w:rPr>
            <w:noProof/>
            <w:webHidden/>
          </w:rPr>
        </w:r>
        <w:r w:rsidR="000627A1">
          <w:rPr>
            <w:noProof/>
            <w:webHidden/>
          </w:rPr>
          <w:fldChar w:fldCharType="separate"/>
        </w:r>
        <w:r w:rsidR="009B23FC">
          <w:rPr>
            <w:noProof/>
            <w:webHidden/>
          </w:rPr>
          <w:t>125</w:t>
        </w:r>
        <w:r w:rsidR="000627A1">
          <w:rPr>
            <w:noProof/>
            <w:webHidden/>
          </w:rPr>
          <w:fldChar w:fldCharType="end"/>
        </w:r>
      </w:hyperlink>
    </w:p>
    <w:p w14:paraId="5F38EE27" w14:textId="09CC7B2C" w:rsidR="000627A1" w:rsidRDefault="00F05F8E">
      <w:pPr>
        <w:pStyle w:val="TOC8"/>
        <w:tabs>
          <w:tab w:val="right" w:pos="9062"/>
        </w:tabs>
        <w:rPr>
          <w:rFonts w:asciiTheme="minorHAnsi" w:eastAsiaTheme="minorEastAsia" w:hAnsiTheme="minorHAnsi"/>
          <w:noProof/>
          <w:sz w:val="22"/>
          <w:szCs w:val="22"/>
          <w:lang w:eastAsia="en-AU"/>
        </w:rPr>
      </w:pPr>
      <w:hyperlink w:anchor="_Toc105776728" w:history="1">
        <w:r w:rsidR="000627A1" w:rsidRPr="00BB0F1D">
          <w:rPr>
            <w:rStyle w:val="Hyperlink"/>
            <w:noProof/>
          </w:rPr>
          <w:t>Chart D.3: Comparing costs between 2015, 2017, 2018, 2019, and 2020 for bachelor (2015 common sample (17 universities))</w:t>
        </w:r>
        <w:r w:rsidR="000627A1">
          <w:rPr>
            <w:noProof/>
            <w:webHidden/>
          </w:rPr>
          <w:tab/>
        </w:r>
        <w:r w:rsidR="000627A1">
          <w:rPr>
            <w:noProof/>
            <w:webHidden/>
          </w:rPr>
          <w:fldChar w:fldCharType="begin"/>
        </w:r>
        <w:r w:rsidR="000627A1">
          <w:rPr>
            <w:noProof/>
            <w:webHidden/>
          </w:rPr>
          <w:instrText xml:space="preserve"> PAGEREF _Toc105776728 \h </w:instrText>
        </w:r>
        <w:r w:rsidR="000627A1">
          <w:rPr>
            <w:noProof/>
            <w:webHidden/>
          </w:rPr>
        </w:r>
        <w:r w:rsidR="000627A1">
          <w:rPr>
            <w:noProof/>
            <w:webHidden/>
          </w:rPr>
          <w:fldChar w:fldCharType="separate"/>
        </w:r>
        <w:r w:rsidR="009B23FC">
          <w:rPr>
            <w:noProof/>
            <w:webHidden/>
          </w:rPr>
          <w:t>126</w:t>
        </w:r>
        <w:r w:rsidR="000627A1">
          <w:rPr>
            <w:noProof/>
            <w:webHidden/>
          </w:rPr>
          <w:fldChar w:fldCharType="end"/>
        </w:r>
      </w:hyperlink>
    </w:p>
    <w:p w14:paraId="2615406F" w14:textId="049DF7FE" w:rsidR="000627A1" w:rsidRDefault="00F05F8E">
      <w:pPr>
        <w:pStyle w:val="TOC8"/>
        <w:tabs>
          <w:tab w:val="right" w:pos="9062"/>
        </w:tabs>
        <w:rPr>
          <w:rFonts w:asciiTheme="minorHAnsi" w:eastAsiaTheme="minorEastAsia" w:hAnsiTheme="minorHAnsi"/>
          <w:noProof/>
          <w:sz w:val="22"/>
          <w:szCs w:val="22"/>
          <w:lang w:eastAsia="en-AU"/>
        </w:rPr>
      </w:pPr>
      <w:hyperlink w:anchor="_Toc105776729" w:history="1">
        <w:r w:rsidR="000627A1" w:rsidRPr="00BB0F1D">
          <w:rPr>
            <w:rStyle w:val="Hyperlink"/>
            <w:noProof/>
          </w:rPr>
          <w:t>Chart D.4: Comparing costs between 2015, 2017, 2018, 2019, and 2020 for postgraduate (2015 common sample (17 universities))</w:t>
        </w:r>
        <w:r w:rsidR="000627A1">
          <w:rPr>
            <w:noProof/>
            <w:webHidden/>
          </w:rPr>
          <w:tab/>
        </w:r>
        <w:r w:rsidR="000627A1">
          <w:rPr>
            <w:noProof/>
            <w:webHidden/>
          </w:rPr>
          <w:fldChar w:fldCharType="begin"/>
        </w:r>
        <w:r w:rsidR="000627A1">
          <w:rPr>
            <w:noProof/>
            <w:webHidden/>
          </w:rPr>
          <w:instrText xml:space="preserve"> PAGEREF _Toc105776729 \h </w:instrText>
        </w:r>
        <w:r w:rsidR="000627A1">
          <w:rPr>
            <w:noProof/>
            <w:webHidden/>
          </w:rPr>
        </w:r>
        <w:r w:rsidR="000627A1">
          <w:rPr>
            <w:noProof/>
            <w:webHidden/>
          </w:rPr>
          <w:fldChar w:fldCharType="separate"/>
        </w:r>
        <w:r w:rsidR="009B23FC">
          <w:rPr>
            <w:noProof/>
            <w:webHidden/>
          </w:rPr>
          <w:t>127</w:t>
        </w:r>
        <w:r w:rsidR="000627A1">
          <w:rPr>
            <w:noProof/>
            <w:webHidden/>
          </w:rPr>
          <w:fldChar w:fldCharType="end"/>
        </w:r>
      </w:hyperlink>
    </w:p>
    <w:p w14:paraId="64F3E604" w14:textId="51C52059" w:rsidR="00F9113D" w:rsidRPr="00BB165A" w:rsidRDefault="00FC6122" w:rsidP="00810613">
      <w:r w:rsidRPr="00691B65">
        <w:fldChar w:fldCharType="end"/>
      </w:r>
      <w:bookmarkEnd w:id="4"/>
    </w:p>
    <w:p w14:paraId="7BCC0B54" w14:textId="77777777" w:rsidR="00F9113D" w:rsidRPr="00BB165A" w:rsidRDefault="00F9113D" w:rsidP="00672300">
      <w:pPr>
        <w:sectPr w:rsidR="00F9113D" w:rsidRPr="00BB165A" w:rsidSect="00810613">
          <w:headerReference w:type="default" r:id="rId19"/>
          <w:footerReference w:type="default" r:id="rId20"/>
          <w:pgSz w:w="11906" w:h="16838" w:code="9"/>
          <w:pgMar w:top="1985" w:right="1416" w:bottom="1134" w:left="1418" w:header="680" w:footer="425" w:gutter="0"/>
          <w:pgNumType w:fmt="lowerRoman" w:start="1"/>
          <w:cols w:space="284"/>
          <w:docGrid w:linePitch="360"/>
        </w:sectPr>
      </w:pPr>
    </w:p>
    <w:p w14:paraId="5DDB9A96" w14:textId="77777777" w:rsidR="00717E9F" w:rsidRDefault="00717E9F" w:rsidP="00717E9F">
      <w:pPr>
        <w:pStyle w:val="Heading1"/>
        <w:keepNext w:val="0"/>
        <w:keepLines w:val="0"/>
        <w:numPr>
          <w:ilvl w:val="0"/>
          <w:numId w:val="0"/>
        </w:numPr>
        <w:ind w:left="794" w:hanging="794"/>
        <w:rPr>
          <w:noProof/>
        </w:rPr>
      </w:pPr>
      <w:bookmarkStart w:id="5" w:name="_Toc462313127"/>
      <w:bookmarkStart w:id="6" w:name="_Toc462317836"/>
      <w:bookmarkStart w:id="7" w:name="_Toc462397801"/>
      <w:bookmarkStart w:id="8" w:name="_Toc463002428"/>
      <w:bookmarkStart w:id="9" w:name="_Toc472586340"/>
      <w:bookmarkStart w:id="10" w:name="_Toc482168118"/>
      <w:bookmarkStart w:id="11" w:name="_Toc482174905"/>
      <w:bookmarkStart w:id="12" w:name="_Toc516844698"/>
      <w:bookmarkStart w:id="13" w:name="_Toc529874464"/>
      <w:bookmarkStart w:id="14" w:name="_Toc20245992"/>
      <w:bookmarkStart w:id="15" w:name="_Toc105776171"/>
      <w:bookmarkStart w:id="16" w:name="_Toc215906318"/>
      <w:bookmarkStart w:id="17" w:name="_Toc227746675"/>
      <w:bookmarkStart w:id="18" w:name="_Toc227746679"/>
      <w:bookmarkStart w:id="19" w:name="_Toc227746683"/>
      <w:bookmarkStart w:id="20" w:name="_Toc227746687"/>
      <w:bookmarkStart w:id="21" w:name="_Toc227748309"/>
      <w:bookmarkStart w:id="22" w:name="_Toc227748327"/>
      <w:bookmarkStart w:id="23" w:name="_Toc227748331"/>
      <w:bookmarkStart w:id="24" w:name="_Toc227748335"/>
      <w:bookmarkStart w:id="25" w:name="_Toc227748374"/>
      <w:bookmarkStart w:id="26" w:name="_Toc227748378"/>
      <w:bookmarkStart w:id="27" w:name="_Toc227748382"/>
      <w:bookmarkStart w:id="28" w:name="_Toc227748494"/>
      <w:bookmarkStart w:id="29" w:name="_Toc227748498"/>
      <w:bookmarkStart w:id="30" w:name="_Toc228005205"/>
      <w:bookmarkStart w:id="31" w:name="_Toc228092496"/>
      <w:bookmarkStart w:id="32" w:name="_Toc228264951"/>
      <w:bookmarkStart w:id="33" w:name="_Toc228264973"/>
      <w:bookmarkStart w:id="34" w:name="_Toc228264977"/>
      <w:bookmarkStart w:id="35" w:name="_Toc228264981"/>
      <w:bookmarkStart w:id="36" w:name="_Toc228264985"/>
      <w:bookmarkStart w:id="37" w:name="_Toc228265215"/>
      <w:bookmarkStart w:id="38" w:name="_Toc288198024"/>
      <w:bookmarkStart w:id="39" w:name="_Toc448829185"/>
      <w:bookmarkStart w:id="40" w:name="_Toc456353381"/>
      <w:bookmarkStart w:id="41" w:name="_Toc462313128"/>
      <w:bookmarkStart w:id="42" w:name="_Toc462317837"/>
      <w:bookmarkStart w:id="43" w:name="_Toc462397802"/>
      <w:bookmarkStart w:id="44" w:name="_Toc463002429"/>
      <w:bookmarkStart w:id="45" w:name="_Toc472586341"/>
      <w:bookmarkStart w:id="46" w:name="_Toc482168119"/>
      <w:bookmarkStart w:id="47" w:name="_Toc482174906"/>
      <w:r w:rsidRPr="00691B65">
        <w:rPr>
          <w:noProof/>
        </w:rPr>
        <w:t>Glossary</w:t>
      </w:r>
      <w:bookmarkEnd w:id="5"/>
      <w:bookmarkEnd w:id="6"/>
      <w:bookmarkEnd w:id="7"/>
      <w:bookmarkEnd w:id="8"/>
      <w:bookmarkEnd w:id="9"/>
      <w:bookmarkEnd w:id="10"/>
      <w:bookmarkEnd w:id="11"/>
      <w:bookmarkEnd w:id="12"/>
      <w:bookmarkEnd w:id="13"/>
      <w:bookmarkEnd w:id="14"/>
      <w:bookmarkEnd w:id="15"/>
    </w:p>
    <w:p w14:paraId="3BD6317D" w14:textId="77777777" w:rsidR="007A22BC" w:rsidRPr="007A22BC" w:rsidRDefault="007A22BC" w:rsidP="007A22BC"/>
    <w:tbl>
      <w:tblPr>
        <w:tblStyle w:val="Deloittetable"/>
        <w:tblW w:w="9498" w:type="dxa"/>
        <w:tblLayout w:type="fixed"/>
        <w:tblLook w:val="04A0" w:firstRow="1" w:lastRow="0" w:firstColumn="1" w:lastColumn="0" w:noHBand="0" w:noVBand="1"/>
      </w:tblPr>
      <w:tblGrid>
        <w:gridCol w:w="2694"/>
        <w:gridCol w:w="6804"/>
      </w:tblGrid>
      <w:tr w:rsidR="001E5234" w:rsidRPr="00B340C9" w14:paraId="1BAD40FB" w14:textId="77777777" w:rsidTr="007A22BC">
        <w:trPr>
          <w:cnfStyle w:val="100000000000" w:firstRow="1" w:lastRow="0" w:firstColumn="0" w:lastColumn="0" w:oddVBand="0" w:evenVBand="0" w:oddHBand="0" w:evenHBand="0" w:firstRowFirstColumn="0" w:firstRowLastColumn="0" w:lastRowFirstColumn="0" w:lastRowLastColumn="0"/>
        </w:trPr>
        <w:tc>
          <w:tcPr>
            <w:tcW w:w="2694" w:type="dxa"/>
          </w:tcPr>
          <w:p w14:paraId="70EED53C" w14:textId="7289E640" w:rsidR="001E5234" w:rsidRPr="00691B65" w:rsidRDefault="001E5234">
            <w:pPr>
              <w:pStyle w:val="TabletextLeft"/>
              <w:rPr>
                <w:b/>
                <w:noProof/>
              </w:rPr>
            </w:pPr>
            <w:r w:rsidRPr="00691B65">
              <w:rPr>
                <w:b/>
                <w:noProof/>
              </w:rPr>
              <w:t>Acronym</w:t>
            </w:r>
            <w:r w:rsidR="007A22BC">
              <w:rPr>
                <w:b/>
                <w:noProof/>
              </w:rPr>
              <w:t xml:space="preserve"> or initialism</w:t>
            </w:r>
          </w:p>
        </w:tc>
        <w:tc>
          <w:tcPr>
            <w:tcW w:w="6804" w:type="dxa"/>
          </w:tcPr>
          <w:p w14:paraId="15774560" w14:textId="77777777" w:rsidR="001E5234" w:rsidRPr="00691B65" w:rsidRDefault="001E5234" w:rsidP="001E5234">
            <w:pPr>
              <w:pStyle w:val="TabletextLeft"/>
              <w:rPr>
                <w:b/>
                <w:noProof/>
              </w:rPr>
            </w:pPr>
            <w:r w:rsidRPr="00691B65">
              <w:rPr>
                <w:b/>
                <w:noProof/>
              </w:rPr>
              <w:t>Full name</w:t>
            </w:r>
          </w:p>
        </w:tc>
      </w:tr>
      <w:tr w:rsidR="001E5234" w:rsidRPr="00B340C9" w14:paraId="366E75B4" w14:textId="77777777" w:rsidTr="007A22BC">
        <w:tc>
          <w:tcPr>
            <w:tcW w:w="2694" w:type="dxa"/>
            <w:vAlign w:val="center"/>
          </w:tcPr>
          <w:p w14:paraId="60A28D23" w14:textId="77777777" w:rsidR="001E5234" w:rsidRPr="00691B65" w:rsidRDefault="001E5234" w:rsidP="001E5234">
            <w:pPr>
              <w:pStyle w:val="TabletextLeft"/>
              <w:rPr>
                <w:noProof/>
              </w:rPr>
            </w:pPr>
            <w:r w:rsidRPr="00691B65">
              <w:rPr>
                <w:rFonts w:cs="Arial"/>
                <w:noProof/>
                <w:szCs w:val="22"/>
                <w:lang w:eastAsia="en-AU"/>
              </w:rPr>
              <w:t>ABC</w:t>
            </w:r>
          </w:p>
        </w:tc>
        <w:tc>
          <w:tcPr>
            <w:tcW w:w="6804" w:type="dxa"/>
            <w:vAlign w:val="center"/>
          </w:tcPr>
          <w:p w14:paraId="570D5B25" w14:textId="77777777" w:rsidR="001E5234" w:rsidRPr="00691B65" w:rsidRDefault="001E5234" w:rsidP="001E5234">
            <w:pPr>
              <w:pStyle w:val="TabletextLeft"/>
              <w:rPr>
                <w:noProof/>
              </w:rPr>
            </w:pPr>
            <w:r w:rsidRPr="00691B65">
              <w:rPr>
                <w:rFonts w:cs="Arial"/>
                <w:noProof/>
                <w:szCs w:val="22"/>
                <w:lang w:eastAsia="en-AU"/>
              </w:rPr>
              <w:t>Activity Based Costing</w:t>
            </w:r>
          </w:p>
        </w:tc>
      </w:tr>
      <w:tr w:rsidR="001E7830" w:rsidRPr="00B340C9" w14:paraId="272FB4DC" w14:textId="77777777" w:rsidTr="007A22BC">
        <w:tc>
          <w:tcPr>
            <w:tcW w:w="2694" w:type="dxa"/>
            <w:vAlign w:val="center"/>
          </w:tcPr>
          <w:p w14:paraId="46A65D5F" w14:textId="77777777" w:rsidR="001E7830" w:rsidRPr="00691B65" w:rsidRDefault="001E7830" w:rsidP="001E5234">
            <w:pPr>
              <w:pStyle w:val="TabletextLeft"/>
              <w:rPr>
                <w:rFonts w:cs="Arial"/>
                <w:noProof/>
                <w:szCs w:val="22"/>
                <w:lang w:eastAsia="en-AU"/>
              </w:rPr>
            </w:pPr>
            <w:r>
              <w:rPr>
                <w:rFonts w:cs="Arial"/>
                <w:noProof/>
                <w:szCs w:val="22"/>
                <w:lang w:eastAsia="en-AU"/>
              </w:rPr>
              <w:t>ATN</w:t>
            </w:r>
          </w:p>
        </w:tc>
        <w:tc>
          <w:tcPr>
            <w:tcW w:w="6804" w:type="dxa"/>
            <w:vAlign w:val="center"/>
          </w:tcPr>
          <w:p w14:paraId="7758DD53" w14:textId="77777777" w:rsidR="001E7830" w:rsidRPr="00691B65" w:rsidRDefault="001E7830" w:rsidP="001E5234">
            <w:pPr>
              <w:pStyle w:val="TabletextLeft"/>
              <w:rPr>
                <w:rFonts w:cs="Arial"/>
                <w:noProof/>
                <w:szCs w:val="22"/>
                <w:lang w:eastAsia="en-AU"/>
              </w:rPr>
            </w:pPr>
            <w:r>
              <w:rPr>
                <w:rFonts w:cs="Arial"/>
                <w:noProof/>
                <w:szCs w:val="22"/>
                <w:lang w:eastAsia="en-AU"/>
              </w:rPr>
              <w:t>Australian Technology Network of Universities</w:t>
            </w:r>
          </w:p>
        </w:tc>
      </w:tr>
      <w:tr w:rsidR="006E4CA9" w:rsidRPr="00B340C9" w14:paraId="6BA045AF" w14:textId="77777777" w:rsidTr="007A22BC">
        <w:tc>
          <w:tcPr>
            <w:tcW w:w="2694" w:type="dxa"/>
            <w:vAlign w:val="center"/>
          </w:tcPr>
          <w:p w14:paraId="553B5B99" w14:textId="4C6633E3" w:rsidR="006E4CA9" w:rsidRDefault="006E4CA9" w:rsidP="001E5234">
            <w:pPr>
              <w:pStyle w:val="TabletextLeft"/>
              <w:rPr>
                <w:rFonts w:cs="Arial"/>
                <w:noProof/>
                <w:szCs w:val="22"/>
                <w:lang w:eastAsia="en-AU"/>
              </w:rPr>
            </w:pPr>
            <w:r w:rsidRPr="006E4CA9">
              <w:rPr>
                <w:rFonts w:cs="Arial"/>
                <w:noProof/>
                <w:szCs w:val="22"/>
                <w:lang w:eastAsia="en-AU"/>
              </w:rPr>
              <w:t>ASCED</w:t>
            </w:r>
          </w:p>
        </w:tc>
        <w:tc>
          <w:tcPr>
            <w:tcW w:w="6804" w:type="dxa"/>
            <w:vAlign w:val="center"/>
          </w:tcPr>
          <w:p w14:paraId="6135E508" w14:textId="492F2B05" w:rsidR="006E4CA9" w:rsidRDefault="006E4CA9" w:rsidP="001E5234">
            <w:pPr>
              <w:pStyle w:val="TabletextLeft"/>
              <w:rPr>
                <w:rFonts w:cs="Arial"/>
                <w:noProof/>
                <w:szCs w:val="22"/>
                <w:lang w:eastAsia="en-AU"/>
              </w:rPr>
            </w:pPr>
            <w:r w:rsidRPr="006E4CA9">
              <w:rPr>
                <w:rFonts w:cs="Arial"/>
                <w:noProof/>
                <w:szCs w:val="22"/>
                <w:lang w:eastAsia="en-AU"/>
              </w:rPr>
              <w:t>Australian Standard Classification of Education</w:t>
            </w:r>
          </w:p>
        </w:tc>
      </w:tr>
      <w:tr w:rsidR="00EB23CD" w:rsidRPr="00B340C9" w14:paraId="6F1F1AB0" w14:textId="77777777" w:rsidTr="007A22BC">
        <w:tc>
          <w:tcPr>
            <w:tcW w:w="2694" w:type="dxa"/>
            <w:vAlign w:val="center"/>
          </w:tcPr>
          <w:p w14:paraId="25420BDA" w14:textId="3AEA33F2" w:rsidR="00EB23CD" w:rsidRPr="00691B65" w:rsidRDefault="00EB23CD" w:rsidP="001E5234">
            <w:pPr>
              <w:pStyle w:val="TabletextLeft"/>
              <w:rPr>
                <w:rFonts w:cs="Arial"/>
                <w:noProof/>
                <w:szCs w:val="22"/>
                <w:lang w:eastAsia="en-AU"/>
              </w:rPr>
            </w:pPr>
            <w:r>
              <w:rPr>
                <w:rFonts w:cs="Arial"/>
                <w:noProof/>
                <w:szCs w:val="22"/>
                <w:lang w:eastAsia="en-AU"/>
              </w:rPr>
              <w:t>CAGR</w:t>
            </w:r>
          </w:p>
        </w:tc>
        <w:tc>
          <w:tcPr>
            <w:tcW w:w="6804" w:type="dxa"/>
            <w:vAlign w:val="center"/>
          </w:tcPr>
          <w:p w14:paraId="71CD616A" w14:textId="73D9C13D" w:rsidR="00EB23CD" w:rsidRPr="00691B65" w:rsidRDefault="00EB23CD" w:rsidP="001E5234">
            <w:pPr>
              <w:pStyle w:val="TabletextLeft"/>
              <w:rPr>
                <w:rFonts w:cs="Arial"/>
                <w:noProof/>
                <w:szCs w:val="22"/>
                <w:lang w:eastAsia="en-AU"/>
              </w:rPr>
            </w:pPr>
            <w:r w:rsidRPr="00EB23CD">
              <w:rPr>
                <w:rFonts w:cs="Arial"/>
                <w:noProof/>
                <w:szCs w:val="22"/>
                <w:lang w:eastAsia="en-AU"/>
              </w:rPr>
              <w:t>Compound Annual Growth Rate</w:t>
            </w:r>
          </w:p>
        </w:tc>
      </w:tr>
      <w:tr w:rsidR="001E5234" w:rsidRPr="00B340C9" w14:paraId="154F9041" w14:textId="77777777" w:rsidTr="007A22BC">
        <w:tc>
          <w:tcPr>
            <w:tcW w:w="2694" w:type="dxa"/>
            <w:vAlign w:val="center"/>
          </w:tcPr>
          <w:p w14:paraId="6C3A3190" w14:textId="77777777" w:rsidR="001E5234" w:rsidRPr="00691B65" w:rsidRDefault="001E5234" w:rsidP="001E5234">
            <w:pPr>
              <w:pStyle w:val="TabletextLeft"/>
              <w:rPr>
                <w:noProof/>
              </w:rPr>
            </w:pPr>
            <w:r w:rsidRPr="00691B65">
              <w:rPr>
                <w:rFonts w:cs="Arial"/>
                <w:noProof/>
                <w:szCs w:val="22"/>
                <w:lang w:eastAsia="en-AU"/>
              </w:rPr>
              <w:t>CGS</w:t>
            </w:r>
          </w:p>
        </w:tc>
        <w:tc>
          <w:tcPr>
            <w:tcW w:w="6804" w:type="dxa"/>
            <w:vAlign w:val="center"/>
          </w:tcPr>
          <w:p w14:paraId="0F8C52C2" w14:textId="77777777" w:rsidR="001E5234" w:rsidRPr="00691B65" w:rsidRDefault="001E5234" w:rsidP="001E5234">
            <w:pPr>
              <w:pStyle w:val="TabletextLeft"/>
              <w:rPr>
                <w:noProof/>
              </w:rPr>
            </w:pPr>
            <w:r w:rsidRPr="00691B65">
              <w:rPr>
                <w:rFonts w:cs="Arial"/>
                <w:noProof/>
                <w:szCs w:val="22"/>
                <w:lang w:eastAsia="en-AU"/>
              </w:rPr>
              <w:t>Commonwealth Grant Scheme</w:t>
            </w:r>
          </w:p>
        </w:tc>
      </w:tr>
      <w:tr w:rsidR="001E5234" w:rsidRPr="00B340C9" w14:paraId="0C7EEC2E" w14:textId="77777777" w:rsidTr="007A22BC">
        <w:tc>
          <w:tcPr>
            <w:tcW w:w="2694" w:type="dxa"/>
            <w:vAlign w:val="center"/>
          </w:tcPr>
          <w:p w14:paraId="285DD4CC" w14:textId="77777777" w:rsidR="001E5234" w:rsidRPr="00691B65" w:rsidRDefault="001E5234" w:rsidP="001E5234">
            <w:pPr>
              <w:pStyle w:val="TabletextLeft"/>
              <w:rPr>
                <w:noProof/>
              </w:rPr>
            </w:pPr>
            <w:r w:rsidRPr="00691B65">
              <w:rPr>
                <w:rFonts w:cs="Arial"/>
                <w:noProof/>
                <w:szCs w:val="22"/>
                <w:lang w:eastAsia="en-AU"/>
              </w:rPr>
              <w:t>CSP</w:t>
            </w:r>
          </w:p>
        </w:tc>
        <w:tc>
          <w:tcPr>
            <w:tcW w:w="6804" w:type="dxa"/>
            <w:vAlign w:val="center"/>
          </w:tcPr>
          <w:p w14:paraId="32B95F04" w14:textId="77777777" w:rsidR="001E5234" w:rsidRPr="00691B65" w:rsidRDefault="001E5234" w:rsidP="001E5234">
            <w:pPr>
              <w:pStyle w:val="TabletextLeft"/>
              <w:rPr>
                <w:noProof/>
              </w:rPr>
            </w:pPr>
            <w:r w:rsidRPr="00691B65">
              <w:rPr>
                <w:rFonts w:cs="Arial"/>
                <w:noProof/>
                <w:szCs w:val="22"/>
                <w:lang w:eastAsia="en-AU"/>
              </w:rPr>
              <w:t>Commonwealth Supported Place</w:t>
            </w:r>
          </w:p>
        </w:tc>
      </w:tr>
      <w:tr w:rsidR="001E5234" w:rsidRPr="00B340C9" w14:paraId="0BA557D8" w14:textId="77777777" w:rsidTr="007A22BC">
        <w:tc>
          <w:tcPr>
            <w:tcW w:w="2694" w:type="dxa"/>
            <w:vAlign w:val="center"/>
          </w:tcPr>
          <w:p w14:paraId="7C375E60"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EBITDA</w:t>
            </w:r>
          </w:p>
        </w:tc>
        <w:tc>
          <w:tcPr>
            <w:tcW w:w="6804" w:type="dxa"/>
            <w:vAlign w:val="center"/>
          </w:tcPr>
          <w:p w14:paraId="732C7585"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Earnings Before Interest, Tax, Depreciation and Amortisation</w:t>
            </w:r>
          </w:p>
        </w:tc>
      </w:tr>
      <w:tr w:rsidR="001E5234" w:rsidRPr="00B340C9" w14:paraId="523ABB03" w14:textId="77777777" w:rsidTr="007A22BC">
        <w:tc>
          <w:tcPr>
            <w:tcW w:w="2694" w:type="dxa"/>
            <w:vAlign w:val="center"/>
          </w:tcPr>
          <w:p w14:paraId="6127BBEE" w14:textId="77777777" w:rsidR="001E5234" w:rsidRPr="00691B65" w:rsidRDefault="001E5234" w:rsidP="001E5234">
            <w:pPr>
              <w:pStyle w:val="TabletextLeft"/>
              <w:rPr>
                <w:noProof/>
              </w:rPr>
            </w:pPr>
            <w:r w:rsidRPr="00691B65">
              <w:rPr>
                <w:rFonts w:cs="Arial"/>
                <w:noProof/>
                <w:szCs w:val="22"/>
                <w:lang w:eastAsia="en-AU"/>
              </w:rPr>
              <w:t>EFTSL</w:t>
            </w:r>
          </w:p>
        </w:tc>
        <w:tc>
          <w:tcPr>
            <w:tcW w:w="6804" w:type="dxa"/>
            <w:vAlign w:val="center"/>
          </w:tcPr>
          <w:p w14:paraId="4C6177B8" w14:textId="77777777" w:rsidR="001E5234" w:rsidRPr="00691B65" w:rsidRDefault="001E5234" w:rsidP="001E5234">
            <w:pPr>
              <w:pStyle w:val="TabletextLeft"/>
              <w:rPr>
                <w:noProof/>
              </w:rPr>
            </w:pPr>
            <w:r w:rsidRPr="00691B65">
              <w:rPr>
                <w:rFonts w:cs="Arial"/>
                <w:noProof/>
                <w:szCs w:val="22"/>
                <w:lang w:eastAsia="en-AU"/>
              </w:rPr>
              <w:t>Equivalent Full Time Student Load</w:t>
            </w:r>
          </w:p>
        </w:tc>
      </w:tr>
      <w:tr w:rsidR="001E5234" w:rsidRPr="00B340C9" w14:paraId="00790E56" w14:textId="77777777" w:rsidTr="007A22BC">
        <w:tc>
          <w:tcPr>
            <w:tcW w:w="2694" w:type="dxa"/>
            <w:vAlign w:val="center"/>
          </w:tcPr>
          <w:p w14:paraId="322554E2" w14:textId="77777777" w:rsidR="001E5234" w:rsidRPr="00691B65" w:rsidRDefault="001E5234" w:rsidP="001E5234">
            <w:pPr>
              <w:pStyle w:val="TabletextLeft"/>
              <w:rPr>
                <w:noProof/>
              </w:rPr>
            </w:pPr>
            <w:r w:rsidRPr="00691B65">
              <w:rPr>
                <w:rFonts w:cs="Arial"/>
                <w:noProof/>
                <w:szCs w:val="22"/>
                <w:lang w:eastAsia="en-AU"/>
              </w:rPr>
              <w:t>FOE</w:t>
            </w:r>
          </w:p>
        </w:tc>
        <w:tc>
          <w:tcPr>
            <w:tcW w:w="6804" w:type="dxa"/>
            <w:vAlign w:val="center"/>
          </w:tcPr>
          <w:p w14:paraId="5D362011" w14:textId="77777777" w:rsidR="001E5234" w:rsidRPr="00691B65" w:rsidRDefault="001E5234" w:rsidP="001E5234">
            <w:pPr>
              <w:pStyle w:val="TabletextLeft"/>
              <w:rPr>
                <w:noProof/>
              </w:rPr>
            </w:pPr>
            <w:r w:rsidRPr="00691B65">
              <w:rPr>
                <w:rFonts w:cs="Arial"/>
                <w:noProof/>
                <w:szCs w:val="22"/>
                <w:lang w:eastAsia="en-AU"/>
              </w:rPr>
              <w:t>Field of Education</w:t>
            </w:r>
          </w:p>
        </w:tc>
      </w:tr>
      <w:tr w:rsidR="001E5234" w:rsidRPr="00B340C9" w14:paraId="78A04BA5" w14:textId="77777777" w:rsidTr="007A22BC">
        <w:tc>
          <w:tcPr>
            <w:tcW w:w="2694" w:type="dxa"/>
            <w:vAlign w:val="center"/>
          </w:tcPr>
          <w:p w14:paraId="3F27AAC5" w14:textId="77777777" w:rsidR="001E5234" w:rsidRPr="00691B65" w:rsidRDefault="001E5234" w:rsidP="001E5234">
            <w:pPr>
              <w:pStyle w:val="TabletextLeft"/>
              <w:rPr>
                <w:noProof/>
              </w:rPr>
            </w:pPr>
            <w:r w:rsidRPr="00691B65">
              <w:rPr>
                <w:rFonts w:cs="Arial"/>
                <w:noProof/>
                <w:szCs w:val="22"/>
                <w:lang w:eastAsia="en-AU"/>
              </w:rPr>
              <w:t>FTE</w:t>
            </w:r>
          </w:p>
        </w:tc>
        <w:tc>
          <w:tcPr>
            <w:tcW w:w="6804" w:type="dxa"/>
            <w:vAlign w:val="center"/>
          </w:tcPr>
          <w:p w14:paraId="6FCF23E0" w14:textId="77777777" w:rsidR="001E5234" w:rsidRPr="00691B65" w:rsidRDefault="001E5234" w:rsidP="001E5234">
            <w:pPr>
              <w:pStyle w:val="TabletextLeft"/>
              <w:rPr>
                <w:noProof/>
              </w:rPr>
            </w:pPr>
            <w:r w:rsidRPr="00691B65">
              <w:rPr>
                <w:rFonts w:cs="Arial"/>
                <w:noProof/>
                <w:szCs w:val="22"/>
                <w:lang w:eastAsia="en-AU"/>
              </w:rPr>
              <w:t>Full-Time Equivalent</w:t>
            </w:r>
          </w:p>
        </w:tc>
      </w:tr>
      <w:tr w:rsidR="001E7830" w:rsidRPr="00B340C9" w14:paraId="3339FEAD" w14:textId="77777777" w:rsidTr="007A22BC">
        <w:tc>
          <w:tcPr>
            <w:tcW w:w="2694" w:type="dxa"/>
            <w:vAlign w:val="center"/>
          </w:tcPr>
          <w:p w14:paraId="38830223" w14:textId="77777777" w:rsidR="001E7830" w:rsidRPr="00691B65" w:rsidRDefault="001E7830" w:rsidP="001E5234">
            <w:pPr>
              <w:pStyle w:val="TabletextLeft"/>
              <w:rPr>
                <w:rFonts w:cs="Arial"/>
                <w:noProof/>
                <w:szCs w:val="22"/>
                <w:lang w:eastAsia="en-AU"/>
              </w:rPr>
            </w:pPr>
            <w:r>
              <w:rPr>
                <w:rFonts w:cs="Arial"/>
                <w:noProof/>
                <w:szCs w:val="22"/>
                <w:lang w:eastAsia="en-AU"/>
              </w:rPr>
              <w:t>Go8</w:t>
            </w:r>
          </w:p>
        </w:tc>
        <w:tc>
          <w:tcPr>
            <w:tcW w:w="6804" w:type="dxa"/>
            <w:vAlign w:val="center"/>
          </w:tcPr>
          <w:p w14:paraId="14F5C2AC" w14:textId="77777777" w:rsidR="001E7830" w:rsidRPr="00691B65" w:rsidRDefault="001E7830" w:rsidP="001E5234">
            <w:pPr>
              <w:pStyle w:val="TabletextLeft"/>
              <w:rPr>
                <w:rFonts w:cs="Arial"/>
                <w:noProof/>
                <w:szCs w:val="22"/>
                <w:lang w:eastAsia="en-AU"/>
              </w:rPr>
            </w:pPr>
            <w:r>
              <w:rPr>
                <w:rFonts w:cs="Arial"/>
                <w:noProof/>
                <w:szCs w:val="22"/>
                <w:lang w:eastAsia="en-AU"/>
              </w:rPr>
              <w:t>Group of Eight</w:t>
            </w:r>
          </w:p>
        </w:tc>
      </w:tr>
      <w:tr w:rsidR="00BB7F44" w:rsidRPr="00B340C9" w14:paraId="423DE4FE" w14:textId="77777777" w:rsidTr="007A22BC">
        <w:tc>
          <w:tcPr>
            <w:tcW w:w="2694" w:type="dxa"/>
            <w:vAlign w:val="center"/>
          </w:tcPr>
          <w:p w14:paraId="373922B3" w14:textId="7AF325CE" w:rsidR="00BB7F44" w:rsidRPr="00691B65" w:rsidRDefault="00BB7F44" w:rsidP="001E5234">
            <w:pPr>
              <w:pStyle w:val="TabletextLeft"/>
              <w:rPr>
                <w:rFonts w:cs="Arial"/>
                <w:noProof/>
                <w:szCs w:val="22"/>
                <w:lang w:eastAsia="en-AU"/>
              </w:rPr>
            </w:pPr>
            <w:r w:rsidRPr="00BB7F44">
              <w:rPr>
                <w:rFonts w:cs="Arial"/>
                <w:noProof/>
                <w:szCs w:val="22"/>
                <w:lang w:eastAsia="en-AU"/>
              </w:rPr>
              <w:t>HELP</w:t>
            </w:r>
          </w:p>
        </w:tc>
        <w:tc>
          <w:tcPr>
            <w:tcW w:w="6804" w:type="dxa"/>
            <w:vAlign w:val="center"/>
          </w:tcPr>
          <w:p w14:paraId="25F4FA95" w14:textId="13AF0628" w:rsidR="00BB7F44" w:rsidRPr="00691B65" w:rsidRDefault="00BB7F44" w:rsidP="001E5234">
            <w:pPr>
              <w:pStyle w:val="TabletextLeft"/>
              <w:rPr>
                <w:rFonts w:cs="Arial"/>
                <w:noProof/>
                <w:szCs w:val="22"/>
                <w:lang w:eastAsia="en-AU"/>
              </w:rPr>
            </w:pPr>
            <w:r w:rsidRPr="00BB7F44">
              <w:rPr>
                <w:rFonts w:cs="Arial"/>
                <w:noProof/>
                <w:szCs w:val="22"/>
                <w:lang w:eastAsia="en-AU"/>
              </w:rPr>
              <w:t xml:space="preserve">Higher Education Loan Program </w:t>
            </w:r>
          </w:p>
        </w:tc>
      </w:tr>
      <w:tr w:rsidR="001E5234" w:rsidRPr="00B340C9" w14:paraId="1049FC67" w14:textId="77777777" w:rsidTr="007A22BC">
        <w:tc>
          <w:tcPr>
            <w:tcW w:w="2694" w:type="dxa"/>
            <w:vAlign w:val="center"/>
          </w:tcPr>
          <w:p w14:paraId="52EC038B" w14:textId="77777777" w:rsidR="001E5234" w:rsidRPr="00691B65" w:rsidRDefault="001E5234" w:rsidP="001E5234">
            <w:pPr>
              <w:pStyle w:val="TabletextLeft"/>
              <w:rPr>
                <w:noProof/>
              </w:rPr>
            </w:pPr>
            <w:r w:rsidRPr="00691B65">
              <w:rPr>
                <w:rFonts w:cs="Arial"/>
                <w:noProof/>
                <w:szCs w:val="22"/>
                <w:lang w:eastAsia="en-AU"/>
              </w:rPr>
              <w:t>HDR</w:t>
            </w:r>
          </w:p>
        </w:tc>
        <w:tc>
          <w:tcPr>
            <w:tcW w:w="6804" w:type="dxa"/>
            <w:vAlign w:val="center"/>
          </w:tcPr>
          <w:p w14:paraId="4350DD63" w14:textId="77777777" w:rsidR="001E5234" w:rsidRPr="00691B65" w:rsidRDefault="001E5234" w:rsidP="001E5234">
            <w:pPr>
              <w:pStyle w:val="TabletextLeft"/>
              <w:rPr>
                <w:noProof/>
              </w:rPr>
            </w:pPr>
            <w:r w:rsidRPr="00691B65">
              <w:rPr>
                <w:rFonts w:cs="Arial"/>
                <w:noProof/>
                <w:szCs w:val="22"/>
                <w:lang w:eastAsia="en-AU"/>
              </w:rPr>
              <w:t>Higher Degree Research</w:t>
            </w:r>
          </w:p>
        </w:tc>
      </w:tr>
      <w:tr w:rsidR="001E7830" w:rsidRPr="00B340C9" w14:paraId="7B57A9ED" w14:textId="77777777" w:rsidTr="007A22BC">
        <w:tc>
          <w:tcPr>
            <w:tcW w:w="2694" w:type="dxa"/>
            <w:vAlign w:val="center"/>
          </w:tcPr>
          <w:p w14:paraId="3EBBBE17" w14:textId="77777777" w:rsidR="001E7830" w:rsidRPr="00691B65" w:rsidRDefault="001E7830" w:rsidP="001E5234">
            <w:pPr>
              <w:pStyle w:val="TabletextLeft"/>
              <w:rPr>
                <w:rFonts w:cs="Arial"/>
                <w:noProof/>
                <w:szCs w:val="22"/>
                <w:lang w:eastAsia="en-AU"/>
              </w:rPr>
            </w:pPr>
            <w:r>
              <w:rPr>
                <w:rFonts w:cs="Arial"/>
                <w:noProof/>
                <w:szCs w:val="22"/>
                <w:lang w:eastAsia="en-AU"/>
              </w:rPr>
              <w:t>IRU</w:t>
            </w:r>
          </w:p>
        </w:tc>
        <w:tc>
          <w:tcPr>
            <w:tcW w:w="6804" w:type="dxa"/>
            <w:vAlign w:val="center"/>
          </w:tcPr>
          <w:p w14:paraId="43785B69" w14:textId="74DF7DB5" w:rsidR="001E7830" w:rsidRPr="00691B65" w:rsidRDefault="001E7830" w:rsidP="001E5234">
            <w:pPr>
              <w:pStyle w:val="TabletextLeft"/>
              <w:rPr>
                <w:rFonts w:cs="Arial"/>
                <w:noProof/>
                <w:szCs w:val="22"/>
                <w:lang w:eastAsia="en-AU"/>
              </w:rPr>
            </w:pPr>
            <w:r>
              <w:rPr>
                <w:rFonts w:cs="Arial"/>
                <w:noProof/>
                <w:szCs w:val="22"/>
                <w:lang w:eastAsia="en-AU"/>
              </w:rPr>
              <w:t>Innovative</w:t>
            </w:r>
            <w:r w:rsidR="00D562AE">
              <w:rPr>
                <w:rFonts w:cs="Arial"/>
                <w:noProof/>
                <w:szCs w:val="22"/>
                <w:lang w:eastAsia="en-AU"/>
              </w:rPr>
              <w:t xml:space="preserve"> Research</w:t>
            </w:r>
            <w:r>
              <w:rPr>
                <w:rFonts w:cs="Arial"/>
                <w:noProof/>
                <w:szCs w:val="22"/>
                <w:lang w:eastAsia="en-AU"/>
              </w:rPr>
              <w:t xml:space="preserve"> Universities Australia</w:t>
            </w:r>
          </w:p>
        </w:tc>
      </w:tr>
      <w:tr w:rsidR="005B14D4" w:rsidRPr="00B340C9" w14:paraId="583039D4" w14:textId="77777777" w:rsidTr="007A22BC">
        <w:tc>
          <w:tcPr>
            <w:tcW w:w="2694" w:type="dxa"/>
            <w:vAlign w:val="center"/>
          </w:tcPr>
          <w:p w14:paraId="1E6FC46A" w14:textId="2DCE1F8A" w:rsidR="005B14D4" w:rsidRDefault="005B14D4" w:rsidP="001E5234">
            <w:pPr>
              <w:pStyle w:val="TabletextLeft"/>
              <w:rPr>
                <w:rFonts w:cs="Arial"/>
                <w:noProof/>
                <w:szCs w:val="22"/>
                <w:lang w:eastAsia="en-AU"/>
              </w:rPr>
            </w:pPr>
            <w:r>
              <w:rPr>
                <w:rFonts w:cs="Arial"/>
                <w:noProof/>
                <w:szCs w:val="22"/>
                <w:lang w:eastAsia="en-AU"/>
              </w:rPr>
              <w:t>IRV</w:t>
            </w:r>
          </w:p>
        </w:tc>
        <w:tc>
          <w:tcPr>
            <w:tcW w:w="6804" w:type="dxa"/>
            <w:vAlign w:val="center"/>
          </w:tcPr>
          <w:p w14:paraId="40CECA35" w14:textId="64475B9A" w:rsidR="005B14D4" w:rsidRDefault="005B14D4" w:rsidP="001E5234">
            <w:pPr>
              <w:pStyle w:val="TabletextLeft"/>
              <w:rPr>
                <w:rFonts w:cs="Arial"/>
                <w:noProof/>
                <w:szCs w:val="22"/>
                <w:lang w:eastAsia="en-AU"/>
              </w:rPr>
            </w:pPr>
            <w:r>
              <w:rPr>
                <w:rFonts w:cs="Arial"/>
                <w:noProof/>
                <w:szCs w:val="22"/>
                <w:lang w:eastAsia="en-AU"/>
              </w:rPr>
              <w:t>I</w:t>
            </w:r>
            <w:r w:rsidRPr="005B14D4">
              <w:rPr>
                <w:rFonts w:cs="Arial"/>
                <w:noProof/>
                <w:szCs w:val="22"/>
                <w:lang w:eastAsia="en-AU"/>
              </w:rPr>
              <w:t xml:space="preserve">nsurance </w:t>
            </w:r>
            <w:r>
              <w:rPr>
                <w:rFonts w:cs="Arial"/>
                <w:noProof/>
                <w:szCs w:val="22"/>
                <w:lang w:eastAsia="en-AU"/>
              </w:rPr>
              <w:t>R</w:t>
            </w:r>
            <w:r w:rsidRPr="005B14D4">
              <w:rPr>
                <w:rFonts w:cs="Arial"/>
                <w:noProof/>
                <w:szCs w:val="22"/>
                <w:lang w:eastAsia="en-AU"/>
              </w:rPr>
              <w:t xml:space="preserve">eplacement </w:t>
            </w:r>
            <w:r>
              <w:rPr>
                <w:rFonts w:cs="Arial"/>
                <w:noProof/>
                <w:szCs w:val="22"/>
                <w:lang w:eastAsia="en-AU"/>
              </w:rPr>
              <w:t>V</w:t>
            </w:r>
            <w:r w:rsidRPr="005B14D4">
              <w:rPr>
                <w:rFonts w:cs="Arial"/>
                <w:noProof/>
                <w:szCs w:val="22"/>
                <w:lang w:eastAsia="en-AU"/>
              </w:rPr>
              <w:t xml:space="preserve">alue </w:t>
            </w:r>
          </w:p>
        </w:tc>
      </w:tr>
      <w:tr w:rsidR="001E5234" w:rsidRPr="00B340C9" w14:paraId="5D2901FA" w14:textId="77777777" w:rsidTr="007A22BC">
        <w:tc>
          <w:tcPr>
            <w:tcW w:w="2694" w:type="dxa"/>
            <w:vAlign w:val="center"/>
          </w:tcPr>
          <w:p w14:paraId="6D1EE0AE"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MSI</w:t>
            </w:r>
          </w:p>
        </w:tc>
        <w:tc>
          <w:tcPr>
            <w:tcW w:w="6804" w:type="dxa"/>
            <w:vAlign w:val="center"/>
          </w:tcPr>
          <w:p w14:paraId="549E6F84"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Margin for Sustainability and Investment</w:t>
            </w:r>
          </w:p>
        </w:tc>
      </w:tr>
      <w:tr w:rsidR="000220A6" w:rsidRPr="00B340C9" w14:paraId="50CE9783" w14:textId="77777777" w:rsidTr="007A22BC">
        <w:tc>
          <w:tcPr>
            <w:tcW w:w="2694" w:type="dxa"/>
            <w:vAlign w:val="center"/>
          </w:tcPr>
          <w:p w14:paraId="68A689A2" w14:textId="6F4A54D1" w:rsidR="000220A6" w:rsidRPr="00691B65" w:rsidRDefault="000220A6" w:rsidP="001E5234">
            <w:pPr>
              <w:pStyle w:val="TabletextLeft"/>
              <w:rPr>
                <w:rFonts w:cs="Arial"/>
                <w:noProof/>
                <w:szCs w:val="22"/>
                <w:lang w:eastAsia="en-AU"/>
              </w:rPr>
            </w:pPr>
            <w:r w:rsidRPr="000220A6">
              <w:rPr>
                <w:rFonts w:cs="Arial"/>
                <w:noProof/>
                <w:szCs w:val="22"/>
                <w:lang w:eastAsia="en-AU"/>
              </w:rPr>
              <w:t>MYEFO</w:t>
            </w:r>
          </w:p>
        </w:tc>
        <w:tc>
          <w:tcPr>
            <w:tcW w:w="6804" w:type="dxa"/>
            <w:vAlign w:val="center"/>
          </w:tcPr>
          <w:p w14:paraId="57FAEFCE" w14:textId="7B41B280" w:rsidR="000220A6" w:rsidRPr="00691B65" w:rsidRDefault="000220A6" w:rsidP="001E5234">
            <w:pPr>
              <w:pStyle w:val="TabletextLeft"/>
              <w:rPr>
                <w:rFonts w:cs="Arial"/>
                <w:noProof/>
                <w:szCs w:val="22"/>
                <w:lang w:eastAsia="en-AU"/>
              </w:rPr>
            </w:pPr>
            <w:r w:rsidRPr="000220A6">
              <w:rPr>
                <w:rFonts w:cs="Arial"/>
                <w:noProof/>
                <w:szCs w:val="22"/>
                <w:lang w:eastAsia="en-AU"/>
              </w:rPr>
              <w:t>Mid-Year Economic and Fiscal Outlook</w:t>
            </w:r>
          </w:p>
        </w:tc>
      </w:tr>
      <w:tr w:rsidR="001E7830" w:rsidRPr="00B340C9" w14:paraId="1B72FB42" w14:textId="77777777" w:rsidTr="007A22BC">
        <w:tc>
          <w:tcPr>
            <w:tcW w:w="2694" w:type="dxa"/>
            <w:vAlign w:val="center"/>
          </w:tcPr>
          <w:p w14:paraId="3EB5E65F" w14:textId="77777777" w:rsidR="001E7830" w:rsidRDefault="001E7830" w:rsidP="001E5234">
            <w:pPr>
              <w:pStyle w:val="TabletextLeft"/>
              <w:rPr>
                <w:rFonts w:cs="Arial"/>
                <w:noProof/>
                <w:szCs w:val="22"/>
                <w:lang w:eastAsia="en-AU"/>
              </w:rPr>
            </w:pPr>
            <w:r>
              <w:rPr>
                <w:rFonts w:cs="Arial"/>
                <w:noProof/>
                <w:szCs w:val="22"/>
                <w:lang w:eastAsia="en-AU"/>
              </w:rPr>
              <w:t>RUN</w:t>
            </w:r>
          </w:p>
        </w:tc>
        <w:tc>
          <w:tcPr>
            <w:tcW w:w="6804" w:type="dxa"/>
            <w:vAlign w:val="center"/>
          </w:tcPr>
          <w:p w14:paraId="6353A878" w14:textId="32A4B10B" w:rsidR="001E7830" w:rsidRDefault="001E7830" w:rsidP="001E5234">
            <w:pPr>
              <w:pStyle w:val="TabletextLeft"/>
              <w:rPr>
                <w:rFonts w:cs="Arial"/>
                <w:noProof/>
                <w:szCs w:val="22"/>
                <w:lang w:eastAsia="en-AU"/>
              </w:rPr>
            </w:pPr>
            <w:r>
              <w:rPr>
                <w:rFonts w:cs="Arial"/>
                <w:noProof/>
                <w:szCs w:val="22"/>
                <w:lang w:eastAsia="en-AU"/>
              </w:rPr>
              <w:t>Regional Universit</w:t>
            </w:r>
            <w:r w:rsidR="003D6419">
              <w:rPr>
                <w:rFonts w:cs="Arial"/>
                <w:noProof/>
                <w:szCs w:val="22"/>
                <w:lang w:eastAsia="en-AU"/>
              </w:rPr>
              <w:t>ies</w:t>
            </w:r>
            <w:r>
              <w:rPr>
                <w:rFonts w:cs="Arial"/>
                <w:noProof/>
                <w:szCs w:val="22"/>
                <w:lang w:eastAsia="en-AU"/>
              </w:rPr>
              <w:t xml:space="preserve"> Network</w:t>
            </w:r>
          </w:p>
        </w:tc>
      </w:tr>
      <w:tr w:rsidR="001E5234" w:rsidRPr="00B340C9" w14:paraId="738BF777" w14:textId="77777777" w:rsidTr="007A22BC">
        <w:tc>
          <w:tcPr>
            <w:tcW w:w="2694" w:type="dxa"/>
            <w:vAlign w:val="center"/>
          </w:tcPr>
          <w:p w14:paraId="251DC987"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SCA</w:t>
            </w:r>
          </w:p>
        </w:tc>
        <w:tc>
          <w:tcPr>
            <w:tcW w:w="6804" w:type="dxa"/>
            <w:vAlign w:val="center"/>
          </w:tcPr>
          <w:p w14:paraId="02C8FC84"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Student Contribution Amount</w:t>
            </w:r>
          </w:p>
        </w:tc>
      </w:tr>
      <w:tr w:rsidR="001E5234" w:rsidRPr="00B340C9" w14:paraId="0A550DDC" w14:textId="77777777" w:rsidTr="007A22BC">
        <w:tc>
          <w:tcPr>
            <w:tcW w:w="2694" w:type="dxa"/>
            <w:vAlign w:val="center"/>
          </w:tcPr>
          <w:p w14:paraId="5BA1942E"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TCW</w:t>
            </w:r>
          </w:p>
        </w:tc>
        <w:tc>
          <w:tcPr>
            <w:tcW w:w="6804" w:type="dxa"/>
            <w:vAlign w:val="center"/>
          </w:tcPr>
          <w:p w14:paraId="60BE9488"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Transparent Costing Worksheet</w:t>
            </w:r>
          </w:p>
        </w:tc>
      </w:tr>
      <w:tr w:rsidR="001E5234" w:rsidRPr="00B340C9" w14:paraId="494D875F" w14:textId="77777777" w:rsidTr="007A22BC">
        <w:tc>
          <w:tcPr>
            <w:tcW w:w="2694" w:type="dxa"/>
            <w:shd w:val="clear" w:color="auto" w:fill="auto"/>
            <w:vAlign w:val="center"/>
          </w:tcPr>
          <w:p w14:paraId="7C016C56" w14:textId="77777777" w:rsidR="001E5234" w:rsidRPr="00691B65" w:rsidRDefault="001E5234" w:rsidP="001E5234">
            <w:pPr>
              <w:pStyle w:val="TabletextLeft"/>
              <w:rPr>
                <w:noProof/>
              </w:rPr>
            </w:pPr>
            <w:r w:rsidRPr="00691B65">
              <w:rPr>
                <w:rFonts w:cs="Arial"/>
                <w:noProof/>
                <w:szCs w:val="22"/>
                <w:lang w:eastAsia="en-AU"/>
              </w:rPr>
              <w:t>TRAC</w:t>
            </w:r>
          </w:p>
        </w:tc>
        <w:tc>
          <w:tcPr>
            <w:tcW w:w="6804" w:type="dxa"/>
            <w:vAlign w:val="center"/>
          </w:tcPr>
          <w:p w14:paraId="5DA62104"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Transparent Approach to Costing</w:t>
            </w:r>
          </w:p>
        </w:tc>
      </w:tr>
      <w:tr w:rsidR="001E5234" w:rsidRPr="008B3BBC" w14:paraId="4E0C8384" w14:textId="77777777" w:rsidTr="007A22BC">
        <w:tc>
          <w:tcPr>
            <w:tcW w:w="2694" w:type="dxa"/>
            <w:shd w:val="clear" w:color="auto" w:fill="auto"/>
            <w:vAlign w:val="center"/>
          </w:tcPr>
          <w:p w14:paraId="3E4F1716"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UA</w:t>
            </w:r>
          </w:p>
        </w:tc>
        <w:tc>
          <w:tcPr>
            <w:tcW w:w="6804" w:type="dxa"/>
            <w:vAlign w:val="center"/>
          </w:tcPr>
          <w:p w14:paraId="7B357D15" w14:textId="77777777" w:rsidR="001E5234" w:rsidRPr="00691B65" w:rsidRDefault="001E5234" w:rsidP="001E5234">
            <w:pPr>
              <w:pStyle w:val="TabletextLeft"/>
              <w:rPr>
                <w:rFonts w:cs="Arial"/>
                <w:noProof/>
                <w:szCs w:val="22"/>
                <w:lang w:eastAsia="en-AU"/>
              </w:rPr>
            </w:pPr>
            <w:r w:rsidRPr="00691B65">
              <w:rPr>
                <w:rFonts w:cs="Arial"/>
                <w:noProof/>
                <w:szCs w:val="22"/>
                <w:lang w:eastAsia="en-AU"/>
              </w:rPr>
              <w:t>Universities Australia</w:t>
            </w:r>
          </w:p>
        </w:tc>
      </w:tr>
      <w:tr w:rsidR="006E4CA9" w:rsidRPr="008B3BBC" w14:paraId="0E1DD317" w14:textId="77777777" w:rsidTr="007A22BC">
        <w:tc>
          <w:tcPr>
            <w:tcW w:w="2694" w:type="dxa"/>
            <w:shd w:val="clear" w:color="auto" w:fill="auto"/>
            <w:vAlign w:val="center"/>
          </w:tcPr>
          <w:p w14:paraId="381053BC" w14:textId="497EE4EF" w:rsidR="006E4CA9" w:rsidRPr="00691B65" w:rsidRDefault="006E4CA9" w:rsidP="001E5234">
            <w:pPr>
              <w:pStyle w:val="TabletextLeft"/>
              <w:rPr>
                <w:rFonts w:cs="Arial"/>
                <w:noProof/>
                <w:szCs w:val="22"/>
                <w:lang w:eastAsia="en-AU"/>
              </w:rPr>
            </w:pPr>
            <w:r>
              <w:rPr>
                <w:rFonts w:cs="Arial"/>
                <w:noProof/>
                <w:szCs w:val="22"/>
                <w:lang w:eastAsia="en-AU"/>
              </w:rPr>
              <w:t>VET</w:t>
            </w:r>
          </w:p>
        </w:tc>
        <w:tc>
          <w:tcPr>
            <w:tcW w:w="6804" w:type="dxa"/>
            <w:vAlign w:val="center"/>
          </w:tcPr>
          <w:p w14:paraId="65692784" w14:textId="423ECE3A" w:rsidR="006E4CA9" w:rsidRPr="00691B65" w:rsidRDefault="006E4CA9" w:rsidP="001E5234">
            <w:pPr>
              <w:pStyle w:val="TabletextLeft"/>
              <w:rPr>
                <w:rFonts w:cs="Arial"/>
                <w:noProof/>
                <w:szCs w:val="22"/>
                <w:lang w:eastAsia="en-AU"/>
              </w:rPr>
            </w:pPr>
            <w:r>
              <w:rPr>
                <w:rFonts w:cs="Arial"/>
                <w:noProof/>
                <w:szCs w:val="22"/>
                <w:lang w:eastAsia="en-AU"/>
              </w:rPr>
              <w:t>Vocational Education</w:t>
            </w:r>
            <w:r w:rsidR="00D562AE">
              <w:rPr>
                <w:rFonts w:cs="Arial"/>
                <w:noProof/>
                <w:szCs w:val="22"/>
                <w:lang w:eastAsia="en-AU"/>
              </w:rPr>
              <w:t xml:space="preserve"> and</w:t>
            </w:r>
            <w:r>
              <w:rPr>
                <w:rFonts w:cs="Arial"/>
                <w:noProof/>
                <w:szCs w:val="22"/>
                <w:lang w:eastAsia="en-AU"/>
              </w:rPr>
              <w:t xml:space="preserve"> Training</w:t>
            </w:r>
          </w:p>
        </w:tc>
      </w:tr>
    </w:tbl>
    <w:p w14:paraId="511E4694" w14:textId="77777777" w:rsidR="001E5234" w:rsidRPr="00BB165A" w:rsidRDefault="001E5234" w:rsidP="00717E9F"/>
    <w:p w14:paraId="11867DA0" w14:textId="77777777" w:rsidR="001E5234" w:rsidRPr="00BB165A" w:rsidRDefault="001E5234">
      <w:pPr>
        <w:spacing w:after="0"/>
      </w:pPr>
      <w:r w:rsidRPr="00BB165A">
        <w:br w:type="page"/>
      </w:r>
    </w:p>
    <w:p w14:paraId="6F8E1F24" w14:textId="77777777" w:rsidR="001E5234" w:rsidRPr="00E06AF2" w:rsidRDefault="001E5234" w:rsidP="006118C2">
      <w:pPr>
        <w:pStyle w:val="Heading2"/>
        <w:numPr>
          <w:ilvl w:val="0"/>
          <w:numId w:val="0"/>
        </w:numPr>
        <w:spacing w:after="240"/>
      </w:pPr>
      <w:bookmarkStart w:id="48" w:name="_Toc20245994"/>
      <w:bookmarkStart w:id="49" w:name="_Toc103358107"/>
      <w:bookmarkStart w:id="50" w:name="_Toc105776172"/>
      <w:r w:rsidRPr="00E06AF2">
        <w:t>Field of education abbreviations</w:t>
      </w:r>
      <w:bookmarkEnd w:id="48"/>
      <w:bookmarkEnd w:id="49"/>
      <w:bookmarkEnd w:id="50"/>
    </w:p>
    <w:tbl>
      <w:tblPr>
        <w:tblStyle w:val="Deloittetable"/>
        <w:tblW w:w="9498" w:type="dxa"/>
        <w:tblLayout w:type="fixed"/>
        <w:tblLook w:val="04A0" w:firstRow="1" w:lastRow="0" w:firstColumn="1" w:lastColumn="0" w:noHBand="0" w:noVBand="1"/>
      </w:tblPr>
      <w:tblGrid>
        <w:gridCol w:w="2132"/>
        <w:gridCol w:w="7366"/>
      </w:tblGrid>
      <w:tr w:rsidR="001E5234" w:rsidRPr="00E06AF2" w14:paraId="5685B3B9" w14:textId="77777777" w:rsidTr="001E5234">
        <w:trPr>
          <w:cnfStyle w:val="100000000000" w:firstRow="1" w:lastRow="0" w:firstColumn="0" w:lastColumn="0" w:oddVBand="0" w:evenVBand="0" w:oddHBand="0" w:evenHBand="0" w:firstRowFirstColumn="0" w:firstRowLastColumn="0" w:lastRowFirstColumn="0" w:lastRowLastColumn="0"/>
        </w:trPr>
        <w:tc>
          <w:tcPr>
            <w:tcW w:w="2132" w:type="dxa"/>
          </w:tcPr>
          <w:p w14:paraId="3A4D94E0" w14:textId="77777777" w:rsidR="001E5234" w:rsidRPr="00E06AF2" w:rsidRDefault="001E5234" w:rsidP="001E5234">
            <w:pPr>
              <w:pStyle w:val="TabletextLeft"/>
              <w:rPr>
                <w:b/>
                <w:noProof/>
              </w:rPr>
            </w:pPr>
            <w:r w:rsidRPr="00E06AF2">
              <w:rPr>
                <w:b/>
                <w:noProof/>
              </w:rPr>
              <w:t>Abbreviation</w:t>
            </w:r>
          </w:p>
        </w:tc>
        <w:tc>
          <w:tcPr>
            <w:tcW w:w="7366" w:type="dxa"/>
          </w:tcPr>
          <w:p w14:paraId="4D552553" w14:textId="77777777" w:rsidR="001E5234" w:rsidRPr="00E06AF2" w:rsidRDefault="001E5234" w:rsidP="001E5234">
            <w:pPr>
              <w:pStyle w:val="TabletextLeft"/>
              <w:rPr>
                <w:b/>
                <w:noProof/>
              </w:rPr>
            </w:pPr>
            <w:r w:rsidRPr="00E06AF2">
              <w:rPr>
                <w:b/>
                <w:noProof/>
              </w:rPr>
              <w:t>Full name</w:t>
            </w:r>
          </w:p>
        </w:tc>
      </w:tr>
      <w:tr w:rsidR="001E5234" w:rsidRPr="00E06AF2" w14:paraId="484FEEE4" w14:textId="77777777" w:rsidTr="006118C2">
        <w:tc>
          <w:tcPr>
            <w:tcW w:w="2132" w:type="dxa"/>
            <w:tcBorders>
              <w:top w:val="nil"/>
              <w:left w:val="nil"/>
              <w:bottom w:val="single" w:sz="4" w:space="0" w:color="auto"/>
              <w:right w:val="nil"/>
            </w:tcBorders>
            <w:shd w:val="clear" w:color="auto" w:fill="auto"/>
            <w:vAlign w:val="bottom"/>
          </w:tcPr>
          <w:p w14:paraId="624CA07D" w14:textId="77777777" w:rsidR="001E5234" w:rsidRPr="00E06AF2" w:rsidRDefault="001E5234" w:rsidP="00EC63FF">
            <w:pPr>
              <w:pStyle w:val="TabletextLeft"/>
              <w:rPr>
                <w:rFonts w:cs="Arial"/>
                <w:noProof/>
                <w:szCs w:val="22"/>
                <w:lang w:eastAsia="en-AU"/>
              </w:rPr>
            </w:pPr>
            <w:r w:rsidRPr="00E06AF2">
              <w:rPr>
                <w:rFonts w:cs="Arial"/>
                <w:noProof/>
                <w:szCs w:val="22"/>
                <w:lang w:eastAsia="en-AU"/>
              </w:rPr>
              <w:t>MathSci</w:t>
            </w:r>
          </w:p>
        </w:tc>
        <w:tc>
          <w:tcPr>
            <w:tcW w:w="7366" w:type="dxa"/>
            <w:tcBorders>
              <w:bottom w:val="single" w:sz="4" w:space="0" w:color="auto"/>
            </w:tcBorders>
          </w:tcPr>
          <w:p w14:paraId="30B5C4E9" w14:textId="77777777" w:rsidR="001E5234" w:rsidRPr="00E06AF2" w:rsidRDefault="001E5234">
            <w:pPr>
              <w:pStyle w:val="TabletextLeft"/>
              <w:rPr>
                <w:rFonts w:cs="Arial"/>
                <w:noProof/>
                <w:szCs w:val="22"/>
                <w:lang w:eastAsia="en-AU"/>
              </w:rPr>
            </w:pPr>
            <w:r w:rsidRPr="00E06AF2">
              <w:rPr>
                <w:rFonts w:cs="Arial"/>
                <w:noProof/>
                <w:szCs w:val="22"/>
                <w:lang w:eastAsia="en-AU"/>
              </w:rPr>
              <w:t>Mathematical Sciences</w:t>
            </w:r>
          </w:p>
        </w:tc>
      </w:tr>
      <w:tr w:rsidR="001E5234" w:rsidRPr="00E06AF2" w14:paraId="31E9DC12" w14:textId="77777777" w:rsidTr="006118C2">
        <w:tc>
          <w:tcPr>
            <w:tcW w:w="2132" w:type="dxa"/>
            <w:tcBorders>
              <w:top w:val="single" w:sz="4" w:space="0" w:color="auto"/>
              <w:left w:val="nil"/>
              <w:bottom w:val="single" w:sz="4" w:space="0" w:color="auto"/>
              <w:right w:val="nil"/>
            </w:tcBorders>
            <w:shd w:val="clear" w:color="auto" w:fill="auto"/>
            <w:vAlign w:val="bottom"/>
          </w:tcPr>
          <w:p w14:paraId="3D8C8F46"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MedicalSci</w:t>
            </w:r>
          </w:p>
        </w:tc>
        <w:tc>
          <w:tcPr>
            <w:tcW w:w="7366" w:type="dxa"/>
            <w:tcBorders>
              <w:top w:val="single" w:sz="4" w:space="0" w:color="auto"/>
              <w:bottom w:val="single" w:sz="4" w:space="0" w:color="auto"/>
            </w:tcBorders>
          </w:tcPr>
          <w:p w14:paraId="5461403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 Science</w:t>
            </w:r>
          </w:p>
        </w:tc>
      </w:tr>
      <w:tr w:rsidR="001E5234" w:rsidRPr="00E06AF2" w14:paraId="1392F8BD" w14:textId="77777777" w:rsidTr="006118C2">
        <w:tc>
          <w:tcPr>
            <w:tcW w:w="2132" w:type="dxa"/>
            <w:tcBorders>
              <w:top w:val="single" w:sz="4" w:space="0" w:color="auto"/>
              <w:left w:val="nil"/>
              <w:bottom w:val="single" w:sz="4" w:space="0" w:color="auto"/>
              <w:right w:val="nil"/>
            </w:tcBorders>
            <w:shd w:val="clear" w:color="auto" w:fill="auto"/>
            <w:vAlign w:val="bottom"/>
          </w:tcPr>
          <w:p w14:paraId="73AC60B3"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OthNat-PhysSci</w:t>
            </w:r>
          </w:p>
        </w:tc>
        <w:tc>
          <w:tcPr>
            <w:tcW w:w="7366" w:type="dxa"/>
            <w:tcBorders>
              <w:top w:val="single" w:sz="4" w:space="0" w:color="auto"/>
              <w:bottom w:val="single" w:sz="4" w:space="0" w:color="auto"/>
            </w:tcBorders>
          </w:tcPr>
          <w:p w14:paraId="37069BC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Natural and Physical Sciences</w:t>
            </w:r>
          </w:p>
        </w:tc>
      </w:tr>
      <w:tr w:rsidR="001E5234" w:rsidRPr="00E06AF2" w14:paraId="37BAACC7" w14:textId="77777777" w:rsidTr="006118C2">
        <w:tc>
          <w:tcPr>
            <w:tcW w:w="2132" w:type="dxa"/>
            <w:tcBorders>
              <w:top w:val="single" w:sz="4" w:space="0" w:color="auto"/>
              <w:left w:val="nil"/>
              <w:bottom w:val="single" w:sz="4" w:space="0" w:color="auto"/>
              <w:right w:val="nil"/>
            </w:tcBorders>
            <w:shd w:val="clear" w:color="auto" w:fill="auto"/>
            <w:vAlign w:val="bottom"/>
          </w:tcPr>
          <w:p w14:paraId="085D1D2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InfoTech</w:t>
            </w:r>
          </w:p>
        </w:tc>
        <w:tc>
          <w:tcPr>
            <w:tcW w:w="7366" w:type="dxa"/>
            <w:tcBorders>
              <w:top w:val="single" w:sz="4" w:space="0" w:color="auto"/>
              <w:bottom w:val="single" w:sz="4" w:space="0" w:color="auto"/>
            </w:tcBorders>
          </w:tcPr>
          <w:p w14:paraId="77349811"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Information Technology</w:t>
            </w:r>
          </w:p>
        </w:tc>
      </w:tr>
      <w:tr w:rsidR="001E5234" w:rsidRPr="00E06AF2" w14:paraId="2F4B29A0" w14:textId="77777777" w:rsidTr="006118C2">
        <w:tc>
          <w:tcPr>
            <w:tcW w:w="2132" w:type="dxa"/>
            <w:tcBorders>
              <w:top w:val="single" w:sz="4" w:space="0" w:color="auto"/>
              <w:left w:val="nil"/>
              <w:bottom w:val="single" w:sz="4" w:space="0" w:color="auto"/>
              <w:right w:val="nil"/>
            </w:tcBorders>
            <w:shd w:val="clear" w:color="auto" w:fill="auto"/>
            <w:vAlign w:val="bottom"/>
          </w:tcPr>
          <w:p w14:paraId="0F8317A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Eng&amp;Related</w:t>
            </w:r>
          </w:p>
        </w:tc>
        <w:tc>
          <w:tcPr>
            <w:tcW w:w="7366" w:type="dxa"/>
            <w:tcBorders>
              <w:top w:val="single" w:sz="4" w:space="0" w:color="auto"/>
            </w:tcBorders>
          </w:tcPr>
          <w:p w14:paraId="332F0E7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Engineering and Related Technologies</w:t>
            </w:r>
          </w:p>
        </w:tc>
      </w:tr>
      <w:tr w:rsidR="001E5234" w:rsidRPr="00E06AF2" w14:paraId="3C7B9524" w14:textId="77777777" w:rsidTr="006118C2">
        <w:tc>
          <w:tcPr>
            <w:tcW w:w="2132" w:type="dxa"/>
            <w:tcBorders>
              <w:top w:val="single" w:sz="4" w:space="0" w:color="auto"/>
              <w:left w:val="nil"/>
              <w:bottom w:val="single" w:sz="4" w:space="0" w:color="auto"/>
              <w:right w:val="nil"/>
            </w:tcBorders>
            <w:shd w:val="clear" w:color="auto" w:fill="auto"/>
            <w:vAlign w:val="bottom"/>
          </w:tcPr>
          <w:p w14:paraId="7188A7A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Archi&amp;Build</w:t>
            </w:r>
          </w:p>
        </w:tc>
        <w:tc>
          <w:tcPr>
            <w:tcW w:w="7366" w:type="dxa"/>
            <w:tcBorders>
              <w:bottom w:val="single" w:sz="4" w:space="0" w:color="auto"/>
            </w:tcBorders>
          </w:tcPr>
          <w:p w14:paraId="2294AB47" w14:textId="49D79B92" w:rsidR="001E5234" w:rsidRPr="00E06AF2" w:rsidRDefault="001E5234" w:rsidP="001E5234">
            <w:pPr>
              <w:pStyle w:val="TabletextLeft"/>
              <w:rPr>
                <w:rFonts w:cs="Arial"/>
                <w:noProof/>
                <w:szCs w:val="22"/>
                <w:lang w:eastAsia="en-AU"/>
              </w:rPr>
            </w:pPr>
            <w:r w:rsidRPr="00E06AF2">
              <w:rPr>
                <w:rFonts w:cs="Arial"/>
                <w:noProof/>
                <w:szCs w:val="22"/>
                <w:lang w:eastAsia="en-AU"/>
              </w:rPr>
              <w:t>Arch</w:t>
            </w:r>
            <w:r w:rsidR="006A22B4">
              <w:rPr>
                <w:rFonts w:cs="Arial"/>
                <w:noProof/>
                <w:szCs w:val="22"/>
                <w:lang w:eastAsia="en-AU"/>
              </w:rPr>
              <w:t>itecture</w:t>
            </w:r>
            <w:r w:rsidRPr="00E06AF2">
              <w:rPr>
                <w:rFonts w:cs="Arial"/>
                <w:noProof/>
                <w:szCs w:val="22"/>
                <w:lang w:eastAsia="en-AU"/>
              </w:rPr>
              <w:t xml:space="preserve"> and Building</w:t>
            </w:r>
          </w:p>
        </w:tc>
      </w:tr>
      <w:tr w:rsidR="001E5234" w:rsidRPr="00E06AF2" w14:paraId="7EAC868F" w14:textId="77777777" w:rsidTr="006118C2">
        <w:tc>
          <w:tcPr>
            <w:tcW w:w="2132" w:type="dxa"/>
            <w:tcBorders>
              <w:top w:val="single" w:sz="4" w:space="0" w:color="auto"/>
              <w:left w:val="nil"/>
              <w:bottom w:val="single" w:sz="4" w:space="0" w:color="auto"/>
              <w:right w:val="nil"/>
            </w:tcBorders>
            <w:shd w:val="clear" w:color="auto" w:fill="auto"/>
            <w:vAlign w:val="bottom"/>
          </w:tcPr>
          <w:p w14:paraId="6C155174"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Environment</w:t>
            </w:r>
          </w:p>
        </w:tc>
        <w:tc>
          <w:tcPr>
            <w:tcW w:w="7366" w:type="dxa"/>
            <w:tcBorders>
              <w:top w:val="single" w:sz="4" w:space="0" w:color="auto"/>
              <w:bottom w:val="single" w:sz="4" w:space="0" w:color="auto"/>
            </w:tcBorders>
          </w:tcPr>
          <w:p w14:paraId="08E2C502"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Environmental Studies</w:t>
            </w:r>
          </w:p>
        </w:tc>
      </w:tr>
      <w:tr w:rsidR="001E5234" w:rsidRPr="00E06AF2" w14:paraId="6A8434D2" w14:textId="77777777" w:rsidTr="006118C2">
        <w:tc>
          <w:tcPr>
            <w:tcW w:w="2132" w:type="dxa"/>
            <w:tcBorders>
              <w:top w:val="single" w:sz="4" w:space="0" w:color="auto"/>
              <w:left w:val="nil"/>
              <w:bottom w:val="single" w:sz="4" w:space="0" w:color="auto"/>
              <w:right w:val="nil"/>
            </w:tcBorders>
            <w:shd w:val="clear" w:color="auto" w:fill="auto"/>
            <w:vAlign w:val="bottom"/>
          </w:tcPr>
          <w:p w14:paraId="3BB31BE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OthAg&amp;Enviro</w:t>
            </w:r>
          </w:p>
        </w:tc>
        <w:tc>
          <w:tcPr>
            <w:tcW w:w="7366" w:type="dxa"/>
            <w:tcBorders>
              <w:top w:val="single" w:sz="4" w:space="0" w:color="auto"/>
              <w:bottom w:val="single" w:sz="4" w:space="0" w:color="auto"/>
            </w:tcBorders>
          </w:tcPr>
          <w:p w14:paraId="6143363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Agriculture, Environmental and Related Studies</w:t>
            </w:r>
          </w:p>
        </w:tc>
      </w:tr>
      <w:tr w:rsidR="001E5234" w:rsidRPr="00E06AF2" w14:paraId="5B28E064" w14:textId="77777777" w:rsidTr="006118C2">
        <w:tc>
          <w:tcPr>
            <w:tcW w:w="2132" w:type="dxa"/>
            <w:tcBorders>
              <w:top w:val="single" w:sz="4" w:space="0" w:color="auto"/>
              <w:left w:val="nil"/>
              <w:bottom w:val="single" w:sz="4" w:space="0" w:color="auto"/>
              <w:right w:val="nil"/>
            </w:tcBorders>
            <w:shd w:val="clear" w:color="auto" w:fill="auto"/>
            <w:vAlign w:val="bottom"/>
          </w:tcPr>
          <w:p w14:paraId="6CEB4FC0"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MedicalStudies</w:t>
            </w:r>
          </w:p>
        </w:tc>
        <w:tc>
          <w:tcPr>
            <w:tcW w:w="7366" w:type="dxa"/>
            <w:tcBorders>
              <w:top w:val="single" w:sz="4" w:space="0" w:color="auto"/>
              <w:bottom w:val="single" w:sz="4" w:space="0" w:color="auto"/>
            </w:tcBorders>
          </w:tcPr>
          <w:p w14:paraId="1A5F756F"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Medical Studies</w:t>
            </w:r>
          </w:p>
        </w:tc>
      </w:tr>
      <w:tr w:rsidR="001E5234" w:rsidRPr="00E06AF2" w14:paraId="52E8AF8F" w14:textId="77777777" w:rsidTr="006118C2">
        <w:tc>
          <w:tcPr>
            <w:tcW w:w="2132" w:type="dxa"/>
            <w:tcBorders>
              <w:top w:val="single" w:sz="4" w:space="0" w:color="auto"/>
              <w:left w:val="nil"/>
              <w:bottom w:val="single" w:sz="4" w:space="0" w:color="auto"/>
              <w:right w:val="nil"/>
            </w:tcBorders>
            <w:shd w:val="clear" w:color="auto" w:fill="auto"/>
            <w:vAlign w:val="bottom"/>
          </w:tcPr>
          <w:p w14:paraId="4A35379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Nursing</w:t>
            </w:r>
          </w:p>
        </w:tc>
        <w:tc>
          <w:tcPr>
            <w:tcW w:w="7366" w:type="dxa"/>
            <w:tcBorders>
              <w:top w:val="single" w:sz="4" w:space="0" w:color="auto"/>
              <w:bottom w:val="single" w:sz="4" w:space="0" w:color="auto"/>
            </w:tcBorders>
          </w:tcPr>
          <w:p w14:paraId="76A27ED5"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Nursing</w:t>
            </w:r>
          </w:p>
        </w:tc>
      </w:tr>
      <w:tr w:rsidR="001E5234" w:rsidRPr="00E06AF2" w14:paraId="4037A609" w14:textId="77777777" w:rsidTr="006118C2">
        <w:tc>
          <w:tcPr>
            <w:tcW w:w="2132" w:type="dxa"/>
            <w:tcBorders>
              <w:top w:val="single" w:sz="4" w:space="0" w:color="auto"/>
              <w:left w:val="nil"/>
              <w:bottom w:val="single" w:sz="4" w:space="0" w:color="auto"/>
              <w:right w:val="nil"/>
            </w:tcBorders>
            <w:shd w:val="clear" w:color="auto" w:fill="auto"/>
            <w:vAlign w:val="bottom"/>
          </w:tcPr>
          <w:p w14:paraId="43A3D64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Dental</w:t>
            </w:r>
          </w:p>
        </w:tc>
        <w:tc>
          <w:tcPr>
            <w:tcW w:w="7366" w:type="dxa"/>
            <w:tcBorders>
              <w:top w:val="single" w:sz="4" w:space="0" w:color="auto"/>
              <w:bottom w:val="single" w:sz="4" w:space="0" w:color="auto"/>
            </w:tcBorders>
          </w:tcPr>
          <w:p w14:paraId="7F60D0D0"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Dental Studies</w:t>
            </w:r>
          </w:p>
        </w:tc>
      </w:tr>
      <w:tr w:rsidR="001E5234" w:rsidRPr="00E06AF2" w14:paraId="46549584" w14:textId="77777777" w:rsidTr="006118C2">
        <w:tc>
          <w:tcPr>
            <w:tcW w:w="2132" w:type="dxa"/>
            <w:tcBorders>
              <w:top w:val="single" w:sz="4" w:space="0" w:color="auto"/>
              <w:left w:val="nil"/>
              <w:bottom w:val="single" w:sz="4" w:space="0" w:color="auto"/>
              <w:right w:val="nil"/>
            </w:tcBorders>
            <w:shd w:val="clear" w:color="auto" w:fill="auto"/>
            <w:vAlign w:val="bottom"/>
          </w:tcPr>
          <w:p w14:paraId="31E98575"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Veterinary</w:t>
            </w:r>
          </w:p>
        </w:tc>
        <w:tc>
          <w:tcPr>
            <w:tcW w:w="7366" w:type="dxa"/>
            <w:tcBorders>
              <w:top w:val="single" w:sz="4" w:space="0" w:color="auto"/>
              <w:bottom w:val="single" w:sz="4" w:space="0" w:color="auto"/>
            </w:tcBorders>
          </w:tcPr>
          <w:p w14:paraId="66B19957"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Veterinary Studies</w:t>
            </w:r>
          </w:p>
        </w:tc>
      </w:tr>
      <w:tr w:rsidR="001E5234" w:rsidRPr="00E06AF2" w14:paraId="518C3480" w14:textId="77777777" w:rsidTr="006118C2">
        <w:tc>
          <w:tcPr>
            <w:tcW w:w="2132" w:type="dxa"/>
            <w:tcBorders>
              <w:top w:val="single" w:sz="4" w:space="0" w:color="auto"/>
              <w:left w:val="nil"/>
              <w:bottom w:val="single" w:sz="4" w:space="0" w:color="auto"/>
              <w:right w:val="nil"/>
            </w:tcBorders>
            <w:shd w:val="clear" w:color="auto" w:fill="auto"/>
            <w:vAlign w:val="bottom"/>
          </w:tcPr>
          <w:p w14:paraId="35F8CCE9"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OthHealth</w:t>
            </w:r>
          </w:p>
        </w:tc>
        <w:tc>
          <w:tcPr>
            <w:tcW w:w="7366" w:type="dxa"/>
            <w:tcBorders>
              <w:top w:val="single" w:sz="4" w:space="0" w:color="auto"/>
              <w:bottom w:val="single" w:sz="4" w:space="0" w:color="auto"/>
            </w:tcBorders>
          </w:tcPr>
          <w:p w14:paraId="24D9C5F6"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Health</w:t>
            </w:r>
          </w:p>
        </w:tc>
      </w:tr>
      <w:tr w:rsidR="001E5234" w:rsidRPr="00E06AF2" w14:paraId="229CA74F" w14:textId="77777777" w:rsidTr="006118C2">
        <w:tc>
          <w:tcPr>
            <w:tcW w:w="2132" w:type="dxa"/>
            <w:tcBorders>
              <w:top w:val="single" w:sz="4" w:space="0" w:color="auto"/>
              <w:left w:val="nil"/>
              <w:bottom w:val="single" w:sz="4" w:space="0" w:color="auto"/>
              <w:right w:val="nil"/>
            </w:tcBorders>
            <w:shd w:val="clear" w:color="auto" w:fill="auto"/>
            <w:vAlign w:val="bottom"/>
          </w:tcPr>
          <w:p w14:paraId="0AC6ECF1"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Education</w:t>
            </w:r>
          </w:p>
        </w:tc>
        <w:tc>
          <w:tcPr>
            <w:tcW w:w="7366" w:type="dxa"/>
            <w:tcBorders>
              <w:top w:val="single" w:sz="4" w:space="0" w:color="auto"/>
              <w:bottom w:val="single" w:sz="4" w:space="0" w:color="auto"/>
            </w:tcBorders>
          </w:tcPr>
          <w:p w14:paraId="0C7C963F"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Education</w:t>
            </w:r>
          </w:p>
        </w:tc>
      </w:tr>
      <w:tr w:rsidR="001E5234" w:rsidRPr="00E06AF2" w14:paraId="6A68BCDF" w14:textId="77777777" w:rsidTr="006118C2">
        <w:tc>
          <w:tcPr>
            <w:tcW w:w="2132" w:type="dxa"/>
            <w:tcBorders>
              <w:top w:val="single" w:sz="4" w:space="0" w:color="auto"/>
              <w:left w:val="nil"/>
              <w:bottom w:val="single" w:sz="4" w:space="0" w:color="auto"/>
              <w:right w:val="nil"/>
            </w:tcBorders>
            <w:shd w:val="clear" w:color="auto" w:fill="auto"/>
            <w:vAlign w:val="bottom"/>
          </w:tcPr>
          <w:p w14:paraId="6ECB52E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Mgmt&amp;Comm</w:t>
            </w:r>
          </w:p>
        </w:tc>
        <w:tc>
          <w:tcPr>
            <w:tcW w:w="7366" w:type="dxa"/>
            <w:tcBorders>
              <w:top w:val="single" w:sz="4" w:space="0" w:color="auto"/>
              <w:bottom w:val="single" w:sz="4" w:space="0" w:color="auto"/>
            </w:tcBorders>
          </w:tcPr>
          <w:p w14:paraId="0938FDAE"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Management and Commerce</w:t>
            </w:r>
          </w:p>
        </w:tc>
      </w:tr>
      <w:tr w:rsidR="001E5234" w:rsidRPr="00E06AF2" w14:paraId="06014DBA" w14:textId="77777777" w:rsidTr="006118C2">
        <w:tc>
          <w:tcPr>
            <w:tcW w:w="2132" w:type="dxa"/>
            <w:tcBorders>
              <w:top w:val="single" w:sz="4" w:space="0" w:color="auto"/>
              <w:left w:val="nil"/>
              <w:bottom w:val="single" w:sz="4" w:space="0" w:color="auto"/>
              <w:right w:val="nil"/>
            </w:tcBorders>
            <w:shd w:val="clear" w:color="auto" w:fill="auto"/>
            <w:vAlign w:val="bottom"/>
          </w:tcPr>
          <w:p w14:paraId="4F22ADD9"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ForeignLang</w:t>
            </w:r>
          </w:p>
        </w:tc>
        <w:tc>
          <w:tcPr>
            <w:tcW w:w="7366" w:type="dxa"/>
            <w:tcBorders>
              <w:top w:val="single" w:sz="4" w:space="0" w:color="auto"/>
              <w:bottom w:val="single" w:sz="4" w:space="0" w:color="auto"/>
            </w:tcBorders>
          </w:tcPr>
          <w:p w14:paraId="00743AD2"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Foreign Languages and Translating</w:t>
            </w:r>
          </w:p>
        </w:tc>
      </w:tr>
      <w:tr w:rsidR="001E5234" w:rsidRPr="00E06AF2" w14:paraId="453859CC" w14:textId="77777777" w:rsidTr="006118C2">
        <w:tc>
          <w:tcPr>
            <w:tcW w:w="2132" w:type="dxa"/>
            <w:tcBorders>
              <w:top w:val="single" w:sz="4" w:space="0" w:color="auto"/>
              <w:left w:val="nil"/>
              <w:bottom w:val="single" w:sz="4" w:space="0" w:color="auto"/>
              <w:right w:val="nil"/>
            </w:tcBorders>
            <w:shd w:val="clear" w:color="auto" w:fill="auto"/>
            <w:vAlign w:val="bottom"/>
          </w:tcPr>
          <w:p w14:paraId="7B0F9E54"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Psych</w:t>
            </w:r>
          </w:p>
        </w:tc>
        <w:tc>
          <w:tcPr>
            <w:tcW w:w="7366" w:type="dxa"/>
            <w:tcBorders>
              <w:top w:val="single" w:sz="4" w:space="0" w:color="auto"/>
              <w:bottom w:val="single" w:sz="4" w:space="0" w:color="auto"/>
            </w:tcBorders>
          </w:tcPr>
          <w:p w14:paraId="2139E5FA"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Psychology</w:t>
            </w:r>
          </w:p>
        </w:tc>
      </w:tr>
      <w:tr w:rsidR="001E5234" w:rsidRPr="00E06AF2" w14:paraId="45482007" w14:textId="77777777" w:rsidTr="006118C2">
        <w:tc>
          <w:tcPr>
            <w:tcW w:w="2132" w:type="dxa"/>
            <w:tcBorders>
              <w:top w:val="single" w:sz="4" w:space="0" w:color="auto"/>
              <w:left w:val="nil"/>
              <w:bottom w:val="single" w:sz="4" w:space="0" w:color="auto"/>
              <w:right w:val="nil"/>
            </w:tcBorders>
            <w:shd w:val="clear" w:color="auto" w:fill="auto"/>
            <w:vAlign w:val="bottom"/>
          </w:tcPr>
          <w:p w14:paraId="1DD9C6DF"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OtherSoc&amp;Cult</w:t>
            </w:r>
          </w:p>
        </w:tc>
        <w:tc>
          <w:tcPr>
            <w:tcW w:w="7366" w:type="dxa"/>
            <w:tcBorders>
              <w:top w:val="single" w:sz="4" w:space="0" w:color="auto"/>
              <w:bottom w:val="single" w:sz="4" w:space="0" w:color="auto"/>
            </w:tcBorders>
          </w:tcPr>
          <w:p w14:paraId="46AF11B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Society and Culture</w:t>
            </w:r>
          </w:p>
        </w:tc>
      </w:tr>
      <w:tr w:rsidR="001E5234" w:rsidRPr="00E06AF2" w14:paraId="195EAFBB" w14:textId="77777777" w:rsidTr="006118C2">
        <w:tc>
          <w:tcPr>
            <w:tcW w:w="2132" w:type="dxa"/>
            <w:tcBorders>
              <w:top w:val="single" w:sz="4" w:space="0" w:color="auto"/>
              <w:left w:val="nil"/>
              <w:bottom w:val="single" w:sz="4" w:space="0" w:color="auto"/>
              <w:right w:val="nil"/>
            </w:tcBorders>
            <w:shd w:val="clear" w:color="auto" w:fill="auto"/>
            <w:vAlign w:val="bottom"/>
          </w:tcPr>
          <w:p w14:paraId="7B01985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Comms&amp;Media</w:t>
            </w:r>
          </w:p>
        </w:tc>
        <w:tc>
          <w:tcPr>
            <w:tcW w:w="7366" w:type="dxa"/>
            <w:tcBorders>
              <w:top w:val="single" w:sz="4" w:space="0" w:color="auto"/>
              <w:bottom w:val="single" w:sz="4" w:space="0" w:color="auto"/>
            </w:tcBorders>
          </w:tcPr>
          <w:p w14:paraId="073F103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Communiation and Media Studies</w:t>
            </w:r>
          </w:p>
        </w:tc>
      </w:tr>
      <w:tr w:rsidR="001E5234" w:rsidRPr="00E06AF2" w14:paraId="7B88AFAE" w14:textId="77777777" w:rsidTr="006118C2">
        <w:tc>
          <w:tcPr>
            <w:tcW w:w="2132" w:type="dxa"/>
            <w:tcBorders>
              <w:top w:val="single" w:sz="4" w:space="0" w:color="auto"/>
              <w:left w:val="nil"/>
              <w:bottom w:val="single" w:sz="4" w:space="0" w:color="auto"/>
              <w:right w:val="nil"/>
            </w:tcBorders>
            <w:shd w:val="clear" w:color="auto" w:fill="auto"/>
            <w:vAlign w:val="bottom"/>
          </w:tcPr>
          <w:p w14:paraId="60885BE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OthCreative</w:t>
            </w:r>
          </w:p>
        </w:tc>
        <w:tc>
          <w:tcPr>
            <w:tcW w:w="7366" w:type="dxa"/>
            <w:tcBorders>
              <w:top w:val="single" w:sz="4" w:space="0" w:color="auto"/>
              <w:bottom w:val="single" w:sz="4" w:space="0" w:color="auto"/>
            </w:tcBorders>
          </w:tcPr>
          <w:p w14:paraId="6A3B2F0B"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Other Creative Arts</w:t>
            </w:r>
          </w:p>
        </w:tc>
      </w:tr>
      <w:tr w:rsidR="001E5234" w:rsidRPr="00E06AF2" w14:paraId="76B8C7B6" w14:textId="77777777" w:rsidTr="00790472">
        <w:tc>
          <w:tcPr>
            <w:tcW w:w="2132" w:type="dxa"/>
            <w:tcBorders>
              <w:top w:val="single" w:sz="4" w:space="0" w:color="auto"/>
              <w:left w:val="nil"/>
              <w:bottom w:val="single" w:sz="4" w:space="0" w:color="auto"/>
              <w:right w:val="nil"/>
            </w:tcBorders>
            <w:shd w:val="clear" w:color="auto" w:fill="auto"/>
            <w:vAlign w:val="bottom"/>
          </w:tcPr>
          <w:p w14:paraId="45C89BA0"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FoodHosp&amp;Person</w:t>
            </w:r>
          </w:p>
        </w:tc>
        <w:tc>
          <w:tcPr>
            <w:tcW w:w="7366" w:type="dxa"/>
            <w:tcBorders>
              <w:top w:val="single" w:sz="4" w:space="0" w:color="auto"/>
              <w:bottom w:val="single" w:sz="4" w:space="0" w:color="auto"/>
            </w:tcBorders>
          </w:tcPr>
          <w:p w14:paraId="3C0714E1"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Food, Hospitality and Personal Services</w:t>
            </w:r>
          </w:p>
        </w:tc>
      </w:tr>
      <w:tr w:rsidR="001E5234" w:rsidRPr="008B3BBC" w14:paraId="257DF1DA" w14:textId="77777777" w:rsidTr="00790472">
        <w:tc>
          <w:tcPr>
            <w:tcW w:w="2132" w:type="dxa"/>
            <w:tcBorders>
              <w:top w:val="single" w:sz="4" w:space="0" w:color="auto"/>
              <w:left w:val="nil"/>
              <w:bottom w:val="single" w:sz="4" w:space="0" w:color="auto"/>
              <w:right w:val="nil"/>
            </w:tcBorders>
            <w:shd w:val="clear" w:color="auto" w:fill="auto"/>
            <w:vAlign w:val="bottom"/>
          </w:tcPr>
          <w:p w14:paraId="29D2985D"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MixedField</w:t>
            </w:r>
          </w:p>
        </w:tc>
        <w:tc>
          <w:tcPr>
            <w:tcW w:w="7366" w:type="dxa"/>
            <w:tcBorders>
              <w:top w:val="single" w:sz="4" w:space="0" w:color="auto"/>
              <w:bottom w:val="single" w:sz="4" w:space="0" w:color="auto"/>
            </w:tcBorders>
          </w:tcPr>
          <w:p w14:paraId="0F2BFC62" w14:textId="77777777" w:rsidR="001E5234" w:rsidRPr="00E06AF2" w:rsidRDefault="001E5234" w:rsidP="001E5234">
            <w:pPr>
              <w:pStyle w:val="TabletextLeft"/>
              <w:rPr>
                <w:rFonts w:cs="Arial"/>
                <w:noProof/>
                <w:szCs w:val="22"/>
                <w:lang w:eastAsia="en-AU"/>
              </w:rPr>
            </w:pPr>
            <w:r w:rsidRPr="00E06AF2">
              <w:rPr>
                <w:rFonts w:cs="Arial"/>
                <w:noProof/>
                <w:szCs w:val="22"/>
                <w:lang w:eastAsia="en-AU"/>
              </w:rPr>
              <w:t>Mixed Field Programmes</w:t>
            </w:r>
          </w:p>
        </w:tc>
      </w:tr>
    </w:tbl>
    <w:p w14:paraId="6BB3FF26" w14:textId="77777777" w:rsidR="00F9113D" w:rsidRPr="00037FFE" w:rsidRDefault="00F9113D" w:rsidP="00037FFE">
      <w:pPr>
        <w:pStyle w:val="Heading1un-numbered"/>
      </w:pPr>
      <w:bookmarkStart w:id="51" w:name="_Toc20245995"/>
      <w:bookmarkStart w:id="52" w:name="_Toc105776173"/>
      <w:r w:rsidRPr="00037FFE">
        <w:t>Executive summary</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1"/>
      <w:bookmarkEnd w:id="52"/>
    </w:p>
    <w:p w14:paraId="73505587" w14:textId="6C0977DB" w:rsidR="00537973" w:rsidRPr="00BB165A" w:rsidRDefault="00537973" w:rsidP="00537973">
      <w:pPr>
        <w:rPr>
          <w:rFonts w:asciiTheme="minorHAnsi" w:hAnsiTheme="minorHAnsi"/>
        </w:rPr>
      </w:pPr>
      <w:bookmarkStart w:id="53" w:name="_Toc529454503"/>
      <w:bookmarkStart w:id="54" w:name="_Toc529454595"/>
      <w:bookmarkStart w:id="55" w:name="_Toc529460007"/>
      <w:bookmarkStart w:id="56" w:name="_Toc529454519"/>
      <w:bookmarkStart w:id="57" w:name="_Toc529454611"/>
      <w:bookmarkStart w:id="58" w:name="_Toc529460023"/>
      <w:bookmarkStart w:id="59" w:name="_Toc529454520"/>
      <w:bookmarkStart w:id="60" w:name="_Toc529454612"/>
      <w:bookmarkStart w:id="61" w:name="_Toc529460024"/>
      <w:bookmarkStart w:id="62" w:name="_Toc529454521"/>
      <w:bookmarkStart w:id="63" w:name="_Toc529454613"/>
      <w:bookmarkStart w:id="64" w:name="_Toc529460025"/>
      <w:bookmarkStart w:id="65" w:name="_Toc529454522"/>
      <w:bookmarkStart w:id="66" w:name="_Toc529454614"/>
      <w:bookmarkStart w:id="67" w:name="_Toc529460026"/>
      <w:bookmarkStart w:id="68" w:name="_Toc529454523"/>
      <w:bookmarkStart w:id="69" w:name="_Toc529454615"/>
      <w:bookmarkStart w:id="70" w:name="_Toc529460027"/>
      <w:bookmarkStart w:id="71" w:name="_Toc529546311"/>
      <w:bookmarkStart w:id="72" w:name="_Toc529546959"/>
      <w:bookmarkStart w:id="73" w:name="_Toc529454443"/>
      <w:bookmarkStart w:id="74" w:name="_Toc529454535"/>
      <w:bookmarkStart w:id="75" w:name="_Toc529459940"/>
      <w:bookmarkStart w:id="76" w:name="_Toc529546312"/>
      <w:bookmarkStart w:id="77" w:name="_Toc529546960"/>
      <w:bookmarkStart w:id="78" w:name="_Toc529454444"/>
      <w:bookmarkStart w:id="79" w:name="_Toc529454536"/>
      <w:bookmarkStart w:id="80" w:name="_Toc529459941"/>
      <w:bookmarkStart w:id="81" w:name="_Toc529546313"/>
      <w:bookmarkStart w:id="82" w:name="_Toc529546961"/>
      <w:bookmarkStart w:id="83" w:name="_Toc529454445"/>
      <w:bookmarkStart w:id="84" w:name="_Toc529454537"/>
      <w:bookmarkStart w:id="85" w:name="_Toc529459942"/>
      <w:bookmarkStart w:id="86" w:name="_Toc529546314"/>
      <w:bookmarkStart w:id="87" w:name="_Toc529546962"/>
      <w:bookmarkStart w:id="88" w:name="_Toc462317838"/>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BB165A">
        <w:t xml:space="preserve">Universities are complex institutions </w:t>
      </w:r>
      <w:r w:rsidR="00896B81" w:rsidRPr="00BB165A">
        <w:t xml:space="preserve">operating in a variety of environments </w:t>
      </w:r>
      <w:r w:rsidRPr="00BB165A">
        <w:t xml:space="preserve">with a range of missions. The </w:t>
      </w:r>
      <w:r w:rsidRPr="00BB165A">
        <w:rPr>
          <w:i/>
        </w:rPr>
        <w:t>Higher Education Support Act 2003</w:t>
      </w:r>
      <w:r w:rsidRPr="00BB165A">
        <w:t xml:space="preserve"> creates the legislative framework for </w:t>
      </w:r>
      <w:r w:rsidR="00896B81" w:rsidRPr="00BB165A">
        <w:t xml:space="preserve">Australian </w:t>
      </w:r>
      <w:r w:rsidR="001B2BD8" w:rsidRPr="00BB165A">
        <w:t>G</w:t>
      </w:r>
      <w:r w:rsidRPr="00BB165A">
        <w:t xml:space="preserve">overnment support for higher education </w:t>
      </w:r>
      <w:r w:rsidRPr="00BB165A">
        <w:rPr>
          <w:rFonts w:asciiTheme="minorHAnsi" w:hAnsiTheme="minorHAnsi"/>
        </w:rPr>
        <w:t>in order to support the “distinctive purpose of universities, which are:</w:t>
      </w:r>
    </w:p>
    <w:p w14:paraId="6BEE1EA4" w14:textId="77777777" w:rsidR="00537973" w:rsidRPr="00BB165A" w:rsidRDefault="00537973" w:rsidP="007B09DB">
      <w:pPr>
        <w:pStyle w:val="ListParagraph"/>
        <w:numPr>
          <w:ilvl w:val="0"/>
          <w:numId w:val="20"/>
        </w:numPr>
        <w:rPr>
          <w:rFonts w:asciiTheme="minorHAnsi" w:hAnsiTheme="minorHAnsi" w:cs="Segoe UI"/>
          <w:color w:val="000000"/>
        </w:rPr>
      </w:pPr>
      <w:r w:rsidRPr="00BB165A">
        <w:rPr>
          <w:rFonts w:asciiTheme="minorHAnsi" w:hAnsiTheme="minorHAnsi" w:cs="Segoe UI"/>
          <w:color w:val="000000"/>
        </w:rPr>
        <w:t xml:space="preserve">the education of persons, enabling them to take a leadership role in the intellectual, cultural, economic and social development of their communities; and </w:t>
      </w:r>
    </w:p>
    <w:p w14:paraId="291A6A7F" w14:textId="77777777" w:rsidR="00537973" w:rsidRPr="00BB165A" w:rsidRDefault="00537973" w:rsidP="007B09DB">
      <w:pPr>
        <w:pStyle w:val="ListParagraph"/>
        <w:numPr>
          <w:ilvl w:val="0"/>
          <w:numId w:val="20"/>
        </w:numPr>
        <w:rPr>
          <w:rFonts w:asciiTheme="minorHAnsi" w:hAnsiTheme="minorHAnsi" w:cs="Segoe UI"/>
          <w:color w:val="000000"/>
        </w:rPr>
      </w:pPr>
      <w:r w:rsidRPr="00BB165A">
        <w:rPr>
          <w:rFonts w:asciiTheme="minorHAnsi" w:hAnsiTheme="minorHAnsi" w:cs="Segoe UI"/>
          <w:color w:val="000000"/>
        </w:rPr>
        <w:t xml:space="preserve">the creation and advancement of knowledge; and </w:t>
      </w:r>
    </w:p>
    <w:p w14:paraId="07C5AA37" w14:textId="7230F24F" w:rsidR="00AA559B" w:rsidRDefault="00537973" w:rsidP="007B09DB">
      <w:pPr>
        <w:pStyle w:val="ListParagraph"/>
        <w:numPr>
          <w:ilvl w:val="0"/>
          <w:numId w:val="20"/>
        </w:numPr>
        <w:rPr>
          <w:rFonts w:asciiTheme="minorHAnsi" w:hAnsiTheme="minorHAnsi" w:cs="Segoe UI"/>
          <w:color w:val="000000"/>
        </w:rPr>
      </w:pPr>
      <w:r w:rsidRPr="00BB165A">
        <w:rPr>
          <w:rFonts w:asciiTheme="minorHAnsi" w:hAnsiTheme="minorHAnsi" w:cs="Segoe UI"/>
          <w:color w:val="000000"/>
        </w:rPr>
        <w:t>the application of knowledge and discoveries to the betterment of communities in Australia and internationally</w:t>
      </w:r>
      <w:r w:rsidR="008648E3">
        <w:rPr>
          <w:rFonts w:asciiTheme="minorHAnsi" w:hAnsiTheme="minorHAnsi" w:cs="Segoe UI"/>
          <w:color w:val="000000"/>
        </w:rPr>
        <w:t xml:space="preserve">; and </w:t>
      </w:r>
    </w:p>
    <w:p w14:paraId="757459C8" w14:textId="3063C5D0" w:rsidR="00537973" w:rsidRPr="00BB165A" w:rsidRDefault="008648E3" w:rsidP="007B09DB">
      <w:pPr>
        <w:pStyle w:val="ListParagraph"/>
        <w:numPr>
          <w:ilvl w:val="0"/>
          <w:numId w:val="20"/>
        </w:numPr>
        <w:rPr>
          <w:rFonts w:asciiTheme="minorHAnsi" w:hAnsiTheme="minorHAnsi" w:cs="Segoe UI"/>
          <w:color w:val="000000"/>
        </w:rPr>
      </w:pPr>
      <w:r>
        <w:rPr>
          <w:rFonts w:asciiTheme="minorHAnsi" w:hAnsiTheme="minorHAnsi" w:cs="Segoe UI"/>
          <w:color w:val="000000"/>
        </w:rPr>
        <w:t xml:space="preserve">the engagement with </w:t>
      </w:r>
      <w:r w:rsidR="00365102">
        <w:rPr>
          <w:rFonts w:asciiTheme="minorHAnsi" w:hAnsiTheme="minorHAnsi" w:cs="Segoe UI"/>
          <w:color w:val="000000"/>
        </w:rPr>
        <w:t xml:space="preserve">industry and the local community to enable graduates to thrive in the workforce.” </w:t>
      </w:r>
      <w:r w:rsidR="00537973" w:rsidRPr="00BB165A">
        <w:rPr>
          <w:rStyle w:val="FootnoteReference"/>
          <w:rFonts w:asciiTheme="minorHAnsi" w:hAnsiTheme="minorHAnsi" w:cs="Segoe UI"/>
          <w:color w:val="000000"/>
        </w:rPr>
        <w:footnoteReference w:id="2"/>
      </w:r>
      <w:r w:rsidR="00537973" w:rsidRPr="00BB165A">
        <w:rPr>
          <w:rFonts w:asciiTheme="minorHAnsi" w:hAnsiTheme="minorHAnsi" w:cs="Segoe UI"/>
          <w:color w:val="000000"/>
        </w:rPr>
        <w:t xml:space="preserve"> </w:t>
      </w:r>
    </w:p>
    <w:p w14:paraId="0BA55116" w14:textId="36941990" w:rsidR="00537973" w:rsidRPr="00BB165A" w:rsidRDefault="00616965" w:rsidP="00537973">
      <w:pPr>
        <w:rPr>
          <w:rFonts w:asciiTheme="minorHAnsi" w:hAnsiTheme="minorHAnsi"/>
        </w:rPr>
      </w:pPr>
      <w:r w:rsidRPr="00BB165A">
        <w:rPr>
          <w:rFonts w:asciiTheme="minorHAnsi" w:hAnsiTheme="minorHAnsi" w:cs="Segoe UI"/>
          <w:color w:val="000000"/>
        </w:rPr>
        <w:t xml:space="preserve">The </w:t>
      </w:r>
      <w:r w:rsidR="00896B81" w:rsidRPr="00BB165A">
        <w:rPr>
          <w:rFonts w:asciiTheme="minorHAnsi" w:hAnsiTheme="minorHAnsi" w:cs="Segoe UI"/>
          <w:color w:val="000000"/>
        </w:rPr>
        <w:t xml:space="preserve">Australian </w:t>
      </w:r>
      <w:r w:rsidRPr="00BB165A">
        <w:rPr>
          <w:rFonts w:asciiTheme="minorHAnsi" w:hAnsiTheme="minorHAnsi" w:cs="Segoe UI"/>
          <w:color w:val="000000"/>
        </w:rPr>
        <w:t xml:space="preserve">Government </w:t>
      </w:r>
      <w:r w:rsidR="00537973" w:rsidRPr="00BB165A">
        <w:rPr>
          <w:rFonts w:asciiTheme="minorHAnsi" w:hAnsiTheme="minorHAnsi" w:cs="Segoe UI"/>
          <w:color w:val="000000"/>
        </w:rPr>
        <w:t>support</w:t>
      </w:r>
      <w:r w:rsidRPr="00BB165A">
        <w:rPr>
          <w:rFonts w:asciiTheme="minorHAnsi" w:hAnsiTheme="minorHAnsi" w:cs="Segoe UI"/>
          <w:color w:val="000000"/>
        </w:rPr>
        <w:t>s</w:t>
      </w:r>
      <w:r w:rsidR="00537973" w:rsidRPr="00BB165A">
        <w:rPr>
          <w:rFonts w:asciiTheme="minorHAnsi" w:hAnsiTheme="minorHAnsi" w:cs="Segoe UI"/>
          <w:color w:val="000000"/>
        </w:rPr>
        <w:t xml:space="preserve"> teaching and scholarship activities at universities through the provision of funding.</w:t>
      </w:r>
      <w:r w:rsidR="00537973" w:rsidRPr="00BB165A">
        <w:rPr>
          <w:rFonts w:asciiTheme="minorHAnsi" w:hAnsiTheme="minorHAnsi"/>
        </w:rPr>
        <w:t xml:space="preserve"> </w:t>
      </w:r>
      <w:r w:rsidR="00537973" w:rsidRPr="00BB165A">
        <w:t>There is a collective interest in transparency regarding the use of these funds and the allocation of resources across the various activities that universities engage in</w:t>
      </w:r>
      <w:r w:rsidR="001C347E" w:rsidRPr="00BB165A">
        <w:t xml:space="preserve">. </w:t>
      </w:r>
      <w:r w:rsidR="00233B5B" w:rsidRPr="00BB165A">
        <w:t xml:space="preserve">The way in which this funding is provided, in terms of the specific teaching and research activities it is intended to support, significantly influences the behaviour of </w:t>
      </w:r>
      <w:r w:rsidR="001B2BD8" w:rsidRPr="00BB165A">
        <w:t>universities</w:t>
      </w:r>
      <w:r w:rsidR="00B340C9" w:rsidRPr="00BB165A">
        <w:t xml:space="preserve">. </w:t>
      </w:r>
      <w:r w:rsidR="00537973" w:rsidRPr="00BB165A">
        <w:t>Understanding the extent to which funding is used</w:t>
      </w:r>
      <w:r w:rsidR="001C347E" w:rsidRPr="00BB165A">
        <w:t xml:space="preserve"> to support teaching and scholarship</w:t>
      </w:r>
      <w:r w:rsidR="00537973" w:rsidRPr="00BB165A">
        <w:t xml:space="preserve"> across fields of education</w:t>
      </w:r>
      <w:r w:rsidR="001C347E" w:rsidRPr="00BB165A">
        <w:t xml:space="preserve"> </w:t>
      </w:r>
      <w:r w:rsidRPr="00BB165A">
        <w:t>enables</w:t>
      </w:r>
      <w:r w:rsidR="00537973" w:rsidRPr="00BB165A">
        <w:t xml:space="preserve"> effective decision-making both within universities, and across the </w:t>
      </w:r>
      <w:r w:rsidR="001B2BD8" w:rsidRPr="00BB165A">
        <w:t>students</w:t>
      </w:r>
      <w:r w:rsidR="00537973" w:rsidRPr="00BB165A">
        <w:t xml:space="preserve">, organisations and </w:t>
      </w:r>
      <w:r w:rsidR="00423E67" w:rsidRPr="00BB165A">
        <w:t xml:space="preserve">the </w:t>
      </w:r>
      <w:r w:rsidR="00896B81" w:rsidRPr="00BB165A">
        <w:t xml:space="preserve">governments </w:t>
      </w:r>
      <w:r w:rsidR="00537973" w:rsidRPr="00BB165A">
        <w:t xml:space="preserve">which fund them. </w:t>
      </w:r>
    </w:p>
    <w:p w14:paraId="60245D2E" w14:textId="689CF83F" w:rsidR="00537973" w:rsidRPr="00BB165A" w:rsidRDefault="00537973" w:rsidP="00537973">
      <w:r w:rsidRPr="00BB165A">
        <w:t>For the Australian Government, the funding of teaching and scholarship via the Commonwealth Grant Scheme (CGS) is provided on the basis of funding clusters and student contribution bands</w:t>
      </w:r>
      <w:r w:rsidR="00616965" w:rsidRPr="00BB165A">
        <w:t>. The CGS</w:t>
      </w:r>
      <w:r w:rsidRPr="00BB165A">
        <w:t xml:space="preserve"> </w:t>
      </w:r>
      <w:r w:rsidR="00616965" w:rsidRPr="00BB165A">
        <w:t xml:space="preserve">is </w:t>
      </w:r>
      <w:r w:rsidRPr="00BB165A">
        <w:t xml:space="preserve">designed to allocate aggregate base funding to universities in a way that appropriately reflects their respective mix of disciplines. </w:t>
      </w:r>
    </w:p>
    <w:p w14:paraId="6E17A3A5" w14:textId="68EC7348" w:rsidR="001B2BD8" w:rsidRPr="00BB165A" w:rsidRDefault="00537973" w:rsidP="00537973">
      <w:r w:rsidRPr="00BB165A">
        <w:t>This model, notionally intended to capture relative average costs across disciplines, has been</w:t>
      </w:r>
      <w:r w:rsidR="00B340C9" w:rsidRPr="00BB165A">
        <w:t xml:space="preserve"> </w:t>
      </w:r>
      <w:r w:rsidRPr="00BB165A">
        <w:t xml:space="preserve">periodically informed by research into the costs of teaching and scholarship at universities. </w:t>
      </w:r>
      <w:r w:rsidR="001B2BD8" w:rsidRPr="00BB165A">
        <w:t>Analysis of the costs of teaching and scholarship at universities w</w:t>
      </w:r>
      <w:r w:rsidR="00FC58E0" w:rsidRPr="00BB165A">
        <w:t>as</w:t>
      </w:r>
      <w:r w:rsidR="001B2BD8" w:rsidRPr="00BB165A">
        <w:t xml:space="preserve"> previously undertaken by Deloitte Access Economics in 2011 and 2016 (both of which concerned activity in the prior calendar year).</w:t>
      </w:r>
    </w:p>
    <w:p w14:paraId="11B930A8" w14:textId="4335DFA2" w:rsidR="00B340C9" w:rsidRPr="00BB165A" w:rsidRDefault="7AD7E322" w:rsidP="00537973">
      <w:r>
        <w:t>Seeking to build on these previous exercises and develop an annual</w:t>
      </w:r>
      <w:r w:rsidR="4ED8D9CC">
        <w:t>ly updated</w:t>
      </w:r>
      <w:r>
        <w:t xml:space="preserve"> evidence base on the costs of teaching and scholarship at Australian universities, the Australian Department of Education</w:t>
      </w:r>
      <w:r w:rsidR="00A7079C">
        <w:t xml:space="preserve">, Skills and Employment </w:t>
      </w:r>
      <w:r w:rsidR="3ABF3164">
        <w:t xml:space="preserve">(the Department) </w:t>
      </w:r>
      <w:r>
        <w:t xml:space="preserve">established the Transparency in Higher Education Expenditure exercise, commissioning </w:t>
      </w:r>
      <w:r w:rsidR="169E88D9">
        <w:t xml:space="preserve">Deloitte Access Economics to undertake this collection in 2018, 2019 and 2020. </w:t>
      </w:r>
      <w:bookmarkStart w:id="89" w:name="_Hlk24623252"/>
      <w:r w:rsidR="2C5EC45E">
        <w:t xml:space="preserve">The 2020 </w:t>
      </w:r>
      <w:r w:rsidR="714DDB99">
        <w:t>data collection exercise</w:t>
      </w:r>
      <w:r w:rsidR="2C5EC45E">
        <w:t xml:space="preserve"> was </w:t>
      </w:r>
      <w:r w:rsidR="38D3F49E">
        <w:t>postponed following the outbreak of COVID</w:t>
      </w:r>
      <w:r w:rsidR="1FCC80E9">
        <w:t>-19</w:t>
      </w:r>
      <w:r w:rsidR="714DDB99">
        <w:t xml:space="preserve">. </w:t>
      </w:r>
      <w:r w:rsidR="169E88D9">
        <w:t xml:space="preserve">This report presents the results derived from the </w:t>
      </w:r>
      <w:r w:rsidR="669D24D5">
        <w:t>2022 study</w:t>
      </w:r>
      <w:r w:rsidR="169E88D9">
        <w:t xml:space="preserve">, relating to university activity in the </w:t>
      </w:r>
      <w:r w:rsidR="669D24D5">
        <w:t>2019 and 2020</w:t>
      </w:r>
      <w:r w:rsidR="169E88D9">
        <w:t xml:space="preserve"> calendar year</w:t>
      </w:r>
      <w:r w:rsidR="669D24D5">
        <w:t>s</w:t>
      </w:r>
      <w:r w:rsidR="169E88D9">
        <w:t xml:space="preserve">. </w:t>
      </w:r>
      <w:bookmarkEnd w:id="89"/>
      <w:r w:rsidR="28B40333">
        <w:t xml:space="preserve">The university sample for the </w:t>
      </w:r>
      <w:r w:rsidR="009C10BF">
        <w:t>remainder</w:t>
      </w:r>
      <w:r w:rsidR="28B40333">
        <w:t xml:space="preserve"> of the report will be referred to as the 20</w:t>
      </w:r>
      <w:r w:rsidR="669D24D5">
        <w:t>22</w:t>
      </w:r>
      <w:r w:rsidR="28B40333">
        <w:t xml:space="preserve"> sample of 3</w:t>
      </w:r>
      <w:r w:rsidR="669D24D5">
        <w:t>7</w:t>
      </w:r>
      <w:r w:rsidR="28B40333">
        <w:t xml:space="preserve"> universities, which are included in the </w:t>
      </w:r>
      <w:r w:rsidR="669D24D5">
        <w:t>202</w:t>
      </w:r>
      <w:r w:rsidR="18C9AC08">
        <w:t>2</w:t>
      </w:r>
      <w:r w:rsidR="28B40333">
        <w:t xml:space="preserve"> study.</w:t>
      </w:r>
    </w:p>
    <w:p w14:paraId="088C6544" w14:textId="53D262FA" w:rsidR="00537973" w:rsidRPr="00691B65" w:rsidRDefault="00B340C9" w:rsidP="00537973">
      <w:r w:rsidRPr="00BB165A">
        <w:t xml:space="preserve">This report </w:t>
      </w:r>
      <w:r w:rsidR="009D37D4" w:rsidRPr="00BB165A">
        <w:t xml:space="preserve">updates the analysis contained in the </w:t>
      </w:r>
      <w:r w:rsidR="001C347E" w:rsidRPr="00BB165A">
        <w:t>201</w:t>
      </w:r>
      <w:r w:rsidR="008E0F9C" w:rsidRPr="00BB165A">
        <w:t>9</w:t>
      </w:r>
      <w:r w:rsidR="001C347E" w:rsidRPr="00BB165A">
        <w:t xml:space="preserve"> </w:t>
      </w:r>
      <w:r w:rsidR="00233B5B" w:rsidRPr="00BB165A">
        <w:t>study</w:t>
      </w:r>
      <w:r w:rsidR="001C347E" w:rsidRPr="00BB165A">
        <w:t xml:space="preserve">. While this report should be seen </w:t>
      </w:r>
      <w:r w:rsidR="009D37D4" w:rsidRPr="00BB165A">
        <w:t>as a stand-alone document</w:t>
      </w:r>
      <w:r w:rsidR="001C347E" w:rsidRPr="00BB165A">
        <w:t>,</w:t>
      </w:r>
      <w:r w:rsidR="009D37D4" w:rsidRPr="00BB165A">
        <w:t xml:space="preserve"> </w:t>
      </w:r>
      <w:r w:rsidR="001C347E" w:rsidRPr="00BB165A">
        <w:t>much of the</w:t>
      </w:r>
      <w:r w:rsidR="009D37D4" w:rsidRPr="00BB165A">
        <w:t xml:space="preserve"> content</w:t>
      </w:r>
      <w:r w:rsidR="001C347E" w:rsidRPr="00BB165A">
        <w:t xml:space="preserve"> is</w:t>
      </w:r>
      <w:r w:rsidR="009D37D4" w:rsidRPr="00BB165A">
        <w:t xml:space="preserve"> consistent with </w:t>
      </w:r>
      <w:r w:rsidR="001C347E" w:rsidRPr="00BB165A">
        <w:t>that provided in the 201</w:t>
      </w:r>
      <w:r w:rsidR="008E0F9C" w:rsidRPr="00BB165A">
        <w:t>9</w:t>
      </w:r>
      <w:r w:rsidR="009D37D4" w:rsidRPr="00BB165A">
        <w:t xml:space="preserve"> report</w:t>
      </w:r>
      <w:r w:rsidR="007F61E1">
        <w:t xml:space="preserve"> and direct comparisons are provided where appropriate</w:t>
      </w:r>
      <w:r w:rsidR="009D37D4" w:rsidRPr="00BB165A">
        <w:t>.</w:t>
      </w:r>
      <w:r w:rsidR="009D37D4" w:rsidRPr="00312215">
        <w:t xml:space="preserve"> </w:t>
      </w:r>
    </w:p>
    <w:p w14:paraId="0D159914" w14:textId="77777777" w:rsidR="00537973" w:rsidRPr="00691B65" w:rsidRDefault="00537973" w:rsidP="00537973">
      <w:pPr>
        <w:pStyle w:val="Heading2"/>
        <w:numPr>
          <w:ilvl w:val="0"/>
          <w:numId w:val="0"/>
        </w:numPr>
      </w:pPr>
      <w:bookmarkStart w:id="90" w:name="_Toc20245996"/>
      <w:bookmarkStart w:id="91" w:name="_Toc105776174"/>
      <w:r w:rsidRPr="00691B65">
        <w:t>Approach to the data collection</w:t>
      </w:r>
      <w:bookmarkEnd w:id="90"/>
      <w:bookmarkEnd w:id="91"/>
    </w:p>
    <w:p w14:paraId="109E50A9" w14:textId="77777777" w:rsidR="00537973" w:rsidRPr="00BB165A" w:rsidRDefault="00537973" w:rsidP="00416131">
      <w:pPr>
        <w:spacing w:before="120"/>
      </w:pPr>
      <w:r w:rsidRPr="00BB165A">
        <w:t>Building on the 2016 data collection</w:t>
      </w:r>
      <w:r w:rsidR="00E56E86" w:rsidRPr="00BB165A">
        <w:t>,</w:t>
      </w:r>
      <w:r w:rsidR="00F6787F" w:rsidRPr="00BB165A">
        <w:rPr>
          <w:rStyle w:val="FootnoteReference"/>
        </w:rPr>
        <w:footnoteReference w:id="3"/>
      </w:r>
      <w:r w:rsidRPr="00BB165A">
        <w:t xml:space="preserve"> the approach </w:t>
      </w:r>
      <w:r w:rsidR="009D37D4" w:rsidRPr="00BB165A">
        <w:t>to the Transparency in Higher Education Expenditure exercise</w:t>
      </w:r>
      <w:r w:rsidRPr="00BB165A">
        <w:t xml:space="preserve"> was guided by two key objectives, namely:</w:t>
      </w:r>
    </w:p>
    <w:p w14:paraId="2489264F" w14:textId="77777777" w:rsidR="00537973" w:rsidRPr="00BB165A" w:rsidRDefault="00537973" w:rsidP="007B09DB">
      <w:pPr>
        <w:pStyle w:val="ListParagraph"/>
        <w:numPr>
          <w:ilvl w:val="0"/>
          <w:numId w:val="17"/>
        </w:numPr>
      </w:pPr>
      <w:r w:rsidRPr="00BB165A">
        <w:t>Accurately measuring the costs of teaching and scholarship</w:t>
      </w:r>
      <w:r w:rsidR="0081649B" w:rsidRPr="00BB165A">
        <w:rPr>
          <w:rStyle w:val="FootnoteReference"/>
        </w:rPr>
        <w:footnoteReference w:id="4"/>
      </w:r>
      <w:r w:rsidRPr="00BB165A">
        <w:t xml:space="preserve"> by field and level of education</w:t>
      </w:r>
      <w:r w:rsidR="00423E67" w:rsidRPr="00BB165A">
        <w:t>.</w:t>
      </w:r>
      <w:r w:rsidRPr="00BB165A">
        <w:t xml:space="preserve"> </w:t>
      </w:r>
    </w:p>
    <w:p w14:paraId="3C8F600B" w14:textId="5CE77C79" w:rsidR="00537973" w:rsidRPr="00BB165A" w:rsidRDefault="00537973" w:rsidP="007B09DB">
      <w:pPr>
        <w:pStyle w:val="ListParagraph"/>
        <w:numPr>
          <w:ilvl w:val="0"/>
          <w:numId w:val="17"/>
        </w:numPr>
      </w:pPr>
      <w:r w:rsidRPr="00BB165A">
        <w:t xml:space="preserve">Supporting the continued transition to a more comprehensive, systematic and streamlined data collection process over time. </w:t>
      </w:r>
    </w:p>
    <w:p w14:paraId="63645A70" w14:textId="04D1324E" w:rsidR="00537973" w:rsidRPr="00BB165A" w:rsidRDefault="00537973" w:rsidP="00537973">
      <w:r w:rsidRPr="00BB165A">
        <w:t xml:space="preserve">To support the achievement of these objectives, the collection process, data template (or Transparent Costing Worksheet (TCW)) and an associated set of comprehensive </w:t>
      </w:r>
      <w:r w:rsidR="007A2756" w:rsidRPr="00BB165A">
        <w:t>G</w:t>
      </w:r>
      <w:r w:rsidRPr="00BB165A">
        <w:t xml:space="preserve">uidelines were developed in close collaboration with the university sector and the Department. This included endorsement of the </w:t>
      </w:r>
      <w:r w:rsidR="007A2756" w:rsidRPr="00BB165A">
        <w:t xml:space="preserve">TCW </w:t>
      </w:r>
      <w:r w:rsidRPr="00BB165A">
        <w:t xml:space="preserve">and </w:t>
      </w:r>
      <w:r w:rsidR="007A2756" w:rsidRPr="00BB165A">
        <w:t>Guidelines</w:t>
      </w:r>
      <w:r w:rsidRPr="00BB165A">
        <w:t xml:space="preserve"> by a Universities Australia (UA) Reference Group (consisting of university representatives, representatives from UA, the Department and Deloitte Access Economics) and a whole-of-sector one-day forum organised by UA to introduce and discuss the exercise with universities. </w:t>
      </w:r>
    </w:p>
    <w:p w14:paraId="1BEE6FBA" w14:textId="688395C0" w:rsidR="00537973" w:rsidRPr="00BB165A" w:rsidRDefault="00537973" w:rsidP="00537973">
      <w:r w:rsidRPr="00BB165A">
        <w:t xml:space="preserve">The approach sought to establish a dataset which, to the greatest extent possible, was: </w:t>
      </w:r>
    </w:p>
    <w:p w14:paraId="254101C5" w14:textId="77777777" w:rsidR="00537973" w:rsidRPr="00BB165A" w:rsidRDefault="00537973" w:rsidP="00046245">
      <w:pPr>
        <w:pStyle w:val="ListBullet"/>
      </w:pPr>
      <w:r w:rsidRPr="00BB165A">
        <w:t>Reliable – such that a suitable level of assurance can be established regarding the underlying data.</w:t>
      </w:r>
    </w:p>
    <w:p w14:paraId="49EDBC2E" w14:textId="77777777" w:rsidR="00537973" w:rsidRPr="00BB165A" w:rsidRDefault="00537973" w:rsidP="00046245">
      <w:pPr>
        <w:pStyle w:val="ListBullet"/>
      </w:pPr>
      <w:r w:rsidRPr="00BB165A">
        <w:t xml:space="preserve">Comparable – across universities, given differences in university context, and over time. </w:t>
      </w:r>
    </w:p>
    <w:p w14:paraId="405913D7" w14:textId="77777777" w:rsidR="00537973" w:rsidRPr="00BB165A" w:rsidRDefault="00537973" w:rsidP="00046245">
      <w:pPr>
        <w:pStyle w:val="ListBullet"/>
      </w:pPr>
      <w:r w:rsidRPr="00BB165A">
        <w:t>Attributable – ensuring costs are captured only to the extent that they are incurred as a result of a defined and in-scope activity.</w:t>
      </w:r>
    </w:p>
    <w:p w14:paraId="345B04DC" w14:textId="77777777" w:rsidR="00537973" w:rsidRPr="00BB165A" w:rsidRDefault="00537973" w:rsidP="00046245">
      <w:pPr>
        <w:pStyle w:val="ListBullet"/>
      </w:pPr>
      <w:r w:rsidRPr="00BB165A">
        <w:t>Actual – in that the economic rather than the accounting measure of cost</w:t>
      </w:r>
      <w:r w:rsidR="00A370E5" w:rsidRPr="00BB165A">
        <w:rPr>
          <w:rStyle w:val="FootnoteReference"/>
        </w:rPr>
        <w:footnoteReference w:id="5"/>
      </w:r>
      <w:r w:rsidRPr="00BB165A">
        <w:t xml:space="preserve"> is of primary interest.</w:t>
      </w:r>
    </w:p>
    <w:p w14:paraId="0F567180" w14:textId="7BA7DF0B" w:rsidR="00896B81" w:rsidRPr="00312215" w:rsidRDefault="00896B81" w:rsidP="00896B81">
      <w:r w:rsidRPr="00BB165A">
        <w:t>Based on these principles and in-depth consultation with the sector, a number of refinements were made to the TCW as part of the 20</w:t>
      </w:r>
      <w:r w:rsidR="009E25ED" w:rsidRPr="00BB165A">
        <w:t>22</w:t>
      </w:r>
      <w:r w:rsidRPr="00BB165A">
        <w:t xml:space="preserve"> exercise to address feedback from universities and the UA Reference Group while keeping the core structure of both unchanged. These included:</w:t>
      </w:r>
      <w:r w:rsidRPr="00312215">
        <w:t xml:space="preserve"> </w:t>
      </w:r>
    </w:p>
    <w:p w14:paraId="22E3299F" w14:textId="0C294D9A" w:rsidR="002F2A17" w:rsidRPr="00BB165A" w:rsidRDefault="00576245" w:rsidP="00046245">
      <w:pPr>
        <w:pStyle w:val="ListBullet"/>
        <w:rPr>
          <w:szCs w:val="18"/>
        </w:rPr>
      </w:pPr>
      <w:r w:rsidRPr="00BB165A">
        <w:rPr>
          <w:szCs w:val="18"/>
        </w:rPr>
        <w:t>Including</w:t>
      </w:r>
      <w:r w:rsidR="00896B81" w:rsidRPr="00BB165A">
        <w:rPr>
          <w:szCs w:val="18"/>
        </w:rPr>
        <w:t xml:space="preserve"> an</w:t>
      </w:r>
      <w:r w:rsidRPr="00BB165A">
        <w:rPr>
          <w:szCs w:val="18"/>
        </w:rPr>
        <w:t xml:space="preserve"> additional</w:t>
      </w:r>
      <w:r w:rsidR="000A496F" w:rsidRPr="00BB165A">
        <w:rPr>
          <w:szCs w:val="18"/>
        </w:rPr>
        <w:t xml:space="preserve"> </w:t>
      </w:r>
      <w:r w:rsidR="00896B81" w:rsidRPr="00BB165A">
        <w:rPr>
          <w:szCs w:val="18"/>
        </w:rPr>
        <w:t>optional</w:t>
      </w:r>
      <w:r w:rsidR="000A496F" w:rsidRPr="00BB165A">
        <w:rPr>
          <w:szCs w:val="18"/>
        </w:rPr>
        <w:t xml:space="preserve"> COVID-19 measure</w:t>
      </w:r>
      <w:r w:rsidR="00B11585">
        <w:rPr>
          <w:szCs w:val="18"/>
        </w:rPr>
        <w:t>s</w:t>
      </w:r>
      <w:r w:rsidR="000A496F" w:rsidRPr="00BB165A">
        <w:rPr>
          <w:szCs w:val="18"/>
        </w:rPr>
        <w:t xml:space="preserve"> adjustment item </w:t>
      </w:r>
      <w:r w:rsidR="00896B81" w:rsidRPr="00BB165A">
        <w:rPr>
          <w:szCs w:val="18"/>
        </w:rPr>
        <w:t>in the TCW to</w:t>
      </w:r>
      <w:r w:rsidR="002F2A17" w:rsidRPr="00BB165A">
        <w:rPr>
          <w:szCs w:val="18"/>
        </w:rPr>
        <w:t xml:space="preserve"> allow for additional analysis of the impact of COVID-19 on teaching and scholarship costs.</w:t>
      </w:r>
      <w:r w:rsidR="0098315E" w:rsidRPr="00BB165A">
        <w:t xml:space="preserve"> </w:t>
      </w:r>
      <w:r w:rsidR="0098315E" w:rsidRPr="00BB165A">
        <w:rPr>
          <w:szCs w:val="18"/>
        </w:rPr>
        <w:t xml:space="preserve">While all actual costs for 2020 </w:t>
      </w:r>
      <w:r w:rsidR="006F44C8">
        <w:rPr>
          <w:szCs w:val="18"/>
        </w:rPr>
        <w:t>were to</w:t>
      </w:r>
      <w:r w:rsidR="006F44C8" w:rsidRPr="00BB165A">
        <w:rPr>
          <w:szCs w:val="18"/>
        </w:rPr>
        <w:t xml:space="preserve"> </w:t>
      </w:r>
      <w:r w:rsidR="0098315E" w:rsidRPr="00BB165A">
        <w:rPr>
          <w:szCs w:val="18"/>
        </w:rPr>
        <w:t xml:space="preserve">continue to be included in the main tab of the worksheet, universities </w:t>
      </w:r>
      <w:r w:rsidR="006F44C8">
        <w:rPr>
          <w:szCs w:val="18"/>
        </w:rPr>
        <w:t>could</w:t>
      </w:r>
      <w:r w:rsidR="006F44C8" w:rsidRPr="00BB165A">
        <w:rPr>
          <w:szCs w:val="18"/>
        </w:rPr>
        <w:t xml:space="preserve"> </w:t>
      </w:r>
      <w:r w:rsidR="0098315E" w:rsidRPr="00BB165A">
        <w:rPr>
          <w:szCs w:val="18"/>
        </w:rPr>
        <w:t>choose to populate this optional tab to address the specific components of costs (or revenue) specifically attributable to COVID-19.</w:t>
      </w:r>
    </w:p>
    <w:p w14:paraId="39521230" w14:textId="6F80BDA1" w:rsidR="00323462" w:rsidRPr="00BB165A" w:rsidRDefault="00323462" w:rsidP="00046245">
      <w:pPr>
        <w:pStyle w:val="ListBullet"/>
        <w:rPr>
          <w:szCs w:val="18"/>
        </w:rPr>
      </w:pPr>
      <w:r w:rsidRPr="00BB165A">
        <w:rPr>
          <w:szCs w:val="18"/>
        </w:rPr>
        <w:t xml:space="preserve">Providing opportunities to qualitatively describe the impact of COVID-19 </w:t>
      </w:r>
      <w:r w:rsidR="006A22B4">
        <w:rPr>
          <w:szCs w:val="18"/>
        </w:rPr>
        <w:t xml:space="preserve">on </w:t>
      </w:r>
      <w:r w:rsidRPr="00BB165A">
        <w:rPr>
          <w:szCs w:val="18"/>
        </w:rPr>
        <w:t xml:space="preserve">teaching and scholarship costs in the supporting statement and through </w:t>
      </w:r>
      <w:r w:rsidR="006F44C8">
        <w:rPr>
          <w:szCs w:val="18"/>
        </w:rPr>
        <w:t xml:space="preserve">the </w:t>
      </w:r>
      <w:r w:rsidRPr="00BB165A">
        <w:rPr>
          <w:szCs w:val="18"/>
        </w:rPr>
        <w:t xml:space="preserve">one-on-one consultations </w:t>
      </w:r>
      <w:r w:rsidR="001B21DE" w:rsidRPr="00BB165A">
        <w:rPr>
          <w:szCs w:val="18"/>
        </w:rPr>
        <w:t>w</w:t>
      </w:r>
      <w:r w:rsidR="001B21DE">
        <w:rPr>
          <w:szCs w:val="18"/>
        </w:rPr>
        <w:t>hich</w:t>
      </w:r>
      <w:r w:rsidR="001B21DE" w:rsidRPr="00BB165A">
        <w:rPr>
          <w:szCs w:val="18"/>
        </w:rPr>
        <w:t xml:space="preserve"> </w:t>
      </w:r>
      <w:r w:rsidR="006F44C8">
        <w:rPr>
          <w:szCs w:val="18"/>
        </w:rPr>
        <w:t xml:space="preserve">occur with each </w:t>
      </w:r>
      <w:r w:rsidR="006F44C8" w:rsidRPr="00BB165A">
        <w:rPr>
          <w:szCs w:val="18"/>
        </w:rPr>
        <w:t>universit</w:t>
      </w:r>
      <w:r w:rsidR="006F44C8">
        <w:rPr>
          <w:szCs w:val="18"/>
        </w:rPr>
        <w:t>y</w:t>
      </w:r>
      <w:r w:rsidRPr="00BB165A">
        <w:rPr>
          <w:szCs w:val="18"/>
        </w:rPr>
        <w:t xml:space="preserve">. </w:t>
      </w:r>
    </w:p>
    <w:p w14:paraId="661FACBD" w14:textId="6832BE9A" w:rsidR="0005408F" w:rsidRDefault="0005408F" w:rsidP="00046245">
      <w:pPr>
        <w:pStyle w:val="ListBullet"/>
        <w:rPr>
          <w:szCs w:val="18"/>
        </w:rPr>
      </w:pPr>
      <w:r w:rsidRPr="00BB165A">
        <w:rPr>
          <w:szCs w:val="18"/>
        </w:rPr>
        <w:t>Including undergraduate certificates as in scope for the 2022 data collection exercise. They are captured as part of the sub-bachelor level of education</w:t>
      </w:r>
      <w:r>
        <w:rPr>
          <w:szCs w:val="18"/>
        </w:rPr>
        <w:t>.</w:t>
      </w:r>
      <w:r w:rsidRPr="00BB165A">
        <w:rPr>
          <w:szCs w:val="18"/>
        </w:rPr>
        <w:t xml:space="preserve"> </w:t>
      </w:r>
    </w:p>
    <w:p w14:paraId="5330E040" w14:textId="13C372B3" w:rsidR="003F638A" w:rsidRPr="0005408F" w:rsidRDefault="00896B81" w:rsidP="00046245">
      <w:pPr>
        <w:pStyle w:val="ListBullet"/>
        <w:rPr>
          <w:szCs w:val="18"/>
        </w:rPr>
      </w:pPr>
      <w:r w:rsidRPr="00BB165A">
        <w:rPr>
          <w:szCs w:val="18"/>
        </w:rPr>
        <w:t xml:space="preserve">Making a number of </w:t>
      </w:r>
      <w:r w:rsidR="0005408F" w:rsidRPr="001A046C">
        <w:rPr>
          <w:szCs w:val="18"/>
        </w:rPr>
        <w:t xml:space="preserve">minor </w:t>
      </w:r>
      <w:r w:rsidRPr="00BB165A">
        <w:rPr>
          <w:szCs w:val="18"/>
        </w:rPr>
        <w:t xml:space="preserve">changes to improve the usability of the TCW, such as </w:t>
      </w:r>
      <w:r w:rsidR="003F638A" w:rsidRPr="00BB165A">
        <w:rPr>
          <w:szCs w:val="18"/>
        </w:rPr>
        <w:t xml:space="preserve">providing greater clarity in the labelling of in-kind costs. </w:t>
      </w:r>
    </w:p>
    <w:p w14:paraId="4647C0AE" w14:textId="4C140196" w:rsidR="00896B81" w:rsidRPr="00691B65" w:rsidRDefault="00896B81" w:rsidP="00896B81">
      <w:r w:rsidRPr="00BB165A">
        <w:t xml:space="preserve">Following these changes, the </w:t>
      </w:r>
      <w:r w:rsidR="009E25ED" w:rsidRPr="00BB165A">
        <w:t xml:space="preserve">2019 and 2020 </w:t>
      </w:r>
      <w:r w:rsidRPr="00BB165A">
        <w:t>TCW was provided to all 3</w:t>
      </w:r>
      <w:r w:rsidR="009E25ED" w:rsidRPr="00BB165A">
        <w:t>7</w:t>
      </w:r>
      <w:r w:rsidRPr="00BB165A">
        <w:t xml:space="preserve"> universities participating in the </w:t>
      </w:r>
      <w:r w:rsidR="009E25ED" w:rsidRPr="00BB165A">
        <w:t>2022</w:t>
      </w:r>
      <w:r w:rsidRPr="00BB165A">
        <w:t xml:space="preserve"> exercise</w:t>
      </w:r>
      <w:r w:rsidRPr="00312215">
        <w:t xml:space="preserve"> </w:t>
      </w:r>
      <w:r w:rsidRPr="00BB165A">
        <w:t xml:space="preserve">on </w:t>
      </w:r>
      <w:r w:rsidR="00B44D9F" w:rsidRPr="00BB165A">
        <w:t>5 August 202</w:t>
      </w:r>
      <w:r w:rsidR="00933245">
        <w:t>1</w:t>
      </w:r>
      <w:r w:rsidRPr="00BB165A">
        <w:t xml:space="preserve"> </w:t>
      </w:r>
      <w:r w:rsidR="00B44D9F" w:rsidRPr="00BB165A">
        <w:t xml:space="preserve">and </w:t>
      </w:r>
      <w:r w:rsidRPr="00BB165A">
        <w:t xml:space="preserve">17 </w:t>
      </w:r>
      <w:r w:rsidR="00B44D9F" w:rsidRPr="00BB165A">
        <w:t>December 202</w:t>
      </w:r>
      <w:r w:rsidR="00D26AF0">
        <w:t>1</w:t>
      </w:r>
      <w:r w:rsidR="001A046C">
        <w:t>,</w:t>
      </w:r>
      <w:r w:rsidR="00B44D9F" w:rsidRPr="00BB165A">
        <w:t xml:space="preserve"> respectively. U</w:t>
      </w:r>
      <w:r w:rsidRPr="00BB165A">
        <w:t xml:space="preserve">niversities were requested to complete the exercise by </w:t>
      </w:r>
      <w:r w:rsidR="001079D2" w:rsidRPr="00BB165A">
        <w:t>18 February 2022</w:t>
      </w:r>
      <w:r w:rsidRPr="00BB165A">
        <w:t>. Following submission of the template, the data was moderated and synthesised by the Deloitte Access Economics team, with follow-up discussions initiated where outliers or other uncertainties were identified.</w:t>
      </w:r>
      <w:r w:rsidRPr="00691B65">
        <w:t xml:space="preserve"> </w:t>
      </w:r>
    </w:p>
    <w:p w14:paraId="64748D95" w14:textId="330BDAC7" w:rsidR="001079D2" w:rsidRDefault="00896B81" w:rsidP="001079D2">
      <w:r w:rsidRPr="00BB165A">
        <w:t>All 3</w:t>
      </w:r>
      <w:r w:rsidR="001079D2" w:rsidRPr="00BB165A">
        <w:t>7</w:t>
      </w:r>
      <w:r w:rsidRPr="00BB165A">
        <w:t xml:space="preserve"> universities participating in the 20</w:t>
      </w:r>
      <w:r w:rsidR="001079D2" w:rsidRPr="00BB165A">
        <w:t xml:space="preserve">22 </w:t>
      </w:r>
      <w:r w:rsidRPr="00BB165A">
        <w:t xml:space="preserve">data collection returned a full dataset. </w:t>
      </w:r>
      <w:r w:rsidR="001079D2" w:rsidRPr="00BB165A">
        <w:t xml:space="preserve">The inclusion of an additional five universities ensures the full population of </w:t>
      </w:r>
      <w:r w:rsidR="00DC5983">
        <w:t xml:space="preserve">Table A </w:t>
      </w:r>
      <w:r w:rsidR="001079D2" w:rsidRPr="00BB165A">
        <w:t>public universities participated in the 2022 exercise.</w:t>
      </w:r>
      <w:r w:rsidR="0040575F">
        <w:rPr>
          <w:rStyle w:val="FootnoteReference"/>
        </w:rPr>
        <w:footnoteReference w:id="6"/>
      </w:r>
      <w:r w:rsidRPr="00BB165A">
        <w:t xml:space="preserve"> </w:t>
      </w:r>
      <w:r w:rsidR="001079D2" w:rsidRPr="00BB165A">
        <w:t>As such, the 2022 study now includes full coverage of the following university characteristics:</w:t>
      </w:r>
    </w:p>
    <w:p w14:paraId="66686DC9" w14:textId="57225C4F" w:rsidR="001079D2" w:rsidRPr="00BB165A" w:rsidRDefault="001079D2" w:rsidP="00420C56">
      <w:pPr>
        <w:pStyle w:val="ListBullet"/>
      </w:pPr>
      <w:r w:rsidRPr="00BB165A">
        <w:t xml:space="preserve">Dual sector universities </w:t>
      </w:r>
    </w:p>
    <w:p w14:paraId="4F489DFF" w14:textId="0A6D1CCE" w:rsidR="001079D2" w:rsidRPr="00BB165A" w:rsidRDefault="001079D2" w:rsidP="00420C56">
      <w:pPr>
        <w:pStyle w:val="ListBullet"/>
      </w:pPr>
      <w:r w:rsidRPr="00BB165A">
        <w:t xml:space="preserve">Regional and Regional Universities Network affiliated universities </w:t>
      </w:r>
    </w:p>
    <w:p w14:paraId="2FE221A5" w14:textId="15F7F1D2" w:rsidR="001079D2" w:rsidRPr="00BB165A" w:rsidRDefault="001079D2" w:rsidP="00420C56">
      <w:pPr>
        <w:pStyle w:val="ListBullet"/>
      </w:pPr>
      <w:r w:rsidRPr="00BB165A">
        <w:t xml:space="preserve">Smaller universities (fewer than 15,000 domestic enrolments) </w:t>
      </w:r>
    </w:p>
    <w:p w14:paraId="3302537A" w14:textId="241A09E9" w:rsidR="001079D2" w:rsidRPr="00BB165A" w:rsidRDefault="001079D2" w:rsidP="00420C56">
      <w:pPr>
        <w:pStyle w:val="ListBullet"/>
      </w:pPr>
      <w:r w:rsidRPr="00BB165A">
        <w:t>Universities from all Australian states and territories.</w:t>
      </w:r>
    </w:p>
    <w:p w14:paraId="260F220D" w14:textId="0F4F8202" w:rsidR="002B4AD1" w:rsidRDefault="00896B81" w:rsidP="00896B81">
      <w:r w:rsidRPr="00BB165A">
        <w:t>During the data collection window, Deloitte Access Economics consulted with participating universities to discuss the costing approaches taken</w:t>
      </w:r>
      <w:r w:rsidR="006B31F0" w:rsidRPr="00BB165A">
        <w:t>,</w:t>
      </w:r>
      <w:r w:rsidRPr="00BB165A">
        <w:t xml:space="preserve"> and to ensure that the TCW was completed appropriately and as consistently as possible across institutions. Universities were also able to provide a Supporting Statement alongside the collection template, outlining the methodology applied, any unique contextual considerations and relevant concerns. This process of consultation, as </w:t>
      </w:r>
      <w:r w:rsidR="00147A56">
        <w:t>with prior years,</w:t>
      </w:r>
      <w:r w:rsidRPr="00BB165A">
        <w:t xml:space="preserve"> reflected both the complexity and diversity of costing approaches and organisational practices across the sector</w:t>
      </w:r>
      <w:r w:rsidR="002B4AD1" w:rsidRPr="00BB165A">
        <w:t xml:space="preserve"> and helped ensure the collection of a high quality dataset</w:t>
      </w:r>
      <w:r w:rsidRPr="00BB165A">
        <w:t xml:space="preserve">. </w:t>
      </w:r>
      <w:r w:rsidR="00A85F49">
        <w:t>Notably</w:t>
      </w:r>
      <w:r w:rsidR="002B4AD1" w:rsidRPr="00BB165A">
        <w:t>, it was clear that a number of universities had made</w:t>
      </w:r>
      <w:r w:rsidR="00A85F49">
        <w:t xml:space="preserve"> further </w:t>
      </w:r>
      <w:r w:rsidR="002B4AD1" w:rsidRPr="00BB165A">
        <w:t xml:space="preserve">investments to improve the quality of data and cost allocation methodologies relative to those used in previous </w:t>
      </w:r>
      <w:r w:rsidR="00557F0C">
        <w:t>years</w:t>
      </w:r>
      <w:r w:rsidR="002B4AD1" w:rsidRPr="00BB165A">
        <w:t>.</w:t>
      </w:r>
      <w:r w:rsidR="002B4AD1">
        <w:t xml:space="preserve"> </w:t>
      </w:r>
    </w:p>
    <w:p w14:paraId="2D9A2105" w14:textId="77777777" w:rsidR="00896B81" w:rsidRPr="00691B65" w:rsidRDefault="00896B81" w:rsidP="00896B81">
      <w:r w:rsidRPr="00691B65">
        <w:t>Key findings from this process were that:</w:t>
      </w:r>
    </w:p>
    <w:p w14:paraId="0CF17D8F" w14:textId="783B4B0F" w:rsidR="00896B81" w:rsidRPr="00BB165A" w:rsidRDefault="00896B81" w:rsidP="007B09DB">
      <w:pPr>
        <w:pStyle w:val="ListParagraph"/>
        <w:numPr>
          <w:ilvl w:val="0"/>
          <w:numId w:val="18"/>
        </w:numPr>
        <w:spacing w:after="60"/>
        <w:ind w:left="357" w:hanging="357"/>
        <w:contextualSpacing w:val="0"/>
      </w:pPr>
      <w:r w:rsidRPr="00BB165A">
        <w:t>Universities varied in the sophistication of their cost data collection and reporting abilities.</w:t>
      </w:r>
      <w:r w:rsidR="00E771A9" w:rsidRPr="00BB165A">
        <w:t xml:space="preserve"> </w:t>
      </w:r>
      <w:r w:rsidR="00596663">
        <w:t xml:space="preserve">A total of </w:t>
      </w:r>
      <w:r w:rsidR="00537763">
        <w:t>23</w:t>
      </w:r>
      <w:r w:rsidR="00943738">
        <w:t xml:space="preserve"> </w:t>
      </w:r>
      <w:r w:rsidR="00537763">
        <w:t>out of 37</w:t>
      </w:r>
      <w:r w:rsidR="00943738">
        <w:t xml:space="preserve"> </w:t>
      </w:r>
      <w:r w:rsidR="00E771A9" w:rsidRPr="00BB165A">
        <w:t xml:space="preserve">universities participating </w:t>
      </w:r>
      <w:r w:rsidR="00363D80">
        <w:t xml:space="preserve">in </w:t>
      </w:r>
      <w:r w:rsidR="00F4742B">
        <w:t xml:space="preserve">the </w:t>
      </w:r>
      <w:r w:rsidR="008C2413">
        <w:t xml:space="preserve">2022 data </w:t>
      </w:r>
      <w:r w:rsidR="00B9560C">
        <w:t>collection</w:t>
      </w:r>
      <w:r w:rsidRPr="00BB165A">
        <w:t xml:space="preserve"> utilise</w:t>
      </w:r>
      <w:r w:rsidR="006A32B9">
        <w:t>d</w:t>
      </w:r>
      <w:r w:rsidRPr="00BB165A">
        <w:t xml:space="preserve"> activity-based costing (ABC) models and software platforms, or have developed their own cost allocation models which are able to report costs at a unit of study level. Others rel</w:t>
      </w:r>
      <w:r w:rsidR="00BD0F60">
        <w:t>ied</w:t>
      </w:r>
      <w:r w:rsidRPr="00BB165A">
        <w:t xml:space="preserve"> on more aggregated financial information, which is then allocated to more granular activities and functions. Despite these differences, similar assumptions and drivers tended to be applied in allocating costs across fields of education. </w:t>
      </w:r>
    </w:p>
    <w:p w14:paraId="276A8807" w14:textId="538BC45B" w:rsidR="00896B81" w:rsidRPr="00BB165A" w:rsidRDefault="00896B81" w:rsidP="007B09DB">
      <w:pPr>
        <w:pStyle w:val="ListParagraph"/>
        <w:numPr>
          <w:ilvl w:val="0"/>
          <w:numId w:val="18"/>
        </w:numPr>
        <w:spacing w:after="60"/>
        <w:ind w:left="357" w:hanging="357"/>
        <w:contextualSpacing w:val="0"/>
      </w:pPr>
      <w:r w:rsidRPr="00BB165A">
        <w:t>There continue</w:t>
      </w:r>
      <w:r w:rsidR="006A32B9">
        <w:t>s</w:t>
      </w:r>
      <w:r w:rsidRPr="00BB165A">
        <w:t xml:space="preserve"> to be challenges for many universities in separating the costs of teaching and scholarship from research activities. This is because resources are often shared between different activities and collecting data on how those resources are shared poses practical difficulties. This is particularly the case for staff time, although the use of regular staff time surveys can help provide a more accurate measure.</w:t>
      </w:r>
    </w:p>
    <w:p w14:paraId="3CF14D69" w14:textId="7813145A" w:rsidR="00896B81" w:rsidRPr="00BB165A" w:rsidRDefault="00896B81" w:rsidP="007B09DB">
      <w:pPr>
        <w:pStyle w:val="ListParagraph"/>
        <w:numPr>
          <w:ilvl w:val="0"/>
          <w:numId w:val="18"/>
        </w:numPr>
        <w:spacing w:after="60"/>
        <w:ind w:left="357" w:hanging="357"/>
        <w:contextualSpacing w:val="0"/>
      </w:pPr>
      <w:r w:rsidRPr="00BB165A">
        <w:t xml:space="preserve">The reporting of data based on fields of education has not traditionally been commonplace for universities and does not reflect universities’ underlying operating structures, which are organised around faculties and schools. While universities have relatively refined data on, for example, teaching costs at the faculty or school level, mapping this to individual fields of education often requires several additional methodological steps. </w:t>
      </w:r>
    </w:p>
    <w:p w14:paraId="103378F5" w14:textId="3008A99A" w:rsidR="00896B81" w:rsidRPr="00BB165A" w:rsidRDefault="00896B81" w:rsidP="007B09DB">
      <w:pPr>
        <w:pStyle w:val="ListParagraph"/>
        <w:numPr>
          <w:ilvl w:val="0"/>
          <w:numId w:val="18"/>
        </w:numPr>
        <w:spacing w:after="60"/>
        <w:ind w:left="357" w:hanging="357"/>
        <w:contextualSpacing w:val="0"/>
      </w:pPr>
      <w:r w:rsidRPr="00BB165A">
        <w:t>The separation of costs between different levels of study within a</w:t>
      </w:r>
      <w:r w:rsidR="000E6594">
        <w:t>n</w:t>
      </w:r>
      <w:r w:rsidRPr="00BB165A">
        <w:t xml:space="preserve"> </w:t>
      </w:r>
      <w:r w:rsidR="00B70C2F">
        <w:t>FOE</w:t>
      </w:r>
      <w:r w:rsidRPr="00BB165A">
        <w:t xml:space="preserve"> was challenging for a number of universities, particularly those whose cost allocation models do not report costs at the unit of study level. In these cases, costs were allocated across levels proportionally using EFTSL numbers, such that each level had the same average unit cost. </w:t>
      </w:r>
    </w:p>
    <w:p w14:paraId="140640E2" w14:textId="2A658233" w:rsidR="00896B81" w:rsidRPr="00BB165A" w:rsidRDefault="00896B81" w:rsidP="007B09DB">
      <w:pPr>
        <w:pStyle w:val="ListParagraph"/>
        <w:numPr>
          <w:ilvl w:val="0"/>
          <w:numId w:val="18"/>
        </w:numPr>
        <w:spacing w:after="60"/>
        <w:contextualSpacing w:val="0"/>
      </w:pPr>
      <w:r w:rsidRPr="00BB165A">
        <w:t>In instances of low EFTSL delivery within a</w:t>
      </w:r>
      <w:r w:rsidR="00190A34">
        <w:t>n</w:t>
      </w:r>
      <w:r w:rsidRPr="00BB165A">
        <w:t xml:space="preserve"> </w:t>
      </w:r>
      <w:r w:rsidR="00B70C2F">
        <w:t>FOE</w:t>
      </w:r>
      <w:r w:rsidRPr="00BB165A">
        <w:t>, results can be highly sensitive to minor changes in costing methodology</w:t>
      </w:r>
      <w:r w:rsidR="00DE515D" w:rsidRPr="00BB165A">
        <w:t>.</w:t>
      </w:r>
      <w:r w:rsidRPr="00BB165A">
        <w:t xml:space="preserve"> For this reason, field and level cost observations with a student load of less than five EFTSL were omitted from the reporting.</w:t>
      </w:r>
      <w:r w:rsidRPr="00BB165A">
        <w:rPr>
          <w:rStyle w:val="FootnoteReference"/>
        </w:rPr>
        <w:footnoteReference w:id="7"/>
      </w:r>
      <w:r w:rsidRPr="00BB165A">
        <w:t xml:space="preserve"> This was most commonly observed at the sub-bachelor level. </w:t>
      </w:r>
    </w:p>
    <w:p w14:paraId="74529E89" w14:textId="77777777" w:rsidR="001F14A2" w:rsidRDefault="001F14A2" w:rsidP="00537973">
      <w:pPr>
        <w:spacing w:before="240"/>
      </w:pPr>
    </w:p>
    <w:p w14:paraId="4EF3CAE8" w14:textId="52FCB52D" w:rsidR="00537973" w:rsidRPr="00BB165A" w:rsidRDefault="00537973" w:rsidP="00537973">
      <w:pPr>
        <w:spacing w:before="240"/>
      </w:pPr>
      <w:r>
        <w:t>The data collection and statistical methods applied in this study were specifically designed to mitigate these limitations wherever possible – noting that in most cases the</w:t>
      </w:r>
      <w:r w:rsidR="00A3290D">
        <w:t>s</w:t>
      </w:r>
      <w:r w:rsidR="00DD7007">
        <w:t>e</w:t>
      </w:r>
      <w:r>
        <w:t xml:space="preserve"> were limitations that had been encountered in a similar form in </w:t>
      </w:r>
      <w:r w:rsidR="004258A3">
        <w:t xml:space="preserve">previous years. The provision of detailed </w:t>
      </w:r>
      <w:r w:rsidR="007A2756">
        <w:t>Guidelines</w:t>
      </w:r>
      <w:r w:rsidR="004258A3">
        <w:t xml:space="preserve"> alongside consultation with universities and </w:t>
      </w:r>
      <w:r w:rsidR="00127E0D">
        <w:t xml:space="preserve">a subsequent data validation process </w:t>
      </w:r>
      <w:r w:rsidR="001F14A2">
        <w:t xml:space="preserve">are </w:t>
      </w:r>
      <w:r w:rsidR="004258A3">
        <w:t>used to ensure that</w:t>
      </w:r>
      <w:r w:rsidR="001F14A2">
        <w:t>,</w:t>
      </w:r>
      <w:r w:rsidR="004258A3">
        <w:t xml:space="preserve"> to the greatest extent possible</w:t>
      </w:r>
      <w:r w:rsidR="001F14A2">
        <w:t>,</w:t>
      </w:r>
      <w:r w:rsidR="004258A3">
        <w:t xml:space="preserve"> the results were comparable over time and reliable. </w:t>
      </w:r>
    </w:p>
    <w:p w14:paraId="79BC17F2" w14:textId="21E7AFF7" w:rsidR="00537973" w:rsidRPr="00691B65" w:rsidRDefault="00127E0D" w:rsidP="00537973">
      <w:r w:rsidRPr="00BB165A">
        <w:t>T</w:t>
      </w:r>
      <w:r w:rsidR="00537973" w:rsidRPr="00BB165A">
        <w:t xml:space="preserve">he results of this study seek to capture the actual costs of teaching and scholarship for Australian public universities in </w:t>
      </w:r>
      <w:r w:rsidR="00420C56" w:rsidRPr="00BB165A">
        <w:t xml:space="preserve">the </w:t>
      </w:r>
      <w:r w:rsidR="00537973" w:rsidRPr="00BB165A">
        <w:t>20</w:t>
      </w:r>
      <w:r w:rsidR="00420C56" w:rsidRPr="00BB165A">
        <w:t>19 and 2020 calendar years</w:t>
      </w:r>
      <w:r w:rsidR="00537973" w:rsidRPr="00BB165A">
        <w:t>. They do not seek to capture the costs of teaching and scholarship required to meet specific quality benchmarks or to assess the relative efficiency of universities in delivering teaching and scholarship. These are nonetheless important policy questions – which were raised by a number of universities throughout consultations with the sector – that could be explored in future work</w:t>
      </w:r>
      <w:r w:rsidR="00EF069D">
        <w:t xml:space="preserve"> based on the data presented here</w:t>
      </w:r>
      <w:r w:rsidR="00537973" w:rsidRPr="00BB165A">
        <w:t>.</w:t>
      </w:r>
      <w:r w:rsidR="00537973" w:rsidRPr="00691B65">
        <w:t xml:space="preserve"> </w:t>
      </w:r>
    </w:p>
    <w:p w14:paraId="3FEF8DCF" w14:textId="375322EE" w:rsidR="00537973" w:rsidRPr="00691B65" w:rsidRDefault="00537973" w:rsidP="00537973">
      <w:pPr>
        <w:pStyle w:val="Heading2"/>
        <w:numPr>
          <w:ilvl w:val="0"/>
          <w:numId w:val="0"/>
        </w:numPr>
      </w:pPr>
      <w:bookmarkStart w:id="92" w:name="_Toc20245997"/>
      <w:bookmarkStart w:id="93" w:name="_Toc105776175"/>
      <w:r w:rsidRPr="00691B65">
        <w:t>The cost of teaching and scholarship in higher education</w:t>
      </w:r>
      <w:bookmarkEnd w:id="92"/>
      <w:bookmarkEnd w:id="93"/>
    </w:p>
    <w:p w14:paraId="64201171" w14:textId="3551AA86" w:rsidR="00537973" w:rsidRPr="00691B65" w:rsidRDefault="00537973" w:rsidP="00416131">
      <w:pPr>
        <w:spacing w:before="120"/>
      </w:pPr>
      <w:r w:rsidRPr="00BB165A">
        <w:t xml:space="preserve">Across all </w:t>
      </w:r>
      <w:r w:rsidR="007D1000" w:rsidRPr="00BB165A">
        <w:t>FOEs</w:t>
      </w:r>
      <w:r w:rsidRPr="00BB165A">
        <w:t xml:space="preserve">, the average cost of bachelor teaching per EFTSL </w:t>
      </w:r>
      <w:r w:rsidR="00877004">
        <w:t>for</w:t>
      </w:r>
      <w:r w:rsidRPr="00BB165A">
        <w:t xml:space="preserve"> the </w:t>
      </w:r>
      <w:r w:rsidR="00D85E53" w:rsidRPr="00BB165A">
        <w:t>3</w:t>
      </w:r>
      <w:r w:rsidR="00EE4059" w:rsidRPr="00BB165A">
        <w:t>7</w:t>
      </w:r>
      <w:r w:rsidR="00D85E53" w:rsidRPr="00BB165A">
        <w:t xml:space="preserve"> </w:t>
      </w:r>
      <w:r w:rsidRPr="00BB165A">
        <w:t>universities sampled as part of this study was $17,</w:t>
      </w:r>
      <w:r w:rsidR="00FC1E59" w:rsidRPr="00BB165A">
        <w:t>900</w:t>
      </w:r>
      <w:r w:rsidR="006439A8" w:rsidRPr="00BB165A">
        <w:t xml:space="preserve"> </w:t>
      </w:r>
      <w:r w:rsidRPr="00BB165A">
        <w:t xml:space="preserve">in </w:t>
      </w:r>
      <w:r w:rsidR="00704B1E" w:rsidRPr="00BB165A">
        <w:t>20</w:t>
      </w:r>
      <w:r w:rsidR="00EE4059" w:rsidRPr="00BB165A">
        <w:t>19</w:t>
      </w:r>
      <w:r w:rsidRPr="00BB165A">
        <w:t xml:space="preserve">. </w:t>
      </w:r>
      <w:r w:rsidR="00547EB3" w:rsidRPr="00BB165A">
        <w:fldChar w:fldCharType="begin"/>
      </w:r>
      <w:r w:rsidR="00547EB3" w:rsidRPr="00BB165A">
        <w:instrText xml:space="preserve"> REF _Ref534722494 \r \h </w:instrText>
      </w:r>
      <w:r w:rsidR="008B3BBC" w:rsidRPr="00BB165A">
        <w:instrText xml:space="preserve"> \* MERGEFORMAT </w:instrText>
      </w:r>
      <w:r w:rsidR="00547EB3" w:rsidRPr="00BB165A">
        <w:fldChar w:fldCharType="separate"/>
      </w:r>
      <w:r w:rsidR="00E83FB1">
        <w:t>Chart i</w:t>
      </w:r>
      <w:r w:rsidR="00547EB3" w:rsidRPr="00BB165A">
        <w:fldChar w:fldCharType="end"/>
      </w:r>
      <w:r w:rsidRPr="00BB165A">
        <w:t xml:space="preserve"> below shows the distribution of the estimated average cost per EFTSL, which ranged from $</w:t>
      </w:r>
      <w:r w:rsidR="000222E6" w:rsidRPr="00BB165A">
        <w:t>12,8</w:t>
      </w:r>
      <w:r w:rsidR="00F16FD1">
        <w:t>00</w:t>
      </w:r>
      <w:r w:rsidRPr="00BB165A">
        <w:t xml:space="preserve"> (2</w:t>
      </w:r>
      <w:r w:rsidR="00F65303">
        <w:t>8</w:t>
      </w:r>
      <w:r w:rsidRPr="00BB165A">
        <w:t>% below average) to $</w:t>
      </w:r>
      <w:r w:rsidR="000222E6" w:rsidRPr="00BB165A">
        <w:t>24,</w:t>
      </w:r>
      <w:r w:rsidR="00A415BB">
        <w:t>400</w:t>
      </w:r>
      <w:r w:rsidRPr="00BB165A">
        <w:t xml:space="preserve"> (3</w:t>
      </w:r>
      <w:r w:rsidR="000222E6" w:rsidRPr="00BB165A">
        <w:t>6</w:t>
      </w:r>
      <w:r w:rsidRPr="00BB165A">
        <w:t>% above average).</w:t>
      </w:r>
      <w:r w:rsidRPr="00691B65">
        <w:t xml:space="preserve"> </w:t>
      </w:r>
      <w:r w:rsidR="00C205CB" w:rsidRPr="00BB165A">
        <w:t>The variation in average costs reflects a range of contextual factors (such as differences arising from geography, scale, student mix, subject focus, and research intensity),</w:t>
      </w:r>
      <w:r w:rsidR="00C205CB" w:rsidRPr="00BB165A">
        <w:rPr>
          <w:rStyle w:val="FootnoteReference"/>
        </w:rPr>
        <w:footnoteReference w:id="8"/>
      </w:r>
      <w:r w:rsidR="00C205CB" w:rsidRPr="00BB165A">
        <w:t xml:space="preserve"> as well as differences in strategic focus across institutions.</w:t>
      </w:r>
      <w:r w:rsidR="00C205CB" w:rsidRPr="00691B65">
        <w:t xml:space="preserve"> </w:t>
      </w:r>
    </w:p>
    <w:p w14:paraId="30754FA4" w14:textId="12D59F80" w:rsidR="000222E6" w:rsidRPr="00691B65" w:rsidRDefault="000222E6" w:rsidP="00537973">
      <w:r w:rsidRPr="00BB165A">
        <w:t xml:space="preserve">The average unit cost </w:t>
      </w:r>
      <w:r w:rsidR="00C205CB" w:rsidRPr="00BB165A">
        <w:t xml:space="preserve">of bachelor teaching per EFTSL </w:t>
      </w:r>
      <w:r w:rsidRPr="00BB165A">
        <w:t>grew 0.</w:t>
      </w:r>
      <w:r w:rsidR="005E4F6E">
        <w:t>4</w:t>
      </w:r>
      <w:r w:rsidRPr="00BB165A">
        <w:t>% in 2020. There was a slightly wider range of average unit costs across the sector in 2020, from $1</w:t>
      </w:r>
      <w:r w:rsidR="00C205CB" w:rsidRPr="00BB165A">
        <w:t>2,</w:t>
      </w:r>
      <w:r w:rsidR="00A415BB">
        <w:t>800</w:t>
      </w:r>
      <w:r w:rsidRPr="00BB165A">
        <w:t xml:space="preserve"> (2</w:t>
      </w:r>
      <w:r w:rsidR="00333D06">
        <w:t>8</w:t>
      </w:r>
      <w:r w:rsidRPr="00BB165A">
        <w:t>% below average) to $25,</w:t>
      </w:r>
      <w:r w:rsidR="00A415BB">
        <w:t>700</w:t>
      </w:r>
      <w:r w:rsidRPr="00BB165A">
        <w:t xml:space="preserve"> (</w:t>
      </w:r>
      <w:r w:rsidR="00C205CB" w:rsidRPr="00BB165A">
        <w:t>43</w:t>
      </w:r>
      <w:r w:rsidRPr="00BB165A">
        <w:t xml:space="preserve">% above average). This may reflect the impact of different university responses to COVID-19 and the subsequent </w:t>
      </w:r>
      <w:r w:rsidR="00D37875">
        <w:t>impacts</w:t>
      </w:r>
      <w:r w:rsidR="00D37875" w:rsidRPr="00BB165A">
        <w:t xml:space="preserve"> </w:t>
      </w:r>
      <w:r w:rsidRPr="00BB165A">
        <w:t>on the cost of teaching and scholarship.</w:t>
      </w:r>
      <w:r w:rsidRPr="000222E6">
        <w:t xml:space="preserve"> </w:t>
      </w:r>
    </w:p>
    <w:p w14:paraId="3D4A14B0" w14:textId="77777777" w:rsidR="00537973" w:rsidRPr="00691B65" w:rsidRDefault="00537973" w:rsidP="00537973">
      <w:pPr>
        <w:pStyle w:val="ExecChartCaption"/>
      </w:pPr>
      <w:bookmarkStart w:id="94" w:name="_Ref534722494"/>
      <w:bookmarkStart w:id="95" w:name="_Toc20245939"/>
      <w:bookmarkStart w:id="96" w:name="_Toc105776335"/>
      <w:r w:rsidRPr="00691B65">
        <w:t>: Average bachelor unit costs per EFTSL by university</w:t>
      </w:r>
      <w:bookmarkEnd w:id="94"/>
      <w:bookmarkEnd w:id="95"/>
      <w:bookmarkEnd w:id="96"/>
      <w:r w:rsidRPr="00691B65">
        <w:t xml:space="preserve"> </w:t>
      </w:r>
    </w:p>
    <w:p w14:paraId="2B5083E7" w14:textId="38341C48" w:rsidR="009F09A3" w:rsidRPr="00691B65" w:rsidRDefault="009F09A3" w:rsidP="000A6D7D">
      <w:r>
        <w:rPr>
          <w:noProof/>
        </w:rPr>
        <w:drawing>
          <wp:inline distT="0" distB="0" distL="0" distR="0" wp14:anchorId="422DC3C8" wp14:editId="32E31933">
            <wp:extent cx="4737652" cy="2874065"/>
            <wp:effectExtent l="0" t="0" r="6350" b="2540"/>
            <wp:docPr id="18" name="Chart 18" descr="Chart shows the Average bachelor unit costs per EFTSL by university, unidentified. 37 universities are reported as columns for both 2019 and 2020. Average for all universities is also shown as a line for 2019 and 2020.">
              <a:extLst xmlns:a="http://schemas.openxmlformats.org/drawingml/2006/main">
                <a:ext uri="{FF2B5EF4-FFF2-40B4-BE49-F238E27FC236}">
                  <a16:creationId xmlns:a16="http://schemas.microsoft.com/office/drawing/2014/main" id="{00000000-0008-0000-2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29EC63" w14:textId="2574EC10" w:rsidR="00537973" w:rsidRPr="00691B65" w:rsidRDefault="00537973" w:rsidP="00537973">
      <w:r w:rsidRPr="00BB165A">
        <w:t xml:space="preserve">By </w:t>
      </w:r>
      <w:r w:rsidR="00B70C2F">
        <w:t>FOE</w:t>
      </w:r>
      <w:r w:rsidRPr="00BB165A">
        <w:t>, average costs at the bachelor level range</w:t>
      </w:r>
      <w:r w:rsidR="0064658A">
        <w:t>d</w:t>
      </w:r>
      <w:r w:rsidRPr="00BB165A">
        <w:t xml:space="preserve"> from $</w:t>
      </w:r>
      <w:r w:rsidR="007929E7" w:rsidRPr="00BB165A">
        <w:t>14,</w:t>
      </w:r>
      <w:r w:rsidR="00902405">
        <w:t>5</w:t>
      </w:r>
      <w:r w:rsidR="00A415BB">
        <w:t>00</w:t>
      </w:r>
      <w:r w:rsidR="009D6934" w:rsidRPr="00BB165A">
        <w:t xml:space="preserve"> </w:t>
      </w:r>
      <w:r w:rsidRPr="00BB165A">
        <w:t xml:space="preserve">per EFTSL in </w:t>
      </w:r>
      <w:r w:rsidR="00902405">
        <w:t xml:space="preserve">Mixed Field Programmes </w:t>
      </w:r>
      <w:r w:rsidRPr="00BB165A">
        <w:t>to $</w:t>
      </w:r>
      <w:r w:rsidR="00F54639" w:rsidRPr="00BB165A">
        <w:t>47,</w:t>
      </w:r>
      <w:r w:rsidR="00A415BB">
        <w:t>600</w:t>
      </w:r>
      <w:r w:rsidR="00F54639" w:rsidRPr="00BB165A">
        <w:t xml:space="preserve"> </w:t>
      </w:r>
      <w:r w:rsidRPr="00BB165A">
        <w:t xml:space="preserve">in Veterinary Studies </w:t>
      </w:r>
      <w:r w:rsidR="00FA35A0" w:rsidRPr="00BB165A">
        <w:t>in 2019. In 2020, average costs at the bachelor level range</w:t>
      </w:r>
      <w:r w:rsidR="0064658A">
        <w:t>d</w:t>
      </w:r>
      <w:r w:rsidR="00FA35A0" w:rsidRPr="00BB165A">
        <w:t xml:space="preserve"> from $</w:t>
      </w:r>
      <w:r w:rsidR="00160C6C">
        <w:t>13,400</w:t>
      </w:r>
      <w:r w:rsidR="00FA35A0" w:rsidRPr="00BB165A">
        <w:t xml:space="preserve"> per EFTSL in </w:t>
      </w:r>
      <w:r w:rsidR="00B961B5">
        <w:t>Food, Hospitality and Personal Services</w:t>
      </w:r>
      <w:r w:rsidR="00FA35A0" w:rsidRPr="00BB165A">
        <w:t xml:space="preserve"> to $46,</w:t>
      </w:r>
      <w:r w:rsidR="00A415BB">
        <w:t>500</w:t>
      </w:r>
      <w:r w:rsidR="00FA35A0" w:rsidRPr="00BB165A">
        <w:t xml:space="preserve"> in Veterinary Studies.</w:t>
      </w:r>
      <w:r w:rsidR="003F4CEA">
        <w:t xml:space="preserve"> </w:t>
      </w:r>
      <w:r w:rsidR="00127E0D" w:rsidRPr="00BB165A">
        <w:t xml:space="preserve">Two </w:t>
      </w:r>
      <w:r w:rsidRPr="00BB165A">
        <w:t>other health science fields – Dental Studies and Medical Studies– along with Other Agriculture and Environmental Studies are the next most costly, on average, at the bachelor level</w:t>
      </w:r>
      <w:r w:rsidR="003F4CEA" w:rsidRPr="00BB165A">
        <w:t xml:space="preserve"> in both 2019 and 2020</w:t>
      </w:r>
      <w:r w:rsidRPr="00BB165A">
        <w:t xml:space="preserve">. </w:t>
      </w:r>
      <w:r w:rsidR="00363CA7">
        <w:t>Eleven</w:t>
      </w:r>
      <w:r w:rsidR="005E537B" w:rsidRPr="00BB165A">
        <w:t xml:space="preserve"> </w:t>
      </w:r>
      <w:r w:rsidRPr="00BB165A">
        <w:t xml:space="preserve">fields </w:t>
      </w:r>
      <w:r w:rsidR="00C04C9C" w:rsidRPr="00BB165A">
        <w:t xml:space="preserve">in 2019 and </w:t>
      </w:r>
      <w:r w:rsidR="00D85546">
        <w:t>eight</w:t>
      </w:r>
      <w:r w:rsidR="00D85546">
        <w:rPr>
          <w:rStyle w:val="CommentReference"/>
        </w:rPr>
        <w:t xml:space="preserve"> </w:t>
      </w:r>
      <w:r w:rsidR="00C04C9C">
        <w:rPr>
          <w:rStyle w:val="CommentReference"/>
        </w:rPr>
        <w:t>f</w:t>
      </w:r>
      <w:r w:rsidR="00C04C9C" w:rsidRPr="00BB165A">
        <w:t>ields in 2020</w:t>
      </w:r>
      <w:r w:rsidRPr="00BB165A">
        <w:t xml:space="preserve"> exhibit average costs per EFTSL at the bachelor level between $14,000 and $18,000 while a further </w:t>
      </w:r>
      <w:r w:rsidR="002213E3">
        <w:t>six</w:t>
      </w:r>
      <w:r w:rsidR="002213E3">
        <w:rPr>
          <w:rStyle w:val="CommentReference"/>
        </w:rPr>
        <w:t xml:space="preserve"> </w:t>
      </w:r>
      <w:r w:rsidRPr="00F21F8C">
        <w:rPr>
          <w:rStyle w:val="CommentReference"/>
          <w:sz w:val="18"/>
          <w:szCs w:val="18"/>
        </w:rPr>
        <w:t>e</w:t>
      </w:r>
      <w:r w:rsidRPr="00F21F8C">
        <w:t>xhibit</w:t>
      </w:r>
      <w:r w:rsidRPr="00BB165A">
        <w:t xml:space="preserve"> average costs between $19,000 and $2</w:t>
      </w:r>
      <w:r w:rsidR="00363CA7">
        <w:t>7</w:t>
      </w:r>
      <w:r w:rsidRPr="00BB165A">
        <w:t>,000</w:t>
      </w:r>
      <w:r w:rsidR="00C04C9C" w:rsidRPr="00BB165A">
        <w:t xml:space="preserve"> in </w:t>
      </w:r>
      <w:r w:rsidR="002213E3">
        <w:t xml:space="preserve">both </w:t>
      </w:r>
      <w:r w:rsidR="00C04C9C" w:rsidRPr="00BB165A">
        <w:t>2019 and 2020</w:t>
      </w:r>
      <w:r w:rsidRPr="00BB165A">
        <w:t>.</w:t>
      </w:r>
      <w:r w:rsidRPr="00691B65">
        <w:t xml:space="preserve"> </w:t>
      </w:r>
    </w:p>
    <w:p w14:paraId="4030E73B" w14:textId="77777777" w:rsidR="00C77F4B" w:rsidRDefault="00C77F4B" w:rsidP="00C77F4B">
      <w:bookmarkStart w:id="97" w:name="_Ref534722534"/>
      <w:bookmarkStart w:id="98" w:name="_Toc20245941"/>
    </w:p>
    <w:p w14:paraId="12B09928" w14:textId="04B8CA2E" w:rsidR="00C77F4B" w:rsidRPr="00C77F4B" w:rsidRDefault="00C77F4B" w:rsidP="00C77F4B">
      <w:pPr>
        <w:sectPr w:rsidR="00C77F4B" w:rsidRPr="00C77F4B" w:rsidSect="00201BEB">
          <w:headerReference w:type="default" r:id="rId22"/>
          <w:footerReference w:type="default" r:id="rId23"/>
          <w:pgSz w:w="11906" w:h="16838" w:code="9"/>
          <w:pgMar w:top="1985" w:right="1416" w:bottom="1134" w:left="1418" w:header="680" w:footer="425" w:gutter="0"/>
          <w:pgNumType w:fmt="lowerRoman"/>
          <w:cols w:space="284"/>
          <w:docGrid w:linePitch="360"/>
        </w:sectPr>
      </w:pPr>
    </w:p>
    <w:p w14:paraId="2C8D73C8" w14:textId="2F78A31A" w:rsidR="00537973" w:rsidRPr="00691B65" w:rsidRDefault="169E88D9" w:rsidP="00537973">
      <w:pPr>
        <w:pStyle w:val="ExecChartCaption"/>
      </w:pPr>
      <w:bookmarkStart w:id="99" w:name="_Toc105776336"/>
      <w:r>
        <w:t>: Distribution of unit costs by field for bachelor studies</w:t>
      </w:r>
      <w:bookmarkEnd w:id="97"/>
      <w:bookmarkEnd w:id="98"/>
      <w:bookmarkEnd w:id="99"/>
    </w:p>
    <w:p w14:paraId="566C9A79" w14:textId="202538A3" w:rsidR="007B3EEB" w:rsidRPr="00691B65" w:rsidRDefault="007B3EEB" w:rsidP="00691B65">
      <w:r>
        <w:rPr>
          <w:noProof/>
        </w:rPr>
        <w:drawing>
          <wp:inline distT="0" distB="0" distL="0" distR="0" wp14:anchorId="4EFA92B1" wp14:editId="48EF6ACB">
            <wp:extent cx="8820000" cy="4680000"/>
            <wp:effectExtent l="0" t="0" r="635" b="6350"/>
            <wp:docPr id="50" name="Chart 50" descr="Box plots of 2019 and 2020 unit costs for bachelor student for each of the 22 Field of Education and total. Plots show the range of costs per EFTSL, the means and quartiles.">
              <a:extLst xmlns:a="http://schemas.openxmlformats.org/drawingml/2006/main">
                <a:ext uri="{FF2B5EF4-FFF2-40B4-BE49-F238E27FC236}">
                  <a16:creationId xmlns:a16="http://schemas.microsoft.com/office/drawing/2014/main" id="{00000000-0008-0000-2E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343A46D" w14:textId="71889413" w:rsidR="00C04C9C" w:rsidRDefault="001C08E5" w:rsidP="00537973">
      <w:r w:rsidRPr="001C08E5">
        <w:rPr>
          <w:iCs/>
          <w:color w:val="75787B" w:themeColor="accent6"/>
          <w:sz w:val="14"/>
        </w:rPr>
        <w:t>Note: 1,28</w:t>
      </w:r>
      <w:r w:rsidR="000D2729">
        <w:rPr>
          <w:iCs/>
          <w:color w:val="75787B" w:themeColor="accent6"/>
          <w:sz w:val="14"/>
        </w:rPr>
        <w:t>9</w:t>
      </w:r>
      <w:r w:rsidRPr="001C08E5">
        <w:rPr>
          <w:iCs/>
          <w:color w:val="75787B" w:themeColor="accent6"/>
          <w:sz w:val="14"/>
        </w:rPr>
        <w:t xml:space="preserve"> cost observations across 37 universities. Outliers excluded. Marker at mean, box width between 25th and 75th percentile, and tails at minimum and maximum.</w:t>
      </w:r>
    </w:p>
    <w:p w14:paraId="6CB87FB2" w14:textId="6D94DF33" w:rsidR="00C04C9C" w:rsidRDefault="00C04C9C" w:rsidP="00537973">
      <w:pPr>
        <w:sectPr w:rsidR="00C04C9C" w:rsidSect="00C04C9C">
          <w:pgSz w:w="16838" w:h="11906" w:orient="landscape" w:code="9"/>
          <w:pgMar w:top="1418" w:right="1985" w:bottom="1418" w:left="1134" w:header="680" w:footer="425" w:gutter="0"/>
          <w:pgNumType w:fmt="lowerRoman"/>
          <w:cols w:space="284"/>
          <w:docGrid w:linePitch="360"/>
        </w:sectPr>
      </w:pPr>
    </w:p>
    <w:p w14:paraId="1D085821" w14:textId="757ADD1D" w:rsidR="00537973" w:rsidRPr="00691B65" w:rsidRDefault="00294A82" w:rsidP="00537973">
      <w:r w:rsidRPr="00BB165A">
        <w:t xml:space="preserve">Overall, there was a </w:t>
      </w:r>
      <w:r w:rsidR="00785315">
        <w:t>1.0</w:t>
      </w:r>
      <w:r w:rsidRPr="00BB165A">
        <w:t xml:space="preserve">% </w:t>
      </w:r>
      <w:r w:rsidR="00271716">
        <w:t>increase</w:t>
      </w:r>
      <w:r w:rsidRPr="00BB165A">
        <w:t xml:space="preserve"> in total cost per EFTSL for postgraduate level education programs between 2019 and 2020. </w:t>
      </w:r>
      <w:r w:rsidR="00537973" w:rsidRPr="00BB165A">
        <w:t xml:space="preserve">Similar results by </w:t>
      </w:r>
      <w:r w:rsidR="00B70C2F">
        <w:t>FOE</w:t>
      </w:r>
      <w:r w:rsidR="00537973" w:rsidRPr="00BB165A">
        <w:t xml:space="preserve"> are observed regarding costs per EFTSL at the postgraduate level </w:t>
      </w:r>
      <w:r w:rsidR="002E4D24">
        <w:t>(</w:t>
      </w:r>
      <w:r w:rsidR="002E4D24">
        <w:fldChar w:fldCharType="begin"/>
      </w:r>
      <w:r w:rsidR="002E4D24">
        <w:instrText xml:space="preserve"> REF _Ref105582627 \r \h </w:instrText>
      </w:r>
      <w:r w:rsidR="002E4D24">
        <w:fldChar w:fldCharType="separate"/>
      </w:r>
      <w:r w:rsidR="002E4D24">
        <w:t>Chart iii</w:t>
      </w:r>
      <w:r w:rsidR="002E4D24">
        <w:fldChar w:fldCharType="end"/>
      </w:r>
      <w:r w:rsidR="002E4D24">
        <w:t xml:space="preserve">) </w:t>
      </w:r>
      <w:r w:rsidR="00BC066B">
        <w:t>i</w:t>
      </w:r>
      <w:r w:rsidRPr="00BB165A">
        <w:t>n 2019 and 2020</w:t>
      </w:r>
      <w:r w:rsidR="00537973" w:rsidRPr="00BB165A">
        <w:t>. Veterinary Studies</w:t>
      </w:r>
      <w:r w:rsidR="0076273D" w:rsidRPr="00BB165A">
        <w:t>,</w:t>
      </w:r>
      <w:r w:rsidR="00537973" w:rsidRPr="00BB165A">
        <w:t xml:space="preserve"> Dental Studies and Other Agricultural and Environmental studies exhibit the highest average cost per EFTSL at the postgraduate level</w:t>
      </w:r>
      <w:r w:rsidR="0076273D" w:rsidRPr="00BB165A">
        <w:t xml:space="preserve"> </w:t>
      </w:r>
      <w:r w:rsidRPr="00BB165A">
        <w:t>while</w:t>
      </w:r>
      <w:r w:rsidR="00537973" w:rsidRPr="00BB165A">
        <w:t xml:space="preserve"> </w:t>
      </w:r>
      <w:r w:rsidR="00D33CC6">
        <w:t xml:space="preserve">Society and Culture – Other, </w:t>
      </w:r>
      <w:r w:rsidR="00537973" w:rsidRPr="00BB165A">
        <w:t>Communications and Media</w:t>
      </w:r>
      <w:r w:rsidR="004F083E" w:rsidRPr="00BB165A">
        <w:t>,</w:t>
      </w:r>
      <w:r w:rsidR="00537973" w:rsidRPr="00BB165A">
        <w:t xml:space="preserve"> </w:t>
      </w:r>
      <w:r w:rsidRPr="00BB165A">
        <w:t xml:space="preserve">Education, </w:t>
      </w:r>
      <w:r w:rsidR="00537973" w:rsidRPr="00BB165A">
        <w:t>and Management and Commerce recorded the lowest average cost per EFTSL</w:t>
      </w:r>
      <w:r w:rsidR="001C08E5" w:rsidRPr="00BB165A">
        <w:t xml:space="preserve"> in both 2019 and 2020</w:t>
      </w:r>
      <w:r w:rsidR="00537973" w:rsidRPr="00BB165A">
        <w:t>.</w:t>
      </w:r>
      <w:r w:rsidR="00537973" w:rsidRPr="00691B65">
        <w:t xml:space="preserve"> </w:t>
      </w:r>
    </w:p>
    <w:p w14:paraId="55FCF8BB" w14:textId="05818857" w:rsidR="006A3500" w:rsidRDefault="00D33CC6" w:rsidP="00D33CC6">
      <w:r>
        <w:t>On average, t</w:t>
      </w:r>
      <w:r w:rsidRPr="00BB165A">
        <w:t>he cost of postgraduate studies was 2</w:t>
      </w:r>
      <w:r w:rsidR="000709BF">
        <w:t>0</w:t>
      </w:r>
      <w:r w:rsidRPr="00BB165A">
        <w:t>% higher</w:t>
      </w:r>
      <w:r>
        <w:t xml:space="preserve"> in 2019 </w:t>
      </w:r>
      <w:r w:rsidR="000709BF">
        <w:t xml:space="preserve">and </w:t>
      </w:r>
      <w:r>
        <w:t>2020</w:t>
      </w:r>
      <w:r w:rsidRPr="00BB165A">
        <w:t xml:space="preserve"> compared to bachelor studie</w:t>
      </w:r>
      <w:r>
        <w:t>s</w:t>
      </w:r>
      <w:r w:rsidRPr="00BB165A">
        <w:t xml:space="preserve">. </w:t>
      </w:r>
      <w:r w:rsidR="00537973" w:rsidRPr="00BB165A">
        <w:t>This may reflect differences in the way these qualifications are taught including potentially smaller class sizes, more senior teaching staff and different forms of instruction, among other reasons, such as the mix of fields taught. Variation in costs</w:t>
      </w:r>
      <w:r w:rsidR="008C2D0D">
        <w:t xml:space="preserve"> (difference between maximum and minimum costs)</w:t>
      </w:r>
      <w:r w:rsidR="00537973" w:rsidRPr="00BB165A">
        <w:t xml:space="preserve"> within fields also tends to be greater at the postgraduate level than for bachelor level studies, with the greatest variation observed in </w:t>
      </w:r>
      <w:r w:rsidR="004A085C">
        <w:t xml:space="preserve">Nursing, </w:t>
      </w:r>
      <w:r w:rsidR="00537973" w:rsidRPr="00BB165A">
        <w:t xml:space="preserve">Other </w:t>
      </w:r>
      <w:r w:rsidR="00BC34CC">
        <w:t>Health</w:t>
      </w:r>
      <w:r w:rsidR="00537973" w:rsidRPr="00BB165A">
        <w:t xml:space="preserve"> and </w:t>
      </w:r>
      <w:r w:rsidR="00BC34CC">
        <w:t>Medical</w:t>
      </w:r>
      <w:r w:rsidR="00537973" w:rsidRPr="00BB165A">
        <w:t xml:space="preserve"> Sciences</w:t>
      </w:r>
      <w:r w:rsidR="00BC34CC">
        <w:t xml:space="preserve">, all in 2020. </w:t>
      </w:r>
      <w:bookmarkStart w:id="100" w:name="_Ref534722662"/>
      <w:bookmarkStart w:id="101" w:name="_Toc20245943"/>
    </w:p>
    <w:p w14:paraId="45A2DE19" w14:textId="1CD05365" w:rsidR="00D33CC6" w:rsidRPr="00BB165A" w:rsidRDefault="00D33CC6" w:rsidP="00D33CC6"/>
    <w:p w14:paraId="2B7357D9" w14:textId="77777777" w:rsidR="00D33CC6" w:rsidRPr="00D33CC6" w:rsidRDefault="00D33CC6" w:rsidP="00D33CC6">
      <w:pPr>
        <w:sectPr w:rsidR="00D33CC6" w:rsidRPr="00D33CC6" w:rsidSect="00201BEB">
          <w:pgSz w:w="11906" w:h="16838" w:code="9"/>
          <w:pgMar w:top="1985" w:right="1416" w:bottom="1134" w:left="1418" w:header="680" w:footer="425" w:gutter="0"/>
          <w:pgNumType w:fmt="lowerRoman"/>
          <w:cols w:space="284"/>
          <w:docGrid w:linePitch="360"/>
        </w:sectPr>
      </w:pPr>
    </w:p>
    <w:p w14:paraId="2FFCFCB1" w14:textId="0783A6BF" w:rsidR="00537973" w:rsidRPr="00691B65" w:rsidRDefault="169E88D9" w:rsidP="00537973">
      <w:pPr>
        <w:pStyle w:val="ExecChartCaption"/>
      </w:pPr>
      <w:bookmarkStart w:id="102" w:name="_Ref105582627"/>
      <w:bookmarkStart w:id="103" w:name="_Toc105776337"/>
      <w:r>
        <w:t>: Distribution of unit costs by field for postgraduate studies</w:t>
      </w:r>
      <w:bookmarkEnd w:id="100"/>
      <w:bookmarkEnd w:id="101"/>
      <w:bookmarkEnd w:id="102"/>
      <w:bookmarkEnd w:id="103"/>
    </w:p>
    <w:p w14:paraId="0A6DC220" w14:textId="2F43F7EB" w:rsidR="002908AC" w:rsidRPr="00691B65" w:rsidRDefault="002908AC" w:rsidP="00691B65">
      <w:r>
        <w:rPr>
          <w:noProof/>
        </w:rPr>
        <w:drawing>
          <wp:inline distT="0" distB="0" distL="0" distR="0" wp14:anchorId="5D8AC338" wp14:editId="3C0BCEB2">
            <wp:extent cx="8820000" cy="4680000"/>
            <wp:effectExtent l="0" t="0" r="635" b="6350"/>
            <wp:docPr id="57" name="Chart 57" descr="Box plots of 2019 and 2020 unit costs for postgraduate students for each of the 22 Field of Education and total. Plots show the range of costs per EFTSL, the means and quartiles.">
              <a:extLst xmlns:a="http://schemas.openxmlformats.org/drawingml/2006/main">
                <a:ext uri="{FF2B5EF4-FFF2-40B4-BE49-F238E27FC236}">
                  <a16:creationId xmlns:a16="http://schemas.microsoft.com/office/drawing/2014/main" id="{00000000-0008-0000-2E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CB1AF75" w14:textId="2D8EFD51" w:rsidR="006A3500" w:rsidRDefault="006A3500" w:rsidP="00537973">
      <w:pPr>
        <w:rPr>
          <w:iCs/>
          <w:color w:val="75787B" w:themeColor="accent6"/>
          <w:sz w:val="14"/>
        </w:rPr>
      </w:pPr>
      <w:r w:rsidRPr="006A3500">
        <w:rPr>
          <w:iCs/>
          <w:color w:val="75787B" w:themeColor="accent6"/>
          <w:sz w:val="14"/>
        </w:rPr>
        <w:t>Note: 1,06</w:t>
      </w:r>
      <w:r w:rsidR="000D2729">
        <w:rPr>
          <w:iCs/>
          <w:color w:val="75787B" w:themeColor="accent6"/>
          <w:sz w:val="14"/>
        </w:rPr>
        <w:t>3</w:t>
      </w:r>
      <w:r w:rsidRPr="006A3500">
        <w:rPr>
          <w:iCs/>
          <w:color w:val="75787B" w:themeColor="accent6"/>
          <w:sz w:val="14"/>
        </w:rPr>
        <w:t xml:space="preserve"> cost observations across 37 universities. Outliers excluded. Marker at mean, box width between 25th and 75th percentile, and tails at minimum and maximum. </w:t>
      </w:r>
    </w:p>
    <w:p w14:paraId="620D07ED" w14:textId="77777777" w:rsidR="006A3500" w:rsidRDefault="006A3500" w:rsidP="00537973">
      <w:pPr>
        <w:sectPr w:rsidR="006A3500" w:rsidSect="006A3500">
          <w:pgSz w:w="16838" w:h="11906" w:orient="landscape" w:code="9"/>
          <w:pgMar w:top="1418" w:right="1985" w:bottom="1418" w:left="1134" w:header="680" w:footer="425" w:gutter="0"/>
          <w:pgNumType w:fmt="lowerRoman"/>
          <w:cols w:space="284"/>
          <w:docGrid w:linePitch="360"/>
        </w:sectPr>
      </w:pPr>
    </w:p>
    <w:p w14:paraId="77D5E3F8" w14:textId="1FB9A6D3" w:rsidR="00537973" w:rsidRPr="00691B65" w:rsidRDefault="00537973" w:rsidP="00537973">
      <w:r>
        <w:t>In contrast to the postgraduate level, studies at the sub-bachelor level tend</w:t>
      </w:r>
      <w:r w:rsidR="00B9113E">
        <w:t>ed</w:t>
      </w:r>
      <w:r>
        <w:t xml:space="preserve"> to exhibit on average </w:t>
      </w:r>
      <w:r w:rsidR="00DD6010">
        <w:t>similar</w:t>
      </w:r>
      <w:r>
        <w:t xml:space="preserve"> costs per EFTSL</w:t>
      </w:r>
      <w:r w:rsidR="00D35D39">
        <w:t xml:space="preserve"> compared to bachelor level studies</w:t>
      </w:r>
      <w:r w:rsidR="0043251E">
        <w:t xml:space="preserve">. </w:t>
      </w:r>
      <w:r w:rsidR="00B3706C">
        <w:t xml:space="preserve">The average cost per EFTSL for sub-bachelor studies was </w:t>
      </w:r>
      <w:r w:rsidR="0098429E">
        <w:t>0.</w:t>
      </w:r>
      <w:r w:rsidR="00637BD3">
        <w:t>8</w:t>
      </w:r>
      <w:r w:rsidR="00B3706C">
        <w:t xml:space="preserve">% </w:t>
      </w:r>
      <w:r w:rsidR="00C20C6B">
        <w:t>higher</w:t>
      </w:r>
      <w:r w:rsidR="00B3706C">
        <w:t xml:space="preserve"> than bachelor level study in 2019 and </w:t>
      </w:r>
      <w:r w:rsidR="00E83AF0">
        <w:t>0.</w:t>
      </w:r>
      <w:r w:rsidR="007C4EED">
        <w:t>13</w:t>
      </w:r>
      <w:r w:rsidR="00B3706C">
        <w:t xml:space="preserve">% lower in 2020. </w:t>
      </w:r>
      <w:r>
        <w:t>At the sub-bachelor level</w:t>
      </w:r>
      <w:r w:rsidR="00FA518E">
        <w:t xml:space="preserve"> there is a comparable</w:t>
      </w:r>
      <w:r w:rsidR="00A556AC">
        <w:t xml:space="preserve"> variation </w:t>
      </w:r>
      <w:r w:rsidR="009B5998">
        <w:t>to bachelor level within fields</w:t>
      </w:r>
      <w:r>
        <w:t xml:space="preserve"> </w:t>
      </w:r>
      <w:r w:rsidR="009B5998">
        <w:t>of education but tends to be</w:t>
      </w:r>
      <w:r>
        <w:t xml:space="preserve"> less variation in average costs per EFTSL across fields</w:t>
      </w:r>
      <w:r w:rsidR="00A67C15">
        <w:t xml:space="preserve"> </w:t>
      </w:r>
      <w:r w:rsidR="00FF017C">
        <w:t>(</w:t>
      </w:r>
      <w:r w:rsidR="00A67C15">
        <w:fldChar w:fldCharType="begin"/>
      </w:r>
      <w:r w:rsidR="00A67C15">
        <w:instrText xml:space="preserve"> REF _Ref103332270 \r \h </w:instrText>
      </w:r>
      <w:r w:rsidR="00A67C15">
        <w:fldChar w:fldCharType="separate"/>
      </w:r>
      <w:r w:rsidR="00A67C15">
        <w:t>Chart iv</w:t>
      </w:r>
      <w:r w:rsidR="00A67C15">
        <w:fldChar w:fldCharType="end"/>
      </w:r>
      <w:r w:rsidR="00FF017C">
        <w:t>)</w:t>
      </w:r>
      <w:r>
        <w:t>.</w:t>
      </w:r>
    </w:p>
    <w:p w14:paraId="079FD0FC" w14:textId="77777777" w:rsidR="0043251E" w:rsidRDefault="0043251E" w:rsidP="0043251E">
      <w:bookmarkStart w:id="104" w:name="_Ref534723943"/>
      <w:bookmarkStart w:id="105" w:name="_Toc20245945"/>
    </w:p>
    <w:p w14:paraId="727CA5CD" w14:textId="68A05581" w:rsidR="0043251E" w:rsidRPr="0043251E" w:rsidRDefault="00B3706C" w:rsidP="0043251E">
      <w:pPr>
        <w:sectPr w:rsidR="0043251E" w:rsidRPr="0043251E" w:rsidSect="00201BEB">
          <w:pgSz w:w="11906" w:h="16838" w:code="9"/>
          <w:pgMar w:top="1985" w:right="1416" w:bottom="1134" w:left="1418" w:header="680" w:footer="425" w:gutter="0"/>
          <w:pgNumType w:fmt="lowerRoman"/>
          <w:cols w:space="284"/>
          <w:docGrid w:linePitch="360"/>
        </w:sectPr>
      </w:pPr>
      <w:r>
        <w:t xml:space="preserve"> </w:t>
      </w:r>
    </w:p>
    <w:p w14:paraId="63979F1F" w14:textId="43BF5C1C" w:rsidR="00537973" w:rsidRPr="00691B65" w:rsidRDefault="00AD3CBD" w:rsidP="00537973">
      <w:pPr>
        <w:pStyle w:val="ExecChartCaption"/>
      </w:pPr>
      <w:bookmarkStart w:id="106" w:name="_Ref103332270"/>
      <w:bookmarkStart w:id="107" w:name="_Toc105776338"/>
      <w:r>
        <w:t xml:space="preserve">: </w:t>
      </w:r>
      <w:r w:rsidR="00537973" w:rsidRPr="00691B65">
        <w:t>Distribution of unit costs by field for sub-bachelor studies</w:t>
      </w:r>
      <w:bookmarkEnd w:id="104"/>
      <w:bookmarkEnd w:id="105"/>
      <w:bookmarkEnd w:id="106"/>
      <w:bookmarkEnd w:id="107"/>
    </w:p>
    <w:p w14:paraId="269EBB25" w14:textId="5464EC81" w:rsidR="009B22C8" w:rsidRPr="00691B65" w:rsidRDefault="009B22C8" w:rsidP="00691B65">
      <w:r>
        <w:rPr>
          <w:noProof/>
        </w:rPr>
        <w:drawing>
          <wp:inline distT="0" distB="0" distL="0" distR="0" wp14:anchorId="3ED1E54F" wp14:editId="07F54E5E">
            <wp:extent cx="8820000" cy="4680000"/>
            <wp:effectExtent l="0" t="0" r="635" b="6350"/>
            <wp:docPr id="60" name="Chart 60" descr="Box plots of 2019 and 2020 unit costs for sub-bachelor students for each of the 22 Field of Education and total. Plots show the range of costs per EFTSL, the means and quartiles.">
              <a:extLst xmlns:a="http://schemas.openxmlformats.org/drawingml/2006/main">
                <a:ext uri="{FF2B5EF4-FFF2-40B4-BE49-F238E27FC236}">
                  <a16:creationId xmlns:a16="http://schemas.microsoft.com/office/drawing/2014/main" id="{00000000-0008-0000-2E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E1C559" w14:textId="31BABCA7" w:rsidR="00C776A0" w:rsidRDefault="00C776A0">
      <w:pPr>
        <w:spacing w:after="0"/>
        <w:rPr>
          <w:iCs/>
          <w:color w:val="75787B" w:themeColor="accent6"/>
          <w:sz w:val="14"/>
        </w:rPr>
        <w:sectPr w:rsidR="00C776A0" w:rsidSect="00C776A0">
          <w:pgSz w:w="16838" w:h="11906" w:orient="landscape" w:code="9"/>
          <w:pgMar w:top="1418" w:right="1985" w:bottom="1418" w:left="1134" w:header="680" w:footer="425" w:gutter="0"/>
          <w:pgNumType w:fmt="lowerRoman"/>
          <w:cols w:space="284"/>
          <w:docGrid w:linePitch="360"/>
        </w:sectPr>
      </w:pPr>
      <w:r w:rsidRPr="00C776A0">
        <w:rPr>
          <w:iCs/>
          <w:color w:val="75787B" w:themeColor="accent6"/>
          <w:sz w:val="14"/>
        </w:rPr>
        <w:t xml:space="preserve">Note: </w:t>
      </w:r>
      <w:r w:rsidR="007101FA">
        <w:rPr>
          <w:iCs/>
          <w:color w:val="75787B" w:themeColor="accent6"/>
          <w:sz w:val="14"/>
        </w:rPr>
        <w:t>4</w:t>
      </w:r>
      <w:r w:rsidR="00AF4029">
        <w:rPr>
          <w:iCs/>
          <w:color w:val="75787B" w:themeColor="accent6"/>
          <w:sz w:val="14"/>
        </w:rPr>
        <w:t>95</w:t>
      </w:r>
      <w:r w:rsidRPr="00C776A0">
        <w:rPr>
          <w:iCs/>
          <w:color w:val="75787B" w:themeColor="accent6"/>
          <w:sz w:val="14"/>
        </w:rPr>
        <w:t xml:space="preserve"> cost observations across 3</w:t>
      </w:r>
      <w:r w:rsidR="007101FA">
        <w:rPr>
          <w:iCs/>
          <w:color w:val="75787B" w:themeColor="accent6"/>
          <w:sz w:val="14"/>
        </w:rPr>
        <w:t>4</w:t>
      </w:r>
      <w:r w:rsidRPr="00C776A0">
        <w:rPr>
          <w:iCs/>
          <w:color w:val="75787B" w:themeColor="accent6"/>
          <w:sz w:val="14"/>
        </w:rPr>
        <w:t xml:space="preserve"> universities</w:t>
      </w:r>
      <w:r>
        <w:rPr>
          <w:iCs/>
          <w:color w:val="75787B" w:themeColor="accent6"/>
          <w:sz w:val="14"/>
        </w:rPr>
        <w:t>.</w:t>
      </w:r>
      <w:r w:rsidRPr="00C776A0">
        <w:rPr>
          <w:iCs/>
          <w:color w:val="75787B" w:themeColor="accent6"/>
          <w:sz w:val="14"/>
        </w:rPr>
        <w:t xml:space="preserve"> Outliers excluded. Marker at mean, box width between 25th and 75th percentile, and tails at minimum and maximum </w:t>
      </w:r>
    </w:p>
    <w:p w14:paraId="26E4CC74" w14:textId="77777777" w:rsidR="00537973" w:rsidRPr="00BB165A" w:rsidRDefault="00537973" w:rsidP="00537973">
      <w:pPr>
        <w:pStyle w:val="Heading2"/>
        <w:numPr>
          <w:ilvl w:val="0"/>
          <w:numId w:val="0"/>
        </w:numPr>
      </w:pPr>
      <w:bookmarkStart w:id="108" w:name="_Toc20245998"/>
      <w:bookmarkStart w:id="109" w:name="_Toc105776176"/>
      <w:r w:rsidRPr="00BB165A">
        <w:t>How these findings compare to previous studies</w:t>
      </w:r>
      <w:bookmarkEnd w:id="108"/>
      <w:bookmarkEnd w:id="109"/>
      <w:r w:rsidRPr="00BB165A">
        <w:t xml:space="preserve"> </w:t>
      </w:r>
    </w:p>
    <w:p w14:paraId="328432D1" w14:textId="6098E20C" w:rsidR="00537973" w:rsidRPr="00BB165A" w:rsidRDefault="008B6860" w:rsidP="00537973">
      <w:r>
        <w:t xml:space="preserve">In comparing the results of this research over time, it is important to recognise – and account for – the fact that the sample of participating universities has changed (expanded) over time. </w:t>
      </w:r>
      <w:r w:rsidR="0001763A">
        <w:t xml:space="preserve">To this end, several reporting approaches are adopted, including the use of a common sample. </w:t>
      </w:r>
      <w:r w:rsidR="00537973" w:rsidRPr="00BB165A">
        <w:t xml:space="preserve">Examining the results of the common sample of universities </w:t>
      </w:r>
      <w:r w:rsidR="0001763A">
        <w:t xml:space="preserve">in the 2018 and 2020 </w:t>
      </w:r>
      <w:r w:rsidR="00537973" w:rsidRPr="00BB165A">
        <w:t xml:space="preserve">studies provides an indication of how the cost of teaching changed </w:t>
      </w:r>
      <w:r w:rsidR="0001763A">
        <w:t>over this period</w:t>
      </w:r>
      <w:r w:rsidR="00537973" w:rsidRPr="00BB165A">
        <w:t xml:space="preserve">, on average and across fields. </w:t>
      </w:r>
    </w:p>
    <w:p w14:paraId="149E4A01" w14:textId="6424D973" w:rsidR="00537973" w:rsidRPr="00691B65" w:rsidRDefault="002C3175" w:rsidP="00537973">
      <w:r w:rsidRPr="00BB165A">
        <w:t xml:space="preserve">While a </w:t>
      </w:r>
      <w:r w:rsidR="00530D82" w:rsidRPr="00BB165A">
        <w:t>handful</w:t>
      </w:r>
      <w:r w:rsidRPr="00BB165A">
        <w:t xml:space="preserve"> </w:t>
      </w:r>
      <w:r w:rsidR="00884888" w:rsidRPr="00BB165A">
        <w:t xml:space="preserve">of </w:t>
      </w:r>
      <w:r w:rsidRPr="00BB165A">
        <w:t xml:space="preserve">refinements were made to the cost collection methodology in </w:t>
      </w:r>
      <w:r w:rsidR="000A71FE" w:rsidRPr="00BB165A">
        <w:t xml:space="preserve">the </w:t>
      </w:r>
      <w:r w:rsidRPr="00BB165A">
        <w:t>20</w:t>
      </w:r>
      <w:r w:rsidR="00E70984" w:rsidRPr="00BB165A">
        <w:t>22</w:t>
      </w:r>
      <w:r w:rsidR="000A71FE" w:rsidRPr="00BB165A">
        <w:t xml:space="preserve"> study</w:t>
      </w:r>
      <w:r w:rsidRPr="00BB165A">
        <w:t xml:space="preserve">, the most significant of these involved the inclusion of </w:t>
      </w:r>
      <w:r w:rsidR="007976E0">
        <w:t>a</w:t>
      </w:r>
      <w:r w:rsidRPr="00BB165A">
        <w:t xml:space="preserve"> </w:t>
      </w:r>
      <w:r w:rsidR="00E70984" w:rsidRPr="00BB165A">
        <w:t>COVID-19</w:t>
      </w:r>
      <w:r w:rsidRPr="00BB165A">
        <w:t xml:space="preserve"> </w:t>
      </w:r>
      <w:r w:rsidR="007D46B4" w:rsidRPr="00BB165A">
        <w:t>measures</w:t>
      </w:r>
      <w:r w:rsidRPr="00BB165A">
        <w:t xml:space="preserve"> adjustment </w:t>
      </w:r>
      <w:r w:rsidR="007D46B4" w:rsidRPr="00BB165A">
        <w:t xml:space="preserve">tab </w:t>
      </w:r>
      <w:r w:rsidRPr="00BB165A">
        <w:t xml:space="preserve">which was incorporated </w:t>
      </w:r>
      <w:r w:rsidR="00884888" w:rsidRPr="00BB165A">
        <w:t>‘</w:t>
      </w:r>
      <w:r w:rsidRPr="00BB165A">
        <w:t>below the line</w:t>
      </w:r>
      <w:r w:rsidR="00884888" w:rsidRPr="00BB165A">
        <w:t>’</w:t>
      </w:r>
      <w:r w:rsidRPr="00BB165A">
        <w:t xml:space="preserve"> and thus did not affect the comparability of results </w:t>
      </w:r>
      <w:r w:rsidR="00884888" w:rsidRPr="00BB165A">
        <w:t>‘</w:t>
      </w:r>
      <w:r w:rsidRPr="00BB165A">
        <w:t>above the line</w:t>
      </w:r>
      <w:r w:rsidR="00884888" w:rsidRPr="00BB165A">
        <w:t>’</w:t>
      </w:r>
      <w:r w:rsidRPr="00BB165A">
        <w:t>.</w:t>
      </w:r>
      <w:r w:rsidR="00616F79" w:rsidRPr="00BB165A">
        <w:rPr>
          <w:rStyle w:val="FootnoteReference"/>
        </w:rPr>
        <w:footnoteReference w:id="9"/>
      </w:r>
      <w:r w:rsidRPr="00BB165A">
        <w:t xml:space="preserve"> </w:t>
      </w:r>
      <w:r w:rsidR="00537973" w:rsidRPr="00BB165A">
        <w:t>Nevertheless, comparability can be influenced by factors such as one-off costs, changes to university structures (within a given university) and ongoing policy and strategic changes in the sector.</w:t>
      </w:r>
      <w:r w:rsidR="00537973" w:rsidRPr="00691B65">
        <w:t xml:space="preserve"> </w:t>
      </w:r>
      <w:r w:rsidR="008648B1">
        <w:t xml:space="preserve">As such, even comparisons of the common sample need to be interpreted carefully. </w:t>
      </w:r>
    </w:p>
    <w:p w14:paraId="3DE58EEA" w14:textId="268B6915" w:rsidR="009C6B0C" w:rsidRDefault="008648B1" w:rsidP="00537973">
      <w:r>
        <w:t xml:space="preserve">These points noted, </w:t>
      </w:r>
      <w:r w:rsidR="00076EFB">
        <w:t xml:space="preserve">analysis of changes in </w:t>
      </w:r>
      <w:r w:rsidR="00CE0DE9">
        <w:t xml:space="preserve">bachelor level </w:t>
      </w:r>
      <w:r w:rsidR="00076EFB">
        <w:t>cost</w:t>
      </w:r>
      <w:r w:rsidR="00CE0DE9">
        <w:t>s</w:t>
      </w:r>
      <w:r w:rsidR="00076EFB">
        <w:t xml:space="preserve"> among the common sample reveal</w:t>
      </w:r>
      <w:r w:rsidR="00CE0DE9">
        <w:t>s</w:t>
      </w:r>
      <w:r w:rsidR="00076EFB">
        <w:t xml:space="preserve"> that a</w:t>
      </w:r>
      <w:r w:rsidR="001F606F" w:rsidRPr="00BB165A">
        <w:t>ll</w:t>
      </w:r>
      <w:r w:rsidR="002C3175" w:rsidRPr="00BB165A">
        <w:t xml:space="preserve"> 22 fields</w:t>
      </w:r>
      <w:r w:rsidR="00CA271B" w:rsidRPr="00BB165A">
        <w:t xml:space="preserve"> </w:t>
      </w:r>
      <w:r w:rsidR="002C3175" w:rsidRPr="00BB165A">
        <w:t xml:space="preserve">experienced </w:t>
      </w:r>
      <w:r w:rsidR="00D75C71">
        <w:t xml:space="preserve">absolute </w:t>
      </w:r>
      <w:r w:rsidR="007C1A47">
        <w:t xml:space="preserve">average annual </w:t>
      </w:r>
      <w:r w:rsidR="002C3175" w:rsidRPr="00BB165A">
        <w:t xml:space="preserve">growth </w:t>
      </w:r>
      <w:r w:rsidR="001F606F" w:rsidRPr="00BB165A">
        <w:t xml:space="preserve">less than 5% and </w:t>
      </w:r>
      <w:r w:rsidR="00681C04">
        <w:t>1</w:t>
      </w:r>
      <w:r w:rsidR="00A20185">
        <w:t>4</w:t>
      </w:r>
      <w:r w:rsidR="001F606F" w:rsidRPr="00BB165A">
        <w:t xml:space="preserve"> experienced </w:t>
      </w:r>
      <w:r w:rsidR="004A164E">
        <w:t xml:space="preserve">absolute </w:t>
      </w:r>
      <w:r w:rsidR="001F606F" w:rsidRPr="00BB165A">
        <w:t xml:space="preserve">average annual cost changes </w:t>
      </w:r>
      <w:r w:rsidR="002C3175" w:rsidRPr="00BB165A">
        <w:t xml:space="preserve">of less than </w:t>
      </w:r>
      <w:r w:rsidR="001F606F" w:rsidRPr="00BB165A">
        <w:t>2</w:t>
      </w:r>
      <w:r w:rsidR="002C3175" w:rsidRPr="00BB165A">
        <w:t>% (</w:t>
      </w:r>
      <w:r w:rsidR="0062759D">
        <w:t>C</w:t>
      </w:r>
      <w:r w:rsidR="002C3175" w:rsidRPr="00BB165A">
        <w:t xml:space="preserve">hart v). </w:t>
      </w:r>
      <w:r w:rsidR="002D5A1A">
        <w:t xml:space="preserve">The total cost per EFTSL increased by </w:t>
      </w:r>
      <w:r w:rsidR="00E258FF">
        <w:t>0.</w:t>
      </w:r>
      <w:r w:rsidR="00A9546E">
        <w:t>6</w:t>
      </w:r>
      <w:r w:rsidR="002D5A1A">
        <w:t xml:space="preserve">% per year between 2018 and 2020, compared to headline </w:t>
      </w:r>
      <w:r w:rsidR="00B44DE9">
        <w:t xml:space="preserve">Consumer Price Index (CPI) </w:t>
      </w:r>
      <w:r w:rsidR="002D5A1A">
        <w:t xml:space="preserve">inflation of </w:t>
      </w:r>
      <w:r w:rsidR="002815B0">
        <w:t>1.2</w:t>
      </w:r>
      <w:r w:rsidR="007268B2">
        <w:t>%</w:t>
      </w:r>
      <w:r w:rsidR="002815B0">
        <w:t xml:space="preserve"> per year</w:t>
      </w:r>
      <w:r w:rsidR="007268B2">
        <w:t xml:space="preserve"> </w:t>
      </w:r>
      <w:r w:rsidR="002D5A1A">
        <w:t xml:space="preserve">across the same period. </w:t>
      </w:r>
      <w:r w:rsidR="009C6B0C" w:rsidRPr="00BB165A">
        <w:t xml:space="preserve">Overall, the largest unit cost changes in percentage terms were mostly in fields that were delivered at a relatively small scale and by only a few universities </w:t>
      </w:r>
      <w:r w:rsidR="005303BB">
        <w:t>(</w:t>
      </w:r>
      <w:r w:rsidR="009C6B0C" w:rsidRPr="00BB165A">
        <w:t>such as Food, Hospitality and Personal Services (31</w:t>
      </w:r>
      <w:r w:rsidR="009B18E0">
        <w:t>.3</w:t>
      </w:r>
      <w:r w:rsidR="009C6B0C" w:rsidRPr="00BB165A">
        <w:t>% annual decrease</w:t>
      </w:r>
      <w:r w:rsidR="0062759D">
        <w:t>, excluded from chart below</w:t>
      </w:r>
      <w:r w:rsidR="009C6B0C" w:rsidRPr="00BB165A">
        <w:t>)</w:t>
      </w:r>
      <w:r w:rsidR="005303BB">
        <w:t>)</w:t>
      </w:r>
      <w:r w:rsidR="009C6B0C" w:rsidRPr="00BB165A">
        <w:t>.</w:t>
      </w:r>
    </w:p>
    <w:p w14:paraId="4B04D898" w14:textId="5FEFB2E5" w:rsidR="00810CD0" w:rsidRDefault="00537973" w:rsidP="00537973">
      <w:pPr>
        <w:pStyle w:val="ExecChartCaption"/>
      </w:pPr>
      <w:bookmarkStart w:id="110" w:name="_Toc105776339"/>
      <w:bookmarkStart w:id="111" w:name="_Ref534724080"/>
      <w:bookmarkStart w:id="112" w:name="_Toc20245947"/>
      <w:r w:rsidRPr="00691B65">
        <w:t xml:space="preserve">: </w:t>
      </w:r>
      <w:r w:rsidR="005306F8">
        <w:t>Comparing average cost growth from 201</w:t>
      </w:r>
      <w:r w:rsidR="000A47B5">
        <w:t>8</w:t>
      </w:r>
      <w:r w:rsidR="005306F8">
        <w:t xml:space="preserve"> to </w:t>
      </w:r>
      <w:r w:rsidR="006B7569">
        <w:t>2020</w:t>
      </w:r>
      <w:r w:rsidR="005306F8">
        <w:t xml:space="preserve"> for bachelor studies (201</w:t>
      </w:r>
      <w:r w:rsidR="000A7B06">
        <w:t>8</w:t>
      </w:r>
      <w:r w:rsidR="005306F8">
        <w:t xml:space="preserve"> common sample (</w:t>
      </w:r>
      <w:r w:rsidR="000A7B06">
        <w:t>32</w:t>
      </w:r>
      <w:r w:rsidR="005306F8">
        <w:t xml:space="preserve"> universities))</w:t>
      </w:r>
      <w:bookmarkEnd w:id="110"/>
    </w:p>
    <w:p w14:paraId="7BA2DD59" w14:textId="1F682415" w:rsidR="003E6CB9" w:rsidRDefault="003E6CB9" w:rsidP="008D126E">
      <w:r>
        <w:rPr>
          <w:noProof/>
        </w:rPr>
        <w:drawing>
          <wp:inline distT="0" distB="0" distL="0" distR="0" wp14:anchorId="793D0E12" wp14:editId="4796CD4A">
            <wp:extent cx="4398163" cy="3213226"/>
            <wp:effectExtent l="0" t="0" r="2540" b="6350"/>
            <wp:docPr id="459974144" name="Chart 459974144" descr="Chart compares average cost growth from 2018 to 2020 for bachelor studies (2018 common sample (32 universities)). Ranges from -4.4 per cent for environmental studies to +2.6 per cent for Creative Arts - Other.">
              <a:extLst xmlns:a="http://schemas.openxmlformats.org/drawingml/2006/main">
                <a:ext uri="{FF2B5EF4-FFF2-40B4-BE49-F238E27FC236}">
                  <a16:creationId xmlns:a16="http://schemas.microsoft.com/office/drawing/2014/main" id="{2E4F3E9A-55F2-42DF-9246-6A0FB9DE4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36E4325" w14:textId="23F68276" w:rsidR="00680C9C" w:rsidRPr="009557C8" w:rsidRDefault="00680C9C" w:rsidP="00680C9C">
      <w:pPr>
        <w:pStyle w:val="Source"/>
        <w:spacing w:before="0"/>
      </w:pPr>
      <w:r w:rsidRPr="00A6695E">
        <w:t xml:space="preserve">Note: </w:t>
      </w:r>
      <w:r>
        <w:t>chart excludes growth in costs for Food, Hospitality and Personal Services (</w:t>
      </w:r>
      <w:r w:rsidR="00AD3CBD">
        <w:t>-31</w:t>
      </w:r>
      <w:r>
        <w:t>%</w:t>
      </w:r>
      <w:r w:rsidR="00A962BA">
        <w:t xml:space="preserve"> CAGR</w:t>
      </w:r>
      <w:r>
        <w:t>)</w:t>
      </w:r>
      <w:r w:rsidR="00AD3CBD">
        <w:t>.</w:t>
      </w:r>
    </w:p>
    <w:bookmarkEnd w:id="111"/>
    <w:bookmarkEnd w:id="112"/>
    <w:p w14:paraId="1812D024" w14:textId="45B4B8FC" w:rsidR="002C3175" w:rsidRPr="00312215" w:rsidRDefault="002C3175" w:rsidP="002C3175">
      <w:r w:rsidRPr="00BB165A">
        <w:t xml:space="preserve">The figures in Table i show the average cost per EFTSL for 2010, 2015, </w:t>
      </w:r>
      <w:r w:rsidR="00BA6AA9">
        <w:t>and 2017 to 2020</w:t>
      </w:r>
      <w:r w:rsidRPr="00BB165A">
        <w:t>. The cost data is shown for the full sample in each year as well as for the common sample of universities (where available).</w:t>
      </w:r>
      <w:r w:rsidRPr="00312215">
        <w:t xml:space="preserve"> </w:t>
      </w:r>
    </w:p>
    <w:p w14:paraId="0C3D341C" w14:textId="16260DAC" w:rsidR="002C3175" w:rsidRPr="00312215" w:rsidRDefault="002C3175" w:rsidP="002C3175">
      <w:r w:rsidRPr="00BB165A">
        <w:t>The average cost per EFTSL for bachelor study rose from $17,300 in 2017 to $17,</w:t>
      </w:r>
      <w:r w:rsidR="00CD2F97">
        <w:t>7</w:t>
      </w:r>
      <w:r w:rsidR="006F6B08" w:rsidRPr="00BB165A">
        <w:t>00</w:t>
      </w:r>
      <w:r w:rsidRPr="00BB165A">
        <w:t xml:space="preserve"> in </w:t>
      </w:r>
      <w:r w:rsidR="006F6B08" w:rsidRPr="00BB165A">
        <w:t>2020</w:t>
      </w:r>
      <w:r w:rsidRPr="00BB165A">
        <w:t xml:space="preserve"> for the 25 universities that provided data in both years, an </w:t>
      </w:r>
      <w:r w:rsidR="00F50075">
        <w:t xml:space="preserve">average annual </w:t>
      </w:r>
      <w:r w:rsidRPr="00BB165A">
        <w:t xml:space="preserve">increase of </w:t>
      </w:r>
      <w:r w:rsidR="00F50075">
        <w:t>0</w:t>
      </w:r>
      <w:r w:rsidR="006F6B08" w:rsidRPr="00BB165A">
        <w:t>.8</w:t>
      </w:r>
      <w:r w:rsidRPr="00BB165A">
        <w:t>% as shown in</w:t>
      </w:r>
      <w:r w:rsidR="009F462F" w:rsidRPr="00BB165A">
        <w:t xml:space="preserve"> </w:t>
      </w:r>
      <w:r w:rsidR="009F462F" w:rsidRPr="00BB165A">
        <w:fldChar w:fldCharType="begin"/>
      </w:r>
      <w:r w:rsidR="009F462F" w:rsidRPr="00BB165A">
        <w:instrText xml:space="preserve"> REF _Ref20385016 \r \h </w:instrText>
      </w:r>
      <w:r w:rsidR="00331762" w:rsidRPr="00BB165A">
        <w:instrText xml:space="preserve"> \* MERGEFORMAT </w:instrText>
      </w:r>
      <w:r w:rsidR="009F462F" w:rsidRPr="00BB165A">
        <w:fldChar w:fldCharType="separate"/>
      </w:r>
      <w:r w:rsidR="006D5238">
        <w:t>Table ii</w:t>
      </w:r>
      <w:r w:rsidR="009F462F" w:rsidRPr="00BB165A">
        <w:fldChar w:fldCharType="end"/>
      </w:r>
      <w:r w:rsidRPr="00BB165A">
        <w:t xml:space="preserve">. Average unit costs for the full sample of </w:t>
      </w:r>
      <w:r w:rsidR="00331762" w:rsidRPr="00BB165A">
        <w:t>37</w:t>
      </w:r>
      <w:r w:rsidRPr="00BB165A">
        <w:t xml:space="preserve"> universities was slightly </w:t>
      </w:r>
      <w:r w:rsidR="00331762" w:rsidRPr="00BB165A">
        <w:t xml:space="preserve">higher </w:t>
      </w:r>
      <w:r w:rsidR="00A028EF">
        <w:t xml:space="preserve">in 2020 </w:t>
      </w:r>
      <w:r w:rsidRPr="00BB165A">
        <w:t>at $</w:t>
      </w:r>
      <w:r w:rsidR="00C01EDD">
        <w:t>1</w:t>
      </w:r>
      <w:r w:rsidR="00A028EF">
        <w:t>7</w:t>
      </w:r>
      <w:r w:rsidR="00C01EDD">
        <w:t>,</w:t>
      </w:r>
      <w:r w:rsidR="00A028EF">
        <w:t>9</w:t>
      </w:r>
      <w:r w:rsidR="00C01EDD">
        <w:t>00</w:t>
      </w:r>
      <w:r w:rsidRPr="00BB165A">
        <w:t xml:space="preserve"> but broadly similar </w:t>
      </w:r>
      <w:r w:rsidR="00331762" w:rsidRPr="00BB165A">
        <w:t>(</w:t>
      </w:r>
      <w:r w:rsidRPr="00BB165A">
        <w:t xml:space="preserve">given that </w:t>
      </w:r>
      <w:r w:rsidR="00331762" w:rsidRPr="00BB165A">
        <w:t xml:space="preserve">the full sample includes the </w:t>
      </w:r>
      <w:r w:rsidRPr="00BB165A">
        <w:t>universities in the common sample</w:t>
      </w:r>
      <w:r w:rsidR="00331762" w:rsidRPr="00BB165A">
        <w:t>).</w:t>
      </w:r>
      <w:r w:rsidRPr="00312215">
        <w:t xml:space="preserve"> </w:t>
      </w:r>
    </w:p>
    <w:p w14:paraId="1A27266F" w14:textId="13737870" w:rsidR="002C3175" w:rsidRPr="00312215" w:rsidRDefault="002C3175" w:rsidP="002C3175">
      <w:r w:rsidRPr="005A47E2">
        <w:t>The average cost per EFTSL for postgraduate study decreased from $22,200 in 2017 to $</w:t>
      </w:r>
      <w:r w:rsidR="00A007C8" w:rsidRPr="005A47E2">
        <w:t>2</w:t>
      </w:r>
      <w:r w:rsidR="00391A23" w:rsidRPr="005A47E2">
        <w:t>2</w:t>
      </w:r>
      <w:r w:rsidR="00A007C8" w:rsidRPr="00883736">
        <w:t>,</w:t>
      </w:r>
      <w:r w:rsidR="00391A23" w:rsidRPr="00883736">
        <w:t>0</w:t>
      </w:r>
      <w:r w:rsidR="00A007C8" w:rsidRPr="00883736">
        <w:t>00</w:t>
      </w:r>
      <w:r w:rsidRPr="00883736">
        <w:t xml:space="preserve"> in </w:t>
      </w:r>
      <w:r w:rsidR="00A007C8" w:rsidRPr="00883736">
        <w:t>2020</w:t>
      </w:r>
      <w:r w:rsidRPr="00883736">
        <w:t xml:space="preserve"> for the 25 universities that provided data in both years, a decrease </w:t>
      </w:r>
      <w:r w:rsidR="005A47E2">
        <w:t xml:space="preserve">of </w:t>
      </w:r>
      <w:r w:rsidR="004E51BB" w:rsidRPr="00883736">
        <w:t>0.</w:t>
      </w:r>
      <w:r w:rsidR="00391A23" w:rsidRPr="00883736">
        <w:t>4</w:t>
      </w:r>
      <w:r w:rsidRPr="00883736">
        <w:t>%</w:t>
      </w:r>
      <w:r w:rsidR="004E51BB" w:rsidRPr="00883736">
        <w:t xml:space="preserve"> per annum</w:t>
      </w:r>
      <w:r w:rsidRPr="00883736">
        <w:t xml:space="preserve">. Only </w:t>
      </w:r>
      <w:r w:rsidR="00FB58ED" w:rsidRPr="00883736">
        <w:t xml:space="preserve">9 </w:t>
      </w:r>
      <w:r w:rsidRPr="00883736">
        <w:t>of the 25 universities included in the common sample reported lower postgraduate costs per EFTSL in 20</w:t>
      </w:r>
      <w:r w:rsidR="00304649" w:rsidRPr="00883736">
        <w:t>20</w:t>
      </w:r>
      <w:r w:rsidRPr="00883736">
        <w:t xml:space="preserve"> compared to 2017</w:t>
      </w:r>
      <w:r w:rsidR="002300BA" w:rsidRPr="00883736">
        <w:t xml:space="preserve">. </w:t>
      </w:r>
      <w:r w:rsidR="00DD7176" w:rsidRPr="00883736">
        <w:t>For</w:t>
      </w:r>
      <w:r w:rsidRPr="00883736">
        <w:t xml:space="preserve"> </w:t>
      </w:r>
      <w:r w:rsidR="00EF0269" w:rsidRPr="00883736">
        <w:t>these universities</w:t>
      </w:r>
      <w:r w:rsidR="001A1199" w:rsidRPr="00416131">
        <w:t>,</w:t>
      </w:r>
      <w:r w:rsidR="00EF0269" w:rsidRPr="005A47E2">
        <w:t xml:space="preserve"> </w:t>
      </w:r>
      <w:r w:rsidR="00DD7176" w:rsidRPr="005A47E2">
        <w:t xml:space="preserve">the average fall in </w:t>
      </w:r>
      <w:r w:rsidRPr="005A47E2">
        <w:t xml:space="preserve">postgraduate </w:t>
      </w:r>
      <w:r w:rsidR="00DD7176" w:rsidRPr="00883736">
        <w:t>costs per</w:t>
      </w:r>
      <w:r w:rsidR="00A62268" w:rsidRPr="00883736">
        <w:t xml:space="preserve"> </w:t>
      </w:r>
      <w:r w:rsidR="00F95F1E" w:rsidRPr="00883736">
        <w:t>EFTSL</w:t>
      </w:r>
      <w:r w:rsidR="00A62268" w:rsidRPr="00883736">
        <w:t xml:space="preserve"> </w:t>
      </w:r>
      <w:r w:rsidR="00DD7176" w:rsidRPr="00883736">
        <w:t>was 1</w:t>
      </w:r>
      <w:r w:rsidR="009A22BB" w:rsidRPr="00883736">
        <w:t>6</w:t>
      </w:r>
      <w:r w:rsidR="00DD7176" w:rsidRPr="00883736">
        <w:t>% between 2017 and 2020.</w:t>
      </w:r>
      <w:r w:rsidR="00A62268" w:rsidRPr="00883736">
        <w:t xml:space="preserve"> </w:t>
      </w:r>
      <w:r w:rsidR="004E51BB" w:rsidRPr="00883736">
        <w:t xml:space="preserve">For those </w:t>
      </w:r>
      <w:r w:rsidR="00760E92" w:rsidRPr="00883736">
        <w:t xml:space="preserve">universities that </w:t>
      </w:r>
      <w:r w:rsidR="00BF0149" w:rsidRPr="00883736">
        <w:t xml:space="preserve">saw </w:t>
      </w:r>
      <w:r w:rsidR="003378DF" w:rsidRPr="00883736">
        <w:t xml:space="preserve">postgraduate costs per EFTSL increase, the average increase was </w:t>
      </w:r>
      <w:r w:rsidR="0019210C" w:rsidRPr="00883736">
        <w:t>9</w:t>
      </w:r>
      <w:r w:rsidR="003378DF" w:rsidRPr="00883736">
        <w:t>%.</w:t>
      </w:r>
    </w:p>
    <w:p w14:paraId="7D707099" w14:textId="358A37A2" w:rsidR="002E6300" w:rsidRDefault="002C3175" w:rsidP="002C3175">
      <w:r w:rsidRPr="00BB165A">
        <w:t xml:space="preserve">Table ii sets out the growth in costs over time for different time periods. </w:t>
      </w:r>
      <w:r w:rsidR="00F80041" w:rsidRPr="00BB165A">
        <w:t>The a</w:t>
      </w:r>
      <w:r w:rsidRPr="00BB165A">
        <w:t xml:space="preserve">nnual growth in costs for bachelor level study has </w:t>
      </w:r>
      <w:r w:rsidR="005634C6" w:rsidRPr="00BB165A">
        <w:t xml:space="preserve">been declining </w:t>
      </w:r>
      <w:r w:rsidR="00F80041" w:rsidRPr="00BB165A">
        <w:t>since 2015</w:t>
      </w:r>
      <w:r w:rsidR="00FC76B0">
        <w:t xml:space="preserve"> (among the </w:t>
      </w:r>
      <w:r w:rsidR="00B43D1F">
        <w:t>common sample of 17 universities)</w:t>
      </w:r>
      <w:r w:rsidRPr="00BB165A">
        <w:t>.</w:t>
      </w:r>
      <w:r w:rsidR="001C4F4B">
        <w:t xml:space="preserve"> </w:t>
      </w:r>
      <w:r w:rsidR="00CE069D">
        <w:t xml:space="preserve">Annual growth in bachelor costs per EFTSL have slowed from </w:t>
      </w:r>
      <w:r w:rsidR="00EE5849">
        <w:t>3.3</w:t>
      </w:r>
      <w:r w:rsidR="00CE069D">
        <w:t>% in 2018 to</w:t>
      </w:r>
      <w:r w:rsidR="002E6300">
        <w:t xml:space="preserve"> </w:t>
      </w:r>
      <w:r w:rsidR="004C6FBD">
        <w:t>1</w:t>
      </w:r>
      <w:r w:rsidR="002E6300">
        <w:t>.2% in 2019 and -0.</w:t>
      </w:r>
      <w:r w:rsidR="004C6FBD">
        <w:t>7</w:t>
      </w:r>
      <w:r w:rsidR="002E6300">
        <w:t>% in 2020.</w:t>
      </w:r>
    </w:p>
    <w:p w14:paraId="6AFA2EBD" w14:textId="6926C35F" w:rsidR="005306F8" w:rsidRDefault="001C4F4B" w:rsidP="002C3175">
      <w:r>
        <w:t xml:space="preserve">Overall </w:t>
      </w:r>
      <w:r w:rsidR="006965D6">
        <w:t xml:space="preserve">costs have increased </w:t>
      </w:r>
      <w:r w:rsidR="00EC0D30">
        <w:t>at an annual rate of</w:t>
      </w:r>
      <w:r w:rsidR="006965D6">
        <w:t xml:space="preserve"> </w:t>
      </w:r>
      <w:r w:rsidR="00282FFD">
        <w:t>1.</w:t>
      </w:r>
      <w:r w:rsidR="00764DC1">
        <w:t>8</w:t>
      </w:r>
      <w:r w:rsidR="006965D6">
        <w:t xml:space="preserve">% since 2015 (for the common sample) compared to headline </w:t>
      </w:r>
      <w:r w:rsidR="00EC0D30">
        <w:t>Consumer Price Index (</w:t>
      </w:r>
      <w:r w:rsidR="006965D6">
        <w:t>CPI</w:t>
      </w:r>
      <w:r w:rsidR="00EC0D30">
        <w:t>)</w:t>
      </w:r>
      <w:r w:rsidR="006965D6">
        <w:t xml:space="preserve"> inflation of </w:t>
      </w:r>
      <w:r w:rsidR="00172671">
        <w:t>1.5</w:t>
      </w:r>
      <w:r w:rsidR="006965D6">
        <w:t>%</w:t>
      </w:r>
      <w:r w:rsidR="00172671">
        <w:t xml:space="preserve"> per annum</w:t>
      </w:r>
      <w:r w:rsidR="00EC0D30">
        <w:t xml:space="preserve"> over the same period</w:t>
      </w:r>
      <w:r w:rsidR="006965D6">
        <w:t>.</w:t>
      </w:r>
      <w:r w:rsidR="002C3175" w:rsidRPr="00BB165A">
        <w:t xml:space="preserve"> Giv</w:t>
      </w:r>
      <w:r w:rsidR="00530D82" w:rsidRPr="00BB165A">
        <w:t>en</w:t>
      </w:r>
      <w:r w:rsidR="002C3175" w:rsidRPr="00BB165A">
        <w:t xml:space="preserve"> the change in sample in each year, the common sample is likely to provide a more reliable </w:t>
      </w:r>
      <w:r w:rsidR="00BA4C86" w:rsidRPr="00BB165A">
        <w:t>basis for estimating</w:t>
      </w:r>
      <w:r w:rsidR="002C3175" w:rsidRPr="00BB165A">
        <w:t xml:space="preserve"> changes in costs over </w:t>
      </w:r>
      <w:r w:rsidR="00D721C6">
        <w:t xml:space="preserve">a </w:t>
      </w:r>
      <w:r w:rsidR="00922F1A">
        <w:t xml:space="preserve">longer </w:t>
      </w:r>
      <w:r w:rsidR="002C3175" w:rsidRPr="00BB165A">
        <w:t>time</w:t>
      </w:r>
      <w:r w:rsidR="00BB1E8E" w:rsidRPr="00BB165A">
        <w:t xml:space="preserve"> </w:t>
      </w:r>
      <w:r w:rsidR="00922F1A">
        <w:t>period</w:t>
      </w:r>
      <w:r w:rsidR="00BB1E8E" w:rsidRPr="00BB165A">
        <w:t>.</w:t>
      </w:r>
      <w:r w:rsidR="00BB1E8E">
        <w:t xml:space="preserve"> </w:t>
      </w:r>
    </w:p>
    <w:p w14:paraId="1ADFEE44" w14:textId="77777777" w:rsidR="002C3175" w:rsidRDefault="374F00F6" w:rsidP="00691B65">
      <w:pPr>
        <w:pStyle w:val="ExecTableCaption"/>
      </w:pPr>
      <w:bookmarkStart w:id="113" w:name="_Toc105776398"/>
      <w:r>
        <w:t>: Average unit cost per EFTSL</w:t>
      </w:r>
      <w:bookmarkEnd w:id="113"/>
    </w:p>
    <w:tbl>
      <w:tblPr>
        <w:tblW w:w="9134" w:type="dxa"/>
        <w:tblLook w:val="04A0" w:firstRow="1" w:lastRow="0" w:firstColumn="1" w:lastColumn="0" w:noHBand="0" w:noVBand="1"/>
      </w:tblPr>
      <w:tblGrid>
        <w:gridCol w:w="1422"/>
        <w:gridCol w:w="627"/>
        <w:gridCol w:w="1417"/>
        <w:gridCol w:w="1417"/>
        <w:gridCol w:w="1417"/>
        <w:gridCol w:w="1417"/>
        <w:gridCol w:w="1417"/>
      </w:tblGrid>
      <w:tr w:rsidR="00A8573B" w:rsidRPr="00F46999" w14:paraId="018FB99F" w14:textId="77777777" w:rsidTr="00BD7EB4">
        <w:trPr>
          <w:trHeight w:val="565"/>
        </w:trPr>
        <w:tc>
          <w:tcPr>
            <w:tcW w:w="1422" w:type="dxa"/>
            <w:tcBorders>
              <w:top w:val="single" w:sz="24" w:space="0" w:color="62B5E5" w:themeColor="accent3"/>
              <w:left w:val="nil"/>
              <w:bottom w:val="single" w:sz="4" w:space="0" w:color="auto"/>
              <w:right w:val="nil"/>
            </w:tcBorders>
            <w:shd w:val="clear" w:color="auto" w:fill="auto"/>
            <w:noWrap/>
            <w:vAlign w:val="bottom"/>
            <w:hideMark/>
          </w:tcPr>
          <w:p w14:paraId="3621BF3E" w14:textId="77777777" w:rsidR="00A8573B" w:rsidRPr="00BB165A" w:rsidRDefault="00A8573B" w:rsidP="00BD7EB4">
            <w:pPr>
              <w:spacing w:after="0" w:line="240" w:lineRule="auto"/>
              <w:rPr>
                <w:rFonts w:eastAsia="Times New Roman" w:cs="Arial"/>
                <w:b/>
                <w:sz w:val="16"/>
                <w:szCs w:val="16"/>
                <w:lang w:eastAsia="en-AU"/>
              </w:rPr>
            </w:pPr>
            <w:r w:rsidRPr="00BB165A">
              <w:rPr>
                <w:rFonts w:eastAsia="Times New Roman" w:cs="Arial"/>
                <w:b/>
                <w:sz w:val="16"/>
                <w:szCs w:val="16"/>
                <w:lang w:eastAsia="en-AU"/>
              </w:rPr>
              <w:t> </w:t>
            </w:r>
          </w:p>
        </w:tc>
        <w:tc>
          <w:tcPr>
            <w:tcW w:w="627" w:type="dxa"/>
            <w:tcBorders>
              <w:top w:val="single" w:sz="24" w:space="0" w:color="62B5E5" w:themeColor="accent3"/>
              <w:left w:val="nil"/>
              <w:bottom w:val="single" w:sz="4" w:space="0" w:color="auto"/>
              <w:right w:val="nil"/>
            </w:tcBorders>
            <w:shd w:val="clear" w:color="auto" w:fill="auto"/>
            <w:noWrap/>
            <w:vAlign w:val="bottom"/>
            <w:hideMark/>
          </w:tcPr>
          <w:p w14:paraId="47B27C46" w14:textId="77777777" w:rsidR="00A8573B" w:rsidRPr="00BB165A" w:rsidRDefault="00A8573B" w:rsidP="00BD7EB4">
            <w:pPr>
              <w:spacing w:after="0" w:line="240" w:lineRule="auto"/>
              <w:rPr>
                <w:rFonts w:eastAsia="Times New Roman" w:cs="Arial"/>
                <w:b/>
                <w:sz w:val="16"/>
                <w:szCs w:val="16"/>
                <w:lang w:eastAsia="en-AU"/>
              </w:rPr>
            </w:pPr>
            <w:r w:rsidRPr="00BB165A">
              <w:rPr>
                <w:rFonts w:eastAsia="Times New Roman" w:cs="Arial"/>
                <w:b/>
                <w:sz w:val="16"/>
                <w:szCs w:val="16"/>
                <w:lang w:eastAsia="en-AU"/>
              </w:rPr>
              <w:t>Year</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25565F99" w14:textId="77777777" w:rsidR="00A8573B" w:rsidRPr="00BB165A" w:rsidRDefault="00A8573B"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2010 sample </w:t>
            </w:r>
            <w:r w:rsidRPr="00BB165A">
              <w:rPr>
                <w:rFonts w:eastAsia="Times New Roman" w:cs="Arial"/>
                <w:b/>
                <w:sz w:val="16"/>
                <w:szCs w:val="16"/>
                <w:lang w:eastAsia="en-AU"/>
              </w:rPr>
              <w:br/>
              <w:t>(8 universities)</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7D9E4612" w14:textId="77777777" w:rsidR="00A8573B" w:rsidRPr="00BB165A" w:rsidRDefault="00A8573B"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2015 sample </w:t>
            </w:r>
            <w:r w:rsidRPr="00BB165A">
              <w:rPr>
                <w:rFonts w:eastAsia="Times New Roman" w:cs="Arial"/>
                <w:b/>
                <w:sz w:val="16"/>
                <w:szCs w:val="16"/>
                <w:lang w:eastAsia="en-AU"/>
              </w:rPr>
              <w:br/>
              <w:t>(17 universities)</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3BF32A68" w14:textId="77777777" w:rsidR="00A8573B" w:rsidRPr="00BB165A" w:rsidRDefault="00A8573B"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2017 sample </w:t>
            </w:r>
            <w:r w:rsidRPr="00BB165A">
              <w:rPr>
                <w:rFonts w:eastAsia="Times New Roman" w:cs="Arial"/>
                <w:b/>
                <w:sz w:val="16"/>
                <w:szCs w:val="16"/>
                <w:lang w:eastAsia="en-AU"/>
              </w:rPr>
              <w:br/>
              <w:t>(25 universities)</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7AAEBA02" w14:textId="77777777" w:rsidR="00A8573B" w:rsidRPr="00BB165A" w:rsidRDefault="00A8573B"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2018 sample </w:t>
            </w:r>
            <w:r w:rsidRPr="00BB165A">
              <w:rPr>
                <w:rFonts w:eastAsia="Times New Roman" w:cs="Arial"/>
                <w:b/>
                <w:sz w:val="16"/>
                <w:szCs w:val="16"/>
                <w:lang w:eastAsia="en-AU"/>
              </w:rPr>
              <w:br/>
              <w:t>(32 universities)</w:t>
            </w:r>
          </w:p>
        </w:tc>
        <w:tc>
          <w:tcPr>
            <w:tcW w:w="1417" w:type="dxa"/>
            <w:tcBorders>
              <w:top w:val="single" w:sz="24" w:space="0" w:color="62B5E5" w:themeColor="accent3"/>
              <w:left w:val="nil"/>
              <w:bottom w:val="single" w:sz="4" w:space="0" w:color="auto"/>
              <w:right w:val="nil"/>
            </w:tcBorders>
            <w:vAlign w:val="bottom"/>
          </w:tcPr>
          <w:p w14:paraId="1C22E3F4" w14:textId="77777777" w:rsidR="00A8573B" w:rsidRPr="00BB165A" w:rsidRDefault="00A8573B"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Full sample </w:t>
            </w:r>
            <w:r w:rsidRPr="00BB165A">
              <w:rPr>
                <w:rFonts w:eastAsia="Times New Roman" w:cs="Arial"/>
                <w:b/>
                <w:sz w:val="16"/>
                <w:szCs w:val="16"/>
                <w:lang w:eastAsia="en-AU"/>
              </w:rPr>
              <w:br/>
              <w:t>(37 universities)</w:t>
            </w:r>
          </w:p>
        </w:tc>
      </w:tr>
      <w:tr w:rsidR="00A8573B" w:rsidRPr="00F46999" w14:paraId="5F827BC4" w14:textId="77777777" w:rsidTr="00BD7EB4">
        <w:trPr>
          <w:trHeight w:val="282"/>
        </w:trPr>
        <w:tc>
          <w:tcPr>
            <w:tcW w:w="1422" w:type="dxa"/>
            <w:tcBorders>
              <w:top w:val="single" w:sz="4" w:space="0" w:color="auto"/>
              <w:left w:val="nil"/>
              <w:right w:val="nil"/>
            </w:tcBorders>
            <w:shd w:val="clear" w:color="auto" w:fill="auto"/>
            <w:noWrap/>
            <w:vAlign w:val="center"/>
            <w:hideMark/>
          </w:tcPr>
          <w:p w14:paraId="01D0C229" w14:textId="77777777" w:rsidR="00A8573B" w:rsidRPr="00BB165A" w:rsidRDefault="00A8573B" w:rsidP="00A8573B">
            <w:pPr>
              <w:spacing w:after="0" w:line="240" w:lineRule="auto"/>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Bachelor</w:t>
            </w:r>
          </w:p>
        </w:tc>
        <w:tc>
          <w:tcPr>
            <w:tcW w:w="627" w:type="dxa"/>
            <w:tcBorders>
              <w:top w:val="nil"/>
              <w:left w:val="nil"/>
              <w:bottom w:val="nil"/>
              <w:right w:val="nil"/>
            </w:tcBorders>
            <w:shd w:val="clear" w:color="auto" w:fill="auto"/>
            <w:noWrap/>
            <w:vAlign w:val="bottom"/>
            <w:hideMark/>
          </w:tcPr>
          <w:p w14:paraId="40B5579E"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2010</w:t>
            </w:r>
          </w:p>
        </w:tc>
        <w:tc>
          <w:tcPr>
            <w:tcW w:w="1417" w:type="dxa"/>
            <w:tcBorders>
              <w:top w:val="nil"/>
              <w:left w:val="nil"/>
              <w:bottom w:val="nil"/>
              <w:right w:val="nil"/>
            </w:tcBorders>
            <w:shd w:val="clear" w:color="auto" w:fill="auto"/>
            <w:noWrap/>
            <w:hideMark/>
          </w:tcPr>
          <w:p w14:paraId="07EF1AA2" w14:textId="3A56E718"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$15,100</w:t>
            </w:r>
          </w:p>
        </w:tc>
        <w:tc>
          <w:tcPr>
            <w:tcW w:w="1417" w:type="dxa"/>
            <w:tcBorders>
              <w:top w:val="nil"/>
              <w:left w:val="nil"/>
              <w:bottom w:val="nil"/>
              <w:right w:val="nil"/>
            </w:tcBorders>
            <w:shd w:val="clear" w:color="auto" w:fill="auto"/>
            <w:noWrap/>
            <w:hideMark/>
          </w:tcPr>
          <w:p w14:paraId="7ADD75FD" w14:textId="323B2F33"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1D047382" w14:textId="300C8D94"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4ECFFACC" w14:textId="5AB30DCA"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1BD54345" w14:textId="7D5C33C9"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11F8E24A" w14:textId="77777777" w:rsidTr="00BD7EB4">
        <w:trPr>
          <w:trHeight w:val="232"/>
        </w:trPr>
        <w:tc>
          <w:tcPr>
            <w:tcW w:w="1422" w:type="dxa"/>
            <w:tcBorders>
              <w:left w:val="nil"/>
              <w:right w:val="nil"/>
            </w:tcBorders>
            <w:shd w:val="clear" w:color="auto" w:fill="auto"/>
            <w:vAlign w:val="center"/>
            <w:hideMark/>
          </w:tcPr>
          <w:p w14:paraId="2BD2F5E8"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573087BE"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2015</w:t>
            </w:r>
          </w:p>
        </w:tc>
        <w:tc>
          <w:tcPr>
            <w:tcW w:w="1417" w:type="dxa"/>
            <w:tcBorders>
              <w:top w:val="nil"/>
              <w:left w:val="nil"/>
              <w:bottom w:val="nil"/>
              <w:right w:val="nil"/>
            </w:tcBorders>
            <w:shd w:val="clear" w:color="auto" w:fill="auto"/>
            <w:noWrap/>
            <w:hideMark/>
          </w:tcPr>
          <w:p w14:paraId="7BD46248" w14:textId="6BEBEFE2"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1DCB5154" w14:textId="2AF04417"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$16,200</w:t>
            </w:r>
          </w:p>
        </w:tc>
        <w:tc>
          <w:tcPr>
            <w:tcW w:w="1417" w:type="dxa"/>
            <w:tcBorders>
              <w:top w:val="nil"/>
              <w:left w:val="nil"/>
              <w:bottom w:val="nil"/>
              <w:right w:val="nil"/>
            </w:tcBorders>
            <w:shd w:val="clear" w:color="auto" w:fill="auto"/>
            <w:noWrap/>
            <w:hideMark/>
          </w:tcPr>
          <w:p w14:paraId="1BFBD005" w14:textId="2D3E9113"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66814C1" w14:textId="2822C878"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01F0E7CA" w14:textId="6D70B056"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42214663" w14:textId="77777777" w:rsidTr="00BD7EB4">
        <w:trPr>
          <w:trHeight w:val="232"/>
        </w:trPr>
        <w:tc>
          <w:tcPr>
            <w:tcW w:w="1422" w:type="dxa"/>
            <w:tcBorders>
              <w:left w:val="nil"/>
              <w:right w:val="nil"/>
            </w:tcBorders>
            <w:shd w:val="clear" w:color="auto" w:fill="auto"/>
            <w:vAlign w:val="center"/>
            <w:hideMark/>
          </w:tcPr>
          <w:p w14:paraId="140DE351"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73D647E8"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2017</w:t>
            </w:r>
          </w:p>
        </w:tc>
        <w:tc>
          <w:tcPr>
            <w:tcW w:w="1417" w:type="dxa"/>
            <w:tcBorders>
              <w:top w:val="nil"/>
              <w:left w:val="nil"/>
              <w:bottom w:val="nil"/>
              <w:right w:val="nil"/>
            </w:tcBorders>
            <w:shd w:val="clear" w:color="auto" w:fill="auto"/>
            <w:noWrap/>
            <w:hideMark/>
          </w:tcPr>
          <w:p w14:paraId="7E9172EF" w14:textId="38880645"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CF32B25" w14:textId="2D66D6E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$16,900</w:t>
            </w:r>
          </w:p>
        </w:tc>
        <w:tc>
          <w:tcPr>
            <w:tcW w:w="1417" w:type="dxa"/>
            <w:tcBorders>
              <w:top w:val="nil"/>
              <w:left w:val="nil"/>
              <w:bottom w:val="nil"/>
              <w:right w:val="nil"/>
            </w:tcBorders>
            <w:shd w:val="clear" w:color="auto" w:fill="auto"/>
            <w:noWrap/>
            <w:hideMark/>
          </w:tcPr>
          <w:p w14:paraId="07CAE8B6" w14:textId="4D258E0A"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$17,300</w:t>
            </w:r>
          </w:p>
        </w:tc>
        <w:tc>
          <w:tcPr>
            <w:tcW w:w="1417" w:type="dxa"/>
            <w:tcBorders>
              <w:top w:val="nil"/>
              <w:left w:val="nil"/>
              <w:bottom w:val="nil"/>
              <w:right w:val="nil"/>
            </w:tcBorders>
            <w:shd w:val="clear" w:color="auto" w:fill="auto"/>
            <w:noWrap/>
            <w:hideMark/>
          </w:tcPr>
          <w:p w14:paraId="0E4E3F6C" w14:textId="4F2B6323"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6AE3D9A4" w14:textId="2EEDE671"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2C6E6501" w14:textId="77777777" w:rsidTr="00BD7EB4">
        <w:trPr>
          <w:trHeight w:val="232"/>
        </w:trPr>
        <w:tc>
          <w:tcPr>
            <w:tcW w:w="1422" w:type="dxa"/>
            <w:tcBorders>
              <w:left w:val="nil"/>
              <w:right w:val="nil"/>
            </w:tcBorders>
            <w:vAlign w:val="center"/>
          </w:tcPr>
          <w:p w14:paraId="11962DB1"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49639E17"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2018</w:t>
            </w:r>
          </w:p>
        </w:tc>
        <w:tc>
          <w:tcPr>
            <w:tcW w:w="1417" w:type="dxa"/>
            <w:tcBorders>
              <w:top w:val="nil"/>
              <w:left w:val="nil"/>
              <w:bottom w:val="nil"/>
              <w:right w:val="nil"/>
            </w:tcBorders>
            <w:shd w:val="clear" w:color="auto" w:fill="auto"/>
            <w:noWrap/>
          </w:tcPr>
          <w:p w14:paraId="0DB4BA71" w14:textId="716B927F"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69612B9C" w14:textId="1A524634"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$17,500</w:t>
            </w:r>
          </w:p>
        </w:tc>
        <w:tc>
          <w:tcPr>
            <w:tcW w:w="1417" w:type="dxa"/>
            <w:tcBorders>
              <w:top w:val="nil"/>
              <w:left w:val="nil"/>
              <w:bottom w:val="nil"/>
              <w:right w:val="nil"/>
            </w:tcBorders>
            <w:shd w:val="clear" w:color="auto" w:fill="auto"/>
            <w:noWrap/>
          </w:tcPr>
          <w:p w14:paraId="4FD2E01B" w14:textId="212565B1"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$17,700</w:t>
            </w:r>
          </w:p>
        </w:tc>
        <w:tc>
          <w:tcPr>
            <w:tcW w:w="1417" w:type="dxa"/>
            <w:tcBorders>
              <w:top w:val="nil"/>
              <w:left w:val="nil"/>
              <w:bottom w:val="nil"/>
              <w:right w:val="nil"/>
            </w:tcBorders>
            <w:shd w:val="clear" w:color="auto" w:fill="auto"/>
            <w:noWrap/>
          </w:tcPr>
          <w:p w14:paraId="67EC3CE1" w14:textId="479148AE"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$17,600</w:t>
            </w:r>
          </w:p>
        </w:tc>
        <w:tc>
          <w:tcPr>
            <w:tcW w:w="1417" w:type="dxa"/>
            <w:tcBorders>
              <w:top w:val="nil"/>
              <w:left w:val="nil"/>
              <w:bottom w:val="nil"/>
              <w:right w:val="nil"/>
            </w:tcBorders>
            <w:shd w:val="clear" w:color="auto" w:fill="auto"/>
          </w:tcPr>
          <w:p w14:paraId="6CE8721B" w14:textId="6C01B53A"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5E788C6A" w14:textId="77777777" w:rsidTr="00BD7EB4">
        <w:trPr>
          <w:trHeight w:val="232"/>
        </w:trPr>
        <w:tc>
          <w:tcPr>
            <w:tcW w:w="1422" w:type="dxa"/>
            <w:tcBorders>
              <w:left w:val="nil"/>
              <w:right w:val="nil"/>
            </w:tcBorders>
            <w:vAlign w:val="center"/>
          </w:tcPr>
          <w:p w14:paraId="2225A01F"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187C870D"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2019</w:t>
            </w:r>
          </w:p>
        </w:tc>
        <w:tc>
          <w:tcPr>
            <w:tcW w:w="1417" w:type="dxa"/>
            <w:tcBorders>
              <w:top w:val="nil"/>
              <w:left w:val="nil"/>
              <w:bottom w:val="nil"/>
              <w:right w:val="nil"/>
            </w:tcBorders>
            <w:shd w:val="clear" w:color="auto" w:fill="auto"/>
            <w:noWrap/>
          </w:tcPr>
          <w:p w14:paraId="7C55C3A1" w14:textId="42AFF65A"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013EE364" w14:textId="287C7D21"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$17,700</w:t>
            </w:r>
          </w:p>
        </w:tc>
        <w:tc>
          <w:tcPr>
            <w:tcW w:w="1417" w:type="dxa"/>
            <w:tcBorders>
              <w:top w:val="nil"/>
              <w:left w:val="nil"/>
              <w:bottom w:val="nil"/>
              <w:right w:val="nil"/>
            </w:tcBorders>
            <w:shd w:val="clear" w:color="auto" w:fill="auto"/>
            <w:noWrap/>
          </w:tcPr>
          <w:p w14:paraId="64A61605" w14:textId="05D2E879"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$17,900</w:t>
            </w:r>
          </w:p>
        </w:tc>
        <w:tc>
          <w:tcPr>
            <w:tcW w:w="1417" w:type="dxa"/>
            <w:tcBorders>
              <w:top w:val="nil"/>
              <w:left w:val="nil"/>
              <w:bottom w:val="nil"/>
              <w:right w:val="nil"/>
            </w:tcBorders>
            <w:shd w:val="clear" w:color="auto" w:fill="auto"/>
            <w:noWrap/>
          </w:tcPr>
          <w:p w14:paraId="52A79B7A" w14:textId="68E5FBF6"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$17,800</w:t>
            </w:r>
          </w:p>
        </w:tc>
        <w:tc>
          <w:tcPr>
            <w:tcW w:w="1417" w:type="dxa"/>
            <w:tcBorders>
              <w:top w:val="nil"/>
              <w:left w:val="nil"/>
              <w:bottom w:val="nil"/>
              <w:right w:val="nil"/>
            </w:tcBorders>
            <w:shd w:val="clear" w:color="auto" w:fill="auto"/>
          </w:tcPr>
          <w:p w14:paraId="03047E93" w14:textId="49ED0864"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$17,900</w:t>
            </w:r>
          </w:p>
        </w:tc>
      </w:tr>
      <w:tr w:rsidR="00A8573B" w:rsidRPr="00F46999" w14:paraId="538F5636" w14:textId="77777777" w:rsidTr="00BD7EB4">
        <w:trPr>
          <w:trHeight w:val="232"/>
        </w:trPr>
        <w:tc>
          <w:tcPr>
            <w:tcW w:w="1422" w:type="dxa"/>
            <w:tcBorders>
              <w:left w:val="nil"/>
              <w:bottom w:val="single" w:sz="4" w:space="0" w:color="000000"/>
              <w:right w:val="nil"/>
            </w:tcBorders>
            <w:vAlign w:val="center"/>
            <w:hideMark/>
          </w:tcPr>
          <w:p w14:paraId="51AFB57F"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single" w:sz="4" w:space="0" w:color="auto"/>
              <w:right w:val="nil"/>
            </w:tcBorders>
            <w:shd w:val="clear" w:color="auto" w:fill="auto"/>
            <w:noWrap/>
            <w:vAlign w:val="bottom"/>
            <w:hideMark/>
          </w:tcPr>
          <w:p w14:paraId="5CD2A4B3"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2020</w:t>
            </w:r>
          </w:p>
        </w:tc>
        <w:tc>
          <w:tcPr>
            <w:tcW w:w="1417" w:type="dxa"/>
            <w:tcBorders>
              <w:top w:val="nil"/>
              <w:left w:val="nil"/>
              <w:bottom w:val="single" w:sz="4" w:space="0" w:color="auto"/>
              <w:right w:val="nil"/>
            </w:tcBorders>
            <w:shd w:val="clear" w:color="auto" w:fill="auto"/>
            <w:noWrap/>
            <w:hideMark/>
          </w:tcPr>
          <w:p w14:paraId="18053F85" w14:textId="1761D005"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single" w:sz="4" w:space="0" w:color="auto"/>
              <w:right w:val="nil"/>
            </w:tcBorders>
            <w:shd w:val="clear" w:color="auto" w:fill="auto"/>
            <w:noWrap/>
            <w:hideMark/>
          </w:tcPr>
          <w:p w14:paraId="1C6298A7" w14:textId="33B63FE6"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$17,600</w:t>
            </w:r>
          </w:p>
        </w:tc>
        <w:tc>
          <w:tcPr>
            <w:tcW w:w="1417" w:type="dxa"/>
            <w:tcBorders>
              <w:top w:val="nil"/>
              <w:left w:val="nil"/>
              <w:bottom w:val="single" w:sz="4" w:space="0" w:color="auto"/>
              <w:right w:val="nil"/>
            </w:tcBorders>
            <w:shd w:val="clear" w:color="auto" w:fill="auto"/>
            <w:noWrap/>
            <w:hideMark/>
          </w:tcPr>
          <w:p w14:paraId="0D86EF26" w14:textId="2582FFAE"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$17,700</w:t>
            </w:r>
          </w:p>
        </w:tc>
        <w:tc>
          <w:tcPr>
            <w:tcW w:w="1417" w:type="dxa"/>
            <w:tcBorders>
              <w:top w:val="nil"/>
              <w:left w:val="nil"/>
              <w:bottom w:val="single" w:sz="4" w:space="0" w:color="auto"/>
              <w:right w:val="nil"/>
            </w:tcBorders>
            <w:shd w:val="clear" w:color="auto" w:fill="auto"/>
            <w:noWrap/>
            <w:hideMark/>
          </w:tcPr>
          <w:p w14:paraId="0C914C4A" w14:textId="2878ABAD"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$17,800</w:t>
            </w:r>
          </w:p>
        </w:tc>
        <w:tc>
          <w:tcPr>
            <w:tcW w:w="1417" w:type="dxa"/>
            <w:tcBorders>
              <w:top w:val="nil"/>
              <w:left w:val="nil"/>
              <w:bottom w:val="single" w:sz="4" w:space="0" w:color="auto"/>
              <w:right w:val="nil"/>
            </w:tcBorders>
            <w:shd w:val="clear" w:color="auto" w:fill="auto"/>
          </w:tcPr>
          <w:p w14:paraId="3D28714C" w14:textId="27BBCF5C"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$17,900</w:t>
            </w:r>
          </w:p>
        </w:tc>
      </w:tr>
      <w:tr w:rsidR="00A8573B" w:rsidRPr="00F46999" w14:paraId="21ED8D03" w14:textId="77777777" w:rsidTr="00BD7EB4">
        <w:trPr>
          <w:trHeight w:val="282"/>
        </w:trPr>
        <w:tc>
          <w:tcPr>
            <w:tcW w:w="1422" w:type="dxa"/>
            <w:tcBorders>
              <w:top w:val="nil"/>
              <w:left w:val="nil"/>
              <w:right w:val="nil"/>
            </w:tcBorders>
            <w:shd w:val="clear" w:color="auto" w:fill="auto"/>
            <w:noWrap/>
            <w:vAlign w:val="center"/>
            <w:hideMark/>
          </w:tcPr>
          <w:p w14:paraId="3CEB3B25" w14:textId="77777777" w:rsidR="00A8573B" w:rsidRPr="00BB165A" w:rsidRDefault="00A8573B" w:rsidP="00A8573B">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Postgraduate</w:t>
            </w:r>
          </w:p>
        </w:tc>
        <w:tc>
          <w:tcPr>
            <w:tcW w:w="627" w:type="dxa"/>
            <w:tcBorders>
              <w:top w:val="nil"/>
              <w:left w:val="nil"/>
              <w:bottom w:val="nil"/>
              <w:right w:val="nil"/>
            </w:tcBorders>
            <w:shd w:val="clear" w:color="auto" w:fill="auto"/>
            <w:noWrap/>
            <w:vAlign w:val="bottom"/>
            <w:hideMark/>
          </w:tcPr>
          <w:p w14:paraId="2748D901"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2010</w:t>
            </w:r>
          </w:p>
        </w:tc>
        <w:tc>
          <w:tcPr>
            <w:tcW w:w="1417" w:type="dxa"/>
            <w:tcBorders>
              <w:top w:val="nil"/>
              <w:left w:val="nil"/>
              <w:bottom w:val="nil"/>
              <w:right w:val="nil"/>
            </w:tcBorders>
            <w:shd w:val="clear" w:color="auto" w:fill="auto"/>
            <w:noWrap/>
            <w:hideMark/>
          </w:tcPr>
          <w:p w14:paraId="30B9B7AF" w14:textId="2E64D1E2"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$17,400</w:t>
            </w:r>
          </w:p>
        </w:tc>
        <w:tc>
          <w:tcPr>
            <w:tcW w:w="1417" w:type="dxa"/>
            <w:tcBorders>
              <w:top w:val="nil"/>
              <w:left w:val="nil"/>
              <w:bottom w:val="nil"/>
              <w:right w:val="nil"/>
            </w:tcBorders>
            <w:shd w:val="clear" w:color="auto" w:fill="auto"/>
            <w:noWrap/>
            <w:hideMark/>
          </w:tcPr>
          <w:p w14:paraId="5FC87084" w14:textId="31532B0E"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7915DC8" w14:textId="5E08FD98"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0EC795BB" w14:textId="7FB7C556"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19C7D2C5" w14:textId="39B88DC0"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3711D974" w14:textId="77777777" w:rsidTr="00BD7EB4">
        <w:trPr>
          <w:trHeight w:val="232"/>
        </w:trPr>
        <w:tc>
          <w:tcPr>
            <w:tcW w:w="1422" w:type="dxa"/>
            <w:tcBorders>
              <w:top w:val="nil"/>
              <w:left w:val="nil"/>
              <w:right w:val="nil"/>
            </w:tcBorders>
            <w:shd w:val="clear" w:color="auto" w:fill="auto"/>
            <w:vAlign w:val="center"/>
            <w:hideMark/>
          </w:tcPr>
          <w:p w14:paraId="31475D78"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19D992F9"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2015</w:t>
            </w:r>
          </w:p>
        </w:tc>
        <w:tc>
          <w:tcPr>
            <w:tcW w:w="1417" w:type="dxa"/>
            <w:tcBorders>
              <w:top w:val="nil"/>
              <w:left w:val="nil"/>
              <w:bottom w:val="nil"/>
              <w:right w:val="nil"/>
            </w:tcBorders>
            <w:shd w:val="clear" w:color="auto" w:fill="auto"/>
            <w:noWrap/>
            <w:hideMark/>
          </w:tcPr>
          <w:p w14:paraId="4AE80DC8" w14:textId="67F0B7A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43659BC1" w14:textId="017FF7A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$20,500</w:t>
            </w:r>
          </w:p>
        </w:tc>
        <w:tc>
          <w:tcPr>
            <w:tcW w:w="1417" w:type="dxa"/>
            <w:tcBorders>
              <w:top w:val="nil"/>
              <w:left w:val="nil"/>
              <w:bottom w:val="nil"/>
              <w:right w:val="nil"/>
            </w:tcBorders>
            <w:shd w:val="clear" w:color="auto" w:fill="auto"/>
            <w:noWrap/>
            <w:hideMark/>
          </w:tcPr>
          <w:p w14:paraId="2C151CBF" w14:textId="0A3276A8"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40FC98DD" w14:textId="65E34BAF"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35812915" w14:textId="0923509B"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2170BF9D" w14:textId="77777777" w:rsidTr="00BD7EB4">
        <w:trPr>
          <w:trHeight w:val="232"/>
        </w:trPr>
        <w:tc>
          <w:tcPr>
            <w:tcW w:w="1422" w:type="dxa"/>
            <w:tcBorders>
              <w:left w:val="nil"/>
              <w:right w:val="nil"/>
            </w:tcBorders>
            <w:shd w:val="clear" w:color="auto" w:fill="auto"/>
            <w:vAlign w:val="center"/>
            <w:hideMark/>
          </w:tcPr>
          <w:p w14:paraId="42D01447"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43A6B92A"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2017</w:t>
            </w:r>
          </w:p>
        </w:tc>
        <w:tc>
          <w:tcPr>
            <w:tcW w:w="1417" w:type="dxa"/>
            <w:tcBorders>
              <w:top w:val="nil"/>
              <w:left w:val="nil"/>
              <w:bottom w:val="nil"/>
              <w:right w:val="nil"/>
            </w:tcBorders>
            <w:shd w:val="clear" w:color="auto" w:fill="auto"/>
            <w:noWrap/>
            <w:hideMark/>
          </w:tcPr>
          <w:p w14:paraId="6E1A6422" w14:textId="39838CF6"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0580716E" w14:textId="17EA8A51"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$21,800</w:t>
            </w:r>
          </w:p>
        </w:tc>
        <w:tc>
          <w:tcPr>
            <w:tcW w:w="1417" w:type="dxa"/>
            <w:tcBorders>
              <w:top w:val="nil"/>
              <w:left w:val="nil"/>
              <w:bottom w:val="nil"/>
              <w:right w:val="nil"/>
            </w:tcBorders>
            <w:shd w:val="clear" w:color="auto" w:fill="auto"/>
            <w:noWrap/>
            <w:hideMark/>
          </w:tcPr>
          <w:p w14:paraId="2B8C2CDA" w14:textId="09CA9308"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$22,200</w:t>
            </w:r>
          </w:p>
        </w:tc>
        <w:tc>
          <w:tcPr>
            <w:tcW w:w="1417" w:type="dxa"/>
            <w:tcBorders>
              <w:top w:val="nil"/>
              <w:left w:val="nil"/>
              <w:bottom w:val="nil"/>
              <w:right w:val="nil"/>
            </w:tcBorders>
            <w:shd w:val="clear" w:color="auto" w:fill="auto"/>
            <w:noWrap/>
            <w:hideMark/>
          </w:tcPr>
          <w:p w14:paraId="3BA18142" w14:textId="6A59605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3DE8A78E" w14:textId="78B994FB"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708C4FF1" w14:textId="77777777" w:rsidTr="00BD7EB4">
        <w:trPr>
          <w:trHeight w:val="232"/>
        </w:trPr>
        <w:tc>
          <w:tcPr>
            <w:tcW w:w="1422" w:type="dxa"/>
            <w:tcBorders>
              <w:top w:val="nil"/>
              <w:left w:val="nil"/>
              <w:right w:val="nil"/>
            </w:tcBorders>
            <w:vAlign w:val="center"/>
          </w:tcPr>
          <w:p w14:paraId="7D73B961"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5B9BCC27"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2018</w:t>
            </w:r>
          </w:p>
        </w:tc>
        <w:tc>
          <w:tcPr>
            <w:tcW w:w="1417" w:type="dxa"/>
            <w:tcBorders>
              <w:top w:val="nil"/>
              <w:left w:val="nil"/>
              <w:bottom w:val="nil"/>
              <w:right w:val="nil"/>
            </w:tcBorders>
            <w:shd w:val="clear" w:color="auto" w:fill="auto"/>
            <w:noWrap/>
          </w:tcPr>
          <w:p w14:paraId="02F3CF36" w14:textId="37785F35"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5E60F254" w14:textId="53718263"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$21,900</w:t>
            </w:r>
          </w:p>
        </w:tc>
        <w:tc>
          <w:tcPr>
            <w:tcW w:w="1417" w:type="dxa"/>
            <w:tcBorders>
              <w:top w:val="nil"/>
              <w:left w:val="nil"/>
              <w:bottom w:val="nil"/>
              <w:right w:val="nil"/>
            </w:tcBorders>
            <w:shd w:val="clear" w:color="auto" w:fill="auto"/>
            <w:noWrap/>
          </w:tcPr>
          <w:p w14:paraId="483D64B2" w14:textId="5EA0DD44"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$22,000</w:t>
            </w:r>
          </w:p>
        </w:tc>
        <w:tc>
          <w:tcPr>
            <w:tcW w:w="1417" w:type="dxa"/>
            <w:tcBorders>
              <w:top w:val="nil"/>
              <w:left w:val="nil"/>
              <w:bottom w:val="nil"/>
              <w:right w:val="nil"/>
            </w:tcBorders>
            <w:shd w:val="clear" w:color="auto" w:fill="auto"/>
            <w:noWrap/>
          </w:tcPr>
          <w:p w14:paraId="764CEBE2" w14:textId="52F0F075"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$21,500</w:t>
            </w:r>
          </w:p>
        </w:tc>
        <w:tc>
          <w:tcPr>
            <w:tcW w:w="1417" w:type="dxa"/>
            <w:tcBorders>
              <w:top w:val="nil"/>
              <w:left w:val="nil"/>
              <w:bottom w:val="nil"/>
              <w:right w:val="nil"/>
            </w:tcBorders>
            <w:shd w:val="clear" w:color="auto" w:fill="auto"/>
          </w:tcPr>
          <w:p w14:paraId="00023A89" w14:textId="08DB0255"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6D7F6E7E" w14:textId="77777777" w:rsidTr="00BD7EB4">
        <w:trPr>
          <w:trHeight w:val="232"/>
        </w:trPr>
        <w:tc>
          <w:tcPr>
            <w:tcW w:w="1422" w:type="dxa"/>
            <w:tcBorders>
              <w:top w:val="nil"/>
              <w:left w:val="nil"/>
              <w:right w:val="nil"/>
            </w:tcBorders>
            <w:vAlign w:val="center"/>
          </w:tcPr>
          <w:p w14:paraId="51E3B6E7"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27ECA857"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2019</w:t>
            </w:r>
          </w:p>
        </w:tc>
        <w:tc>
          <w:tcPr>
            <w:tcW w:w="1417" w:type="dxa"/>
            <w:tcBorders>
              <w:top w:val="nil"/>
              <w:left w:val="nil"/>
              <w:bottom w:val="nil"/>
              <w:right w:val="nil"/>
            </w:tcBorders>
            <w:shd w:val="clear" w:color="auto" w:fill="auto"/>
            <w:noWrap/>
          </w:tcPr>
          <w:p w14:paraId="3D02E513" w14:textId="5DDC744B"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331AF114" w14:textId="08D56B8F"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$21,900</w:t>
            </w:r>
          </w:p>
        </w:tc>
        <w:tc>
          <w:tcPr>
            <w:tcW w:w="1417" w:type="dxa"/>
            <w:tcBorders>
              <w:top w:val="nil"/>
              <w:left w:val="nil"/>
              <w:bottom w:val="nil"/>
              <w:right w:val="nil"/>
            </w:tcBorders>
            <w:shd w:val="clear" w:color="auto" w:fill="auto"/>
            <w:noWrap/>
          </w:tcPr>
          <w:p w14:paraId="2B9F6AAD" w14:textId="5ECD86AE"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$22,000</w:t>
            </w:r>
          </w:p>
        </w:tc>
        <w:tc>
          <w:tcPr>
            <w:tcW w:w="1417" w:type="dxa"/>
            <w:tcBorders>
              <w:top w:val="nil"/>
              <w:left w:val="nil"/>
              <w:bottom w:val="nil"/>
              <w:right w:val="nil"/>
            </w:tcBorders>
            <w:shd w:val="clear" w:color="auto" w:fill="auto"/>
            <w:noWrap/>
          </w:tcPr>
          <w:p w14:paraId="1DCC4398" w14:textId="643A1891"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$21,700</w:t>
            </w:r>
          </w:p>
        </w:tc>
        <w:tc>
          <w:tcPr>
            <w:tcW w:w="1417" w:type="dxa"/>
            <w:tcBorders>
              <w:top w:val="nil"/>
              <w:left w:val="nil"/>
              <w:bottom w:val="nil"/>
              <w:right w:val="nil"/>
            </w:tcBorders>
            <w:shd w:val="clear" w:color="auto" w:fill="auto"/>
          </w:tcPr>
          <w:p w14:paraId="4049E267" w14:textId="17A0E2BF"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$21,500</w:t>
            </w:r>
          </w:p>
        </w:tc>
      </w:tr>
      <w:tr w:rsidR="00A8573B" w:rsidRPr="00F46999" w14:paraId="0D4B667B" w14:textId="77777777" w:rsidTr="00BD7EB4">
        <w:trPr>
          <w:trHeight w:val="232"/>
        </w:trPr>
        <w:tc>
          <w:tcPr>
            <w:tcW w:w="1422" w:type="dxa"/>
            <w:tcBorders>
              <w:left w:val="nil"/>
              <w:bottom w:val="single" w:sz="4" w:space="0" w:color="000000"/>
              <w:right w:val="nil"/>
            </w:tcBorders>
            <w:vAlign w:val="center"/>
            <w:hideMark/>
          </w:tcPr>
          <w:p w14:paraId="4CBED940"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single" w:sz="4" w:space="0" w:color="auto"/>
              <w:right w:val="nil"/>
            </w:tcBorders>
            <w:shd w:val="clear" w:color="auto" w:fill="auto"/>
            <w:noWrap/>
            <w:vAlign w:val="bottom"/>
            <w:hideMark/>
          </w:tcPr>
          <w:p w14:paraId="50A1414B"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2020</w:t>
            </w:r>
          </w:p>
        </w:tc>
        <w:tc>
          <w:tcPr>
            <w:tcW w:w="1417" w:type="dxa"/>
            <w:tcBorders>
              <w:top w:val="nil"/>
              <w:left w:val="nil"/>
              <w:bottom w:val="single" w:sz="4" w:space="0" w:color="auto"/>
              <w:right w:val="nil"/>
            </w:tcBorders>
            <w:shd w:val="clear" w:color="auto" w:fill="auto"/>
            <w:noWrap/>
            <w:hideMark/>
          </w:tcPr>
          <w:p w14:paraId="5552BA4E" w14:textId="0F4897C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single" w:sz="4" w:space="0" w:color="auto"/>
              <w:right w:val="nil"/>
            </w:tcBorders>
            <w:shd w:val="clear" w:color="auto" w:fill="auto"/>
            <w:noWrap/>
            <w:hideMark/>
          </w:tcPr>
          <w:p w14:paraId="61C216EE" w14:textId="16A6E38D"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$21,900</w:t>
            </w:r>
          </w:p>
        </w:tc>
        <w:tc>
          <w:tcPr>
            <w:tcW w:w="1417" w:type="dxa"/>
            <w:tcBorders>
              <w:top w:val="nil"/>
              <w:left w:val="nil"/>
              <w:bottom w:val="single" w:sz="4" w:space="0" w:color="auto"/>
              <w:right w:val="nil"/>
            </w:tcBorders>
            <w:shd w:val="clear" w:color="auto" w:fill="auto"/>
            <w:noWrap/>
            <w:hideMark/>
          </w:tcPr>
          <w:p w14:paraId="6DF68512" w14:textId="5954CF01"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$22,000</w:t>
            </w:r>
          </w:p>
        </w:tc>
        <w:tc>
          <w:tcPr>
            <w:tcW w:w="1417" w:type="dxa"/>
            <w:tcBorders>
              <w:top w:val="nil"/>
              <w:left w:val="nil"/>
              <w:bottom w:val="single" w:sz="4" w:space="0" w:color="auto"/>
              <w:right w:val="nil"/>
            </w:tcBorders>
            <w:shd w:val="clear" w:color="auto" w:fill="auto"/>
            <w:noWrap/>
            <w:hideMark/>
          </w:tcPr>
          <w:p w14:paraId="255BF0DD" w14:textId="12D1AE8B"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$21,900</w:t>
            </w:r>
          </w:p>
        </w:tc>
        <w:tc>
          <w:tcPr>
            <w:tcW w:w="1417" w:type="dxa"/>
            <w:tcBorders>
              <w:top w:val="nil"/>
              <w:left w:val="nil"/>
              <w:bottom w:val="single" w:sz="4" w:space="0" w:color="auto"/>
              <w:right w:val="nil"/>
            </w:tcBorders>
            <w:shd w:val="clear" w:color="auto" w:fill="auto"/>
          </w:tcPr>
          <w:p w14:paraId="5334025C" w14:textId="56314EC0"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$21,700</w:t>
            </w:r>
          </w:p>
        </w:tc>
      </w:tr>
      <w:tr w:rsidR="00A8573B" w:rsidRPr="00F46999" w14:paraId="1F0E5CB2" w14:textId="77777777" w:rsidTr="00BD7EB4">
        <w:trPr>
          <w:trHeight w:val="232"/>
        </w:trPr>
        <w:tc>
          <w:tcPr>
            <w:tcW w:w="1422" w:type="dxa"/>
            <w:tcBorders>
              <w:top w:val="nil"/>
              <w:left w:val="nil"/>
              <w:right w:val="nil"/>
            </w:tcBorders>
            <w:shd w:val="clear" w:color="auto" w:fill="auto"/>
            <w:noWrap/>
            <w:vAlign w:val="center"/>
            <w:hideMark/>
          </w:tcPr>
          <w:p w14:paraId="20A7351B"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asciiTheme="majorHAnsi" w:eastAsia="Times New Roman" w:hAnsiTheme="majorHAnsi" w:cs="Arial"/>
                <w:b/>
                <w:sz w:val="16"/>
                <w:szCs w:val="16"/>
                <w:lang w:eastAsia="en-AU"/>
              </w:rPr>
              <w:t>Total</w:t>
            </w:r>
            <w:r w:rsidRPr="00BB165A">
              <w:rPr>
                <w:rFonts w:asciiTheme="majorHAnsi" w:eastAsia="Times New Roman" w:hAnsiTheme="majorHAnsi" w:cs="Arial"/>
                <w:sz w:val="16"/>
                <w:szCs w:val="16"/>
                <w:lang w:eastAsia="en-AU"/>
              </w:rPr>
              <w:t>*</w:t>
            </w:r>
          </w:p>
        </w:tc>
        <w:tc>
          <w:tcPr>
            <w:tcW w:w="627" w:type="dxa"/>
            <w:tcBorders>
              <w:top w:val="nil"/>
              <w:left w:val="nil"/>
              <w:bottom w:val="nil"/>
              <w:right w:val="nil"/>
            </w:tcBorders>
            <w:shd w:val="clear" w:color="auto" w:fill="auto"/>
            <w:noWrap/>
            <w:vAlign w:val="bottom"/>
            <w:hideMark/>
          </w:tcPr>
          <w:p w14:paraId="49AD1E08"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2010</w:t>
            </w:r>
          </w:p>
        </w:tc>
        <w:tc>
          <w:tcPr>
            <w:tcW w:w="1417" w:type="dxa"/>
            <w:tcBorders>
              <w:top w:val="nil"/>
              <w:left w:val="nil"/>
              <w:bottom w:val="nil"/>
              <w:right w:val="nil"/>
            </w:tcBorders>
            <w:shd w:val="clear" w:color="auto" w:fill="auto"/>
            <w:noWrap/>
            <w:hideMark/>
          </w:tcPr>
          <w:p w14:paraId="1165EEDA" w14:textId="6C22B3C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$15,500</w:t>
            </w:r>
          </w:p>
        </w:tc>
        <w:tc>
          <w:tcPr>
            <w:tcW w:w="1417" w:type="dxa"/>
            <w:tcBorders>
              <w:top w:val="nil"/>
              <w:left w:val="nil"/>
              <w:bottom w:val="nil"/>
              <w:right w:val="nil"/>
            </w:tcBorders>
            <w:shd w:val="clear" w:color="auto" w:fill="auto"/>
            <w:noWrap/>
            <w:hideMark/>
          </w:tcPr>
          <w:p w14:paraId="0E88E1C9" w14:textId="6E2A5F37"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344AA586" w14:textId="41641A07"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EBCE6CA" w14:textId="20FA3D1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1FEE9672" w14:textId="0BD1BD5A"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6CE96250" w14:textId="77777777" w:rsidTr="00BD7EB4">
        <w:trPr>
          <w:trHeight w:val="232"/>
        </w:trPr>
        <w:tc>
          <w:tcPr>
            <w:tcW w:w="1422" w:type="dxa"/>
            <w:tcBorders>
              <w:left w:val="nil"/>
              <w:right w:val="nil"/>
            </w:tcBorders>
            <w:shd w:val="clear" w:color="auto" w:fill="auto"/>
            <w:noWrap/>
            <w:vAlign w:val="center"/>
            <w:hideMark/>
          </w:tcPr>
          <w:p w14:paraId="0506E4DF" w14:textId="77777777" w:rsidR="00A8573B" w:rsidRPr="00BB165A" w:rsidRDefault="00A8573B" w:rsidP="00A8573B">
            <w:pPr>
              <w:spacing w:after="0" w:line="240" w:lineRule="auto"/>
              <w:rPr>
                <w:rFonts w:asciiTheme="majorHAnsi" w:eastAsia="Times New Roman" w:hAnsiTheme="majorHAnsi" w:cs="Arial"/>
                <w:b/>
                <w:sz w:val="16"/>
                <w:szCs w:val="16"/>
                <w:lang w:eastAsia="en-AU"/>
              </w:rPr>
            </w:pPr>
          </w:p>
        </w:tc>
        <w:tc>
          <w:tcPr>
            <w:tcW w:w="627" w:type="dxa"/>
            <w:tcBorders>
              <w:top w:val="nil"/>
              <w:left w:val="nil"/>
              <w:bottom w:val="nil"/>
              <w:right w:val="nil"/>
            </w:tcBorders>
            <w:shd w:val="clear" w:color="auto" w:fill="auto"/>
            <w:noWrap/>
            <w:vAlign w:val="bottom"/>
            <w:hideMark/>
          </w:tcPr>
          <w:p w14:paraId="7486E812"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2015</w:t>
            </w:r>
          </w:p>
        </w:tc>
        <w:tc>
          <w:tcPr>
            <w:tcW w:w="1417" w:type="dxa"/>
            <w:tcBorders>
              <w:top w:val="nil"/>
              <w:left w:val="nil"/>
              <w:bottom w:val="nil"/>
              <w:right w:val="nil"/>
            </w:tcBorders>
            <w:shd w:val="clear" w:color="auto" w:fill="auto"/>
            <w:noWrap/>
            <w:hideMark/>
          </w:tcPr>
          <w:p w14:paraId="7681E90E" w14:textId="7A465AA5"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70D6BB4A" w14:textId="271A8FBF"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$17,000</w:t>
            </w:r>
          </w:p>
        </w:tc>
        <w:tc>
          <w:tcPr>
            <w:tcW w:w="1417" w:type="dxa"/>
            <w:tcBorders>
              <w:top w:val="nil"/>
              <w:left w:val="nil"/>
              <w:bottom w:val="nil"/>
              <w:right w:val="nil"/>
            </w:tcBorders>
            <w:shd w:val="clear" w:color="auto" w:fill="auto"/>
            <w:noWrap/>
            <w:hideMark/>
          </w:tcPr>
          <w:p w14:paraId="78DBF3CD" w14:textId="20534CB6"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924EB4C" w14:textId="7F85D2D5"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086384C6" w14:textId="3CD784E1"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50ED6AB2" w14:textId="77777777" w:rsidTr="00BD7EB4">
        <w:trPr>
          <w:trHeight w:val="232"/>
        </w:trPr>
        <w:tc>
          <w:tcPr>
            <w:tcW w:w="1422" w:type="dxa"/>
            <w:tcBorders>
              <w:left w:val="nil"/>
              <w:right w:val="nil"/>
            </w:tcBorders>
            <w:shd w:val="clear" w:color="auto" w:fill="auto"/>
            <w:noWrap/>
            <w:vAlign w:val="center"/>
            <w:hideMark/>
          </w:tcPr>
          <w:p w14:paraId="506D94B7"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16EF21DA"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2017</w:t>
            </w:r>
          </w:p>
        </w:tc>
        <w:tc>
          <w:tcPr>
            <w:tcW w:w="1417" w:type="dxa"/>
            <w:tcBorders>
              <w:top w:val="nil"/>
              <w:left w:val="nil"/>
              <w:bottom w:val="nil"/>
              <w:right w:val="nil"/>
            </w:tcBorders>
            <w:shd w:val="clear" w:color="auto" w:fill="auto"/>
            <w:noWrap/>
            <w:hideMark/>
          </w:tcPr>
          <w:p w14:paraId="6EF254DA" w14:textId="42C56A5C"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61AE12EC" w14:textId="29DF3106"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$18,100</w:t>
            </w:r>
          </w:p>
        </w:tc>
        <w:tc>
          <w:tcPr>
            <w:tcW w:w="1417" w:type="dxa"/>
            <w:tcBorders>
              <w:top w:val="nil"/>
              <w:left w:val="nil"/>
              <w:bottom w:val="nil"/>
              <w:right w:val="nil"/>
            </w:tcBorders>
            <w:shd w:val="clear" w:color="auto" w:fill="auto"/>
            <w:noWrap/>
            <w:hideMark/>
          </w:tcPr>
          <w:p w14:paraId="6E18DEF1" w14:textId="2C0B97A0"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$18,400</w:t>
            </w:r>
          </w:p>
        </w:tc>
        <w:tc>
          <w:tcPr>
            <w:tcW w:w="1417" w:type="dxa"/>
            <w:tcBorders>
              <w:top w:val="nil"/>
              <w:left w:val="nil"/>
              <w:bottom w:val="nil"/>
              <w:right w:val="nil"/>
            </w:tcBorders>
            <w:shd w:val="clear" w:color="auto" w:fill="auto"/>
            <w:noWrap/>
            <w:hideMark/>
          </w:tcPr>
          <w:p w14:paraId="4B2DC361" w14:textId="387C6DCE"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35AD3595" w14:textId="7DFF487C"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5887A3EA" w14:textId="77777777" w:rsidTr="00BD7EB4">
        <w:trPr>
          <w:trHeight w:val="232"/>
        </w:trPr>
        <w:tc>
          <w:tcPr>
            <w:tcW w:w="1422" w:type="dxa"/>
            <w:tcBorders>
              <w:left w:val="nil"/>
              <w:right w:val="nil"/>
            </w:tcBorders>
            <w:shd w:val="clear" w:color="auto" w:fill="auto"/>
            <w:noWrap/>
            <w:vAlign w:val="center"/>
          </w:tcPr>
          <w:p w14:paraId="3F231923"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408831D3"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2018</w:t>
            </w:r>
          </w:p>
        </w:tc>
        <w:tc>
          <w:tcPr>
            <w:tcW w:w="1417" w:type="dxa"/>
            <w:tcBorders>
              <w:top w:val="nil"/>
              <w:left w:val="nil"/>
              <w:bottom w:val="nil"/>
              <w:right w:val="nil"/>
            </w:tcBorders>
            <w:shd w:val="clear" w:color="auto" w:fill="auto"/>
            <w:noWrap/>
          </w:tcPr>
          <w:p w14:paraId="43EC4AE3" w14:textId="438FCEA2"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5B01BB22" w14:textId="658D7D03"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$18,600</w:t>
            </w:r>
          </w:p>
        </w:tc>
        <w:tc>
          <w:tcPr>
            <w:tcW w:w="1417" w:type="dxa"/>
            <w:tcBorders>
              <w:top w:val="nil"/>
              <w:left w:val="nil"/>
              <w:bottom w:val="nil"/>
              <w:right w:val="nil"/>
            </w:tcBorders>
            <w:shd w:val="clear" w:color="auto" w:fill="auto"/>
            <w:noWrap/>
          </w:tcPr>
          <w:p w14:paraId="6C74EAEE" w14:textId="5E28AC0F"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$18,700</w:t>
            </w:r>
          </w:p>
        </w:tc>
        <w:tc>
          <w:tcPr>
            <w:tcW w:w="1417" w:type="dxa"/>
            <w:tcBorders>
              <w:top w:val="nil"/>
              <w:left w:val="nil"/>
              <w:bottom w:val="nil"/>
              <w:right w:val="nil"/>
            </w:tcBorders>
            <w:shd w:val="clear" w:color="auto" w:fill="auto"/>
            <w:noWrap/>
          </w:tcPr>
          <w:p w14:paraId="5C6595A9" w14:textId="7ADB21DF"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$18,500</w:t>
            </w:r>
          </w:p>
        </w:tc>
        <w:tc>
          <w:tcPr>
            <w:tcW w:w="1417" w:type="dxa"/>
            <w:tcBorders>
              <w:top w:val="nil"/>
              <w:left w:val="nil"/>
              <w:bottom w:val="nil"/>
              <w:right w:val="nil"/>
            </w:tcBorders>
            <w:shd w:val="clear" w:color="auto" w:fill="auto"/>
          </w:tcPr>
          <w:p w14:paraId="402B4F22" w14:textId="3BED2FC4"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A8573B" w:rsidRPr="00F46999" w14:paraId="4D98BDAD" w14:textId="77777777" w:rsidTr="00BD7EB4">
        <w:trPr>
          <w:trHeight w:val="232"/>
        </w:trPr>
        <w:tc>
          <w:tcPr>
            <w:tcW w:w="1422" w:type="dxa"/>
            <w:tcBorders>
              <w:left w:val="nil"/>
              <w:right w:val="nil"/>
            </w:tcBorders>
            <w:shd w:val="clear" w:color="auto" w:fill="auto"/>
            <w:noWrap/>
            <w:vAlign w:val="center"/>
          </w:tcPr>
          <w:p w14:paraId="66A83CAB"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5F2C6534"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2019</w:t>
            </w:r>
          </w:p>
        </w:tc>
        <w:tc>
          <w:tcPr>
            <w:tcW w:w="1417" w:type="dxa"/>
            <w:tcBorders>
              <w:top w:val="nil"/>
              <w:left w:val="nil"/>
              <w:bottom w:val="nil"/>
              <w:right w:val="nil"/>
            </w:tcBorders>
            <w:shd w:val="clear" w:color="auto" w:fill="auto"/>
            <w:noWrap/>
          </w:tcPr>
          <w:p w14:paraId="45336A1C" w14:textId="7489590A"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607A956D" w14:textId="6407C537"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$18,800</w:t>
            </w:r>
          </w:p>
        </w:tc>
        <w:tc>
          <w:tcPr>
            <w:tcW w:w="1417" w:type="dxa"/>
            <w:tcBorders>
              <w:top w:val="nil"/>
              <w:left w:val="nil"/>
              <w:bottom w:val="nil"/>
              <w:right w:val="nil"/>
            </w:tcBorders>
            <w:shd w:val="clear" w:color="auto" w:fill="auto"/>
            <w:noWrap/>
          </w:tcPr>
          <w:p w14:paraId="59C36DF5" w14:textId="55B8E73A"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$18,900</w:t>
            </w:r>
          </w:p>
        </w:tc>
        <w:tc>
          <w:tcPr>
            <w:tcW w:w="1417" w:type="dxa"/>
            <w:tcBorders>
              <w:top w:val="nil"/>
              <w:left w:val="nil"/>
              <w:bottom w:val="nil"/>
              <w:right w:val="nil"/>
            </w:tcBorders>
            <w:shd w:val="clear" w:color="auto" w:fill="auto"/>
            <w:noWrap/>
          </w:tcPr>
          <w:p w14:paraId="395E3768" w14:textId="4EA19888"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$18,800</w:t>
            </w:r>
          </w:p>
        </w:tc>
        <w:tc>
          <w:tcPr>
            <w:tcW w:w="1417" w:type="dxa"/>
            <w:tcBorders>
              <w:top w:val="nil"/>
              <w:left w:val="nil"/>
              <w:bottom w:val="nil"/>
              <w:right w:val="nil"/>
            </w:tcBorders>
            <w:shd w:val="clear" w:color="auto" w:fill="auto"/>
          </w:tcPr>
          <w:p w14:paraId="6E805DBB" w14:textId="571728A7"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$18,700</w:t>
            </w:r>
          </w:p>
        </w:tc>
      </w:tr>
      <w:tr w:rsidR="00A8573B" w:rsidRPr="002D73E2" w14:paraId="6E6171C5" w14:textId="77777777" w:rsidTr="00BD7EB4">
        <w:trPr>
          <w:trHeight w:val="232"/>
        </w:trPr>
        <w:tc>
          <w:tcPr>
            <w:tcW w:w="1422" w:type="dxa"/>
            <w:tcBorders>
              <w:left w:val="nil"/>
              <w:bottom w:val="single" w:sz="4" w:space="0" w:color="auto"/>
              <w:right w:val="nil"/>
            </w:tcBorders>
            <w:shd w:val="clear" w:color="auto" w:fill="auto"/>
            <w:noWrap/>
            <w:vAlign w:val="center"/>
            <w:hideMark/>
          </w:tcPr>
          <w:p w14:paraId="77B181AB" w14:textId="77777777" w:rsidR="00A8573B" w:rsidRPr="00BB165A" w:rsidRDefault="00A8573B" w:rsidP="00A8573B">
            <w:pPr>
              <w:spacing w:after="0" w:line="240" w:lineRule="auto"/>
              <w:rPr>
                <w:rFonts w:asciiTheme="majorHAnsi" w:eastAsia="Times New Roman" w:hAnsiTheme="majorHAnsi" w:cs="Arial"/>
                <w:sz w:val="16"/>
                <w:szCs w:val="16"/>
                <w:lang w:eastAsia="en-AU"/>
              </w:rPr>
            </w:pPr>
          </w:p>
        </w:tc>
        <w:tc>
          <w:tcPr>
            <w:tcW w:w="627" w:type="dxa"/>
            <w:tcBorders>
              <w:top w:val="nil"/>
              <w:left w:val="nil"/>
              <w:bottom w:val="single" w:sz="4" w:space="0" w:color="auto"/>
              <w:right w:val="nil"/>
            </w:tcBorders>
            <w:shd w:val="clear" w:color="auto" w:fill="auto"/>
            <w:noWrap/>
            <w:vAlign w:val="bottom"/>
            <w:hideMark/>
          </w:tcPr>
          <w:p w14:paraId="6FC86592" w14:textId="77777777" w:rsidR="00A8573B" w:rsidRPr="00BB165A" w:rsidRDefault="00A8573B" w:rsidP="00A8573B">
            <w:pPr>
              <w:spacing w:after="0" w:line="240" w:lineRule="auto"/>
              <w:rPr>
                <w:rFonts w:asciiTheme="majorHAnsi" w:eastAsia="Times New Roman" w:hAnsiTheme="majorHAnsi" w:cs="Arial"/>
                <w:sz w:val="16"/>
                <w:szCs w:val="16"/>
                <w:lang w:eastAsia="en-AU"/>
              </w:rPr>
            </w:pPr>
            <w:r w:rsidRPr="00BB165A">
              <w:rPr>
                <w:rFonts w:cs="Arial"/>
                <w:sz w:val="16"/>
                <w:szCs w:val="16"/>
              </w:rPr>
              <w:t>2020</w:t>
            </w:r>
          </w:p>
        </w:tc>
        <w:tc>
          <w:tcPr>
            <w:tcW w:w="1417" w:type="dxa"/>
            <w:tcBorders>
              <w:top w:val="nil"/>
              <w:left w:val="nil"/>
              <w:bottom w:val="single" w:sz="4" w:space="0" w:color="auto"/>
              <w:right w:val="nil"/>
            </w:tcBorders>
            <w:shd w:val="clear" w:color="auto" w:fill="auto"/>
            <w:noWrap/>
            <w:hideMark/>
          </w:tcPr>
          <w:p w14:paraId="75ED73F8" w14:textId="6A34E53F"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single" w:sz="4" w:space="0" w:color="auto"/>
              <w:right w:val="nil"/>
            </w:tcBorders>
            <w:shd w:val="clear" w:color="auto" w:fill="auto"/>
            <w:noWrap/>
            <w:hideMark/>
          </w:tcPr>
          <w:p w14:paraId="3186DA85" w14:textId="1287BEAD"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$18,600</w:t>
            </w:r>
          </w:p>
        </w:tc>
        <w:tc>
          <w:tcPr>
            <w:tcW w:w="1417" w:type="dxa"/>
            <w:tcBorders>
              <w:top w:val="nil"/>
              <w:left w:val="nil"/>
              <w:bottom w:val="single" w:sz="4" w:space="0" w:color="auto"/>
              <w:right w:val="nil"/>
            </w:tcBorders>
            <w:shd w:val="clear" w:color="auto" w:fill="auto"/>
            <w:noWrap/>
            <w:hideMark/>
          </w:tcPr>
          <w:p w14:paraId="1D79E9AC" w14:textId="3CC0CD09"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$18,700</w:t>
            </w:r>
          </w:p>
        </w:tc>
        <w:tc>
          <w:tcPr>
            <w:tcW w:w="1417" w:type="dxa"/>
            <w:tcBorders>
              <w:top w:val="nil"/>
              <w:left w:val="nil"/>
              <w:bottom w:val="single" w:sz="4" w:space="0" w:color="auto"/>
              <w:right w:val="nil"/>
            </w:tcBorders>
            <w:shd w:val="clear" w:color="auto" w:fill="auto"/>
            <w:noWrap/>
            <w:hideMark/>
          </w:tcPr>
          <w:p w14:paraId="69063EA7" w14:textId="090F79A4" w:rsidR="00A8573B" w:rsidRPr="00E74E4F" w:rsidRDefault="00A8573B" w:rsidP="00A8573B">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$18,800</w:t>
            </w:r>
          </w:p>
        </w:tc>
        <w:tc>
          <w:tcPr>
            <w:tcW w:w="1417" w:type="dxa"/>
            <w:tcBorders>
              <w:top w:val="nil"/>
              <w:left w:val="nil"/>
              <w:bottom w:val="single" w:sz="4" w:space="0" w:color="auto"/>
              <w:right w:val="nil"/>
            </w:tcBorders>
            <w:shd w:val="clear" w:color="auto" w:fill="auto"/>
          </w:tcPr>
          <w:p w14:paraId="2F9E7E56" w14:textId="4FA781E1" w:rsidR="00A8573B" w:rsidRPr="00416131" w:rsidRDefault="00A8573B" w:rsidP="00A8573B">
            <w:pPr>
              <w:spacing w:after="0" w:line="240" w:lineRule="auto"/>
              <w:jc w:val="center"/>
              <w:rPr>
                <w:rFonts w:asciiTheme="majorHAnsi" w:hAnsiTheme="majorHAnsi" w:cs="Arial"/>
                <w:sz w:val="16"/>
                <w:szCs w:val="16"/>
              </w:rPr>
            </w:pPr>
            <w:r w:rsidRPr="00416131">
              <w:rPr>
                <w:rFonts w:asciiTheme="majorHAnsi" w:hAnsiTheme="majorHAnsi"/>
                <w:sz w:val="16"/>
                <w:szCs w:val="16"/>
              </w:rPr>
              <w:t>$18,800</w:t>
            </w:r>
          </w:p>
        </w:tc>
      </w:tr>
    </w:tbl>
    <w:p w14:paraId="1E2CC22B" w14:textId="1911112D" w:rsidR="00905B49" w:rsidRDefault="00905B49" w:rsidP="00A8573B"/>
    <w:p w14:paraId="3ECCA86A" w14:textId="77777777" w:rsidR="00905B49" w:rsidRDefault="00905B49">
      <w:pPr>
        <w:spacing w:after="0"/>
      </w:pPr>
      <w:r>
        <w:br w:type="page"/>
      </w:r>
    </w:p>
    <w:p w14:paraId="6E4F1D69" w14:textId="3FE787FF" w:rsidR="002C3175" w:rsidRDefault="002C3175" w:rsidP="00691B65">
      <w:pPr>
        <w:pStyle w:val="ExecTableCaption"/>
      </w:pPr>
      <w:bookmarkStart w:id="114" w:name="_Toc105753288"/>
      <w:bookmarkStart w:id="115" w:name="_Toc105773994"/>
      <w:bookmarkStart w:id="116" w:name="_Toc105776399"/>
      <w:bookmarkStart w:id="117" w:name="_Toc105753305"/>
      <w:bookmarkStart w:id="118" w:name="_Toc105774011"/>
      <w:bookmarkStart w:id="119" w:name="_Toc105776416"/>
      <w:bookmarkStart w:id="120" w:name="_Toc105753313"/>
      <w:bookmarkStart w:id="121" w:name="_Toc105774019"/>
      <w:bookmarkStart w:id="122" w:name="_Toc105776424"/>
      <w:bookmarkStart w:id="123" w:name="_Toc105753321"/>
      <w:bookmarkStart w:id="124" w:name="_Toc105774027"/>
      <w:bookmarkStart w:id="125" w:name="_Toc105776432"/>
      <w:bookmarkStart w:id="126" w:name="_Toc105753329"/>
      <w:bookmarkStart w:id="127" w:name="_Toc105774035"/>
      <w:bookmarkStart w:id="128" w:name="_Toc105776440"/>
      <w:bookmarkStart w:id="129" w:name="_Toc105753337"/>
      <w:bookmarkStart w:id="130" w:name="_Toc105774043"/>
      <w:bookmarkStart w:id="131" w:name="_Toc105776448"/>
      <w:bookmarkStart w:id="132" w:name="_Toc105753353"/>
      <w:bookmarkStart w:id="133" w:name="_Toc105774059"/>
      <w:bookmarkStart w:id="134" w:name="_Toc105776464"/>
      <w:bookmarkStart w:id="135" w:name="_Toc105753361"/>
      <w:bookmarkStart w:id="136" w:name="_Toc105774067"/>
      <w:bookmarkStart w:id="137" w:name="_Toc105776472"/>
      <w:bookmarkStart w:id="138" w:name="_Toc105753369"/>
      <w:bookmarkStart w:id="139" w:name="_Toc105774075"/>
      <w:bookmarkStart w:id="140" w:name="_Toc105776480"/>
      <w:bookmarkStart w:id="141" w:name="_Toc105753377"/>
      <w:bookmarkStart w:id="142" w:name="_Toc105774083"/>
      <w:bookmarkStart w:id="143" w:name="_Toc105776488"/>
      <w:bookmarkStart w:id="144" w:name="_Toc105753385"/>
      <w:bookmarkStart w:id="145" w:name="_Toc105774091"/>
      <w:bookmarkStart w:id="146" w:name="_Toc105776496"/>
      <w:bookmarkStart w:id="147" w:name="_Toc105753401"/>
      <w:bookmarkStart w:id="148" w:name="_Toc105774107"/>
      <w:bookmarkStart w:id="149" w:name="_Toc105776512"/>
      <w:bookmarkStart w:id="150" w:name="_Toc105753409"/>
      <w:bookmarkStart w:id="151" w:name="_Toc105774115"/>
      <w:bookmarkStart w:id="152" w:name="_Toc105776520"/>
      <w:bookmarkStart w:id="153" w:name="_Toc105753417"/>
      <w:bookmarkStart w:id="154" w:name="_Toc105774123"/>
      <w:bookmarkStart w:id="155" w:name="_Toc105776528"/>
      <w:bookmarkStart w:id="156" w:name="_Toc105753425"/>
      <w:bookmarkStart w:id="157" w:name="_Toc105774131"/>
      <w:bookmarkStart w:id="158" w:name="_Toc105776536"/>
      <w:bookmarkStart w:id="159" w:name="_Toc105753433"/>
      <w:bookmarkStart w:id="160" w:name="_Toc105774139"/>
      <w:bookmarkStart w:id="161" w:name="_Toc105776544"/>
      <w:bookmarkStart w:id="162" w:name="_Ref20385016"/>
      <w:bookmarkStart w:id="163" w:name="_Toc105776552"/>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312215">
        <w:t>: Growth over time in average unit cost per EFTSL</w:t>
      </w:r>
      <w:bookmarkEnd w:id="162"/>
      <w:bookmarkEnd w:id="163"/>
    </w:p>
    <w:tbl>
      <w:tblPr>
        <w:tblW w:w="9228" w:type="dxa"/>
        <w:tblLook w:val="04A0" w:firstRow="1" w:lastRow="0" w:firstColumn="1" w:lastColumn="0" w:noHBand="0" w:noVBand="1"/>
      </w:tblPr>
      <w:tblGrid>
        <w:gridCol w:w="1360"/>
        <w:gridCol w:w="1928"/>
        <w:gridCol w:w="1020"/>
        <w:gridCol w:w="960"/>
        <w:gridCol w:w="1020"/>
        <w:gridCol w:w="960"/>
        <w:gridCol w:w="1020"/>
        <w:gridCol w:w="960"/>
      </w:tblGrid>
      <w:tr w:rsidR="00D80471" w:rsidRPr="00EB5E6E" w14:paraId="3C66C8E8" w14:textId="77777777" w:rsidTr="00BD7EB4">
        <w:trPr>
          <w:trHeight w:val="240"/>
        </w:trPr>
        <w:tc>
          <w:tcPr>
            <w:tcW w:w="1360" w:type="dxa"/>
            <w:tcBorders>
              <w:top w:val="single" w:sz="24" w:space="0" w:color="62B5E5" w:themeColor="accent3"/>
              <w:left w:val="nil"/>
              <w:bottom w:val="nil"/>
              <w:right w:val="nil"/>
            </w:tcBorders>
            <w:shd w:val="clear" w:color="auto" w:fill="auto"/>
            <w:vAlign w:val="center"/>
            <w:hideMark/>
          </w:tcPr>
          <w:p w14:paraId="296F0735" w14:textId="77777777" w:rsidR="00D80471" w:rsidRPr="00BB165A" w:rsidRDefault="00D8047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w:t>
            </w:r>
          </w:p>
        </w:tc>
        <w:tc>
          <w:tcPr>
            <w:tcW w:w="1928" w:type="dxa"/>
            <w:tcBorders>
              <w:top w:val="single" w:sz="24" w:space="0" w:color="62B5E5" w:themeColor="accent3"/>
              <w:left w:val="nil"/>
              <w:bottom w:val="nil"/>
              <w:right w:val="nil"/>
            </w:tcBorders>
            <w:shd w:val="clear" w:color="auto" w:fill="auto"/>
            <w:vAlign w:val="center"/>
            <w:hideMark/>
          </w:tcPr>
          <w:p w14:paraId="23743893" w14:textId="77777777" w:rsidR="00D80471" w:rsidRPr="00BB165A" w:rsidRDefault="00D8047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w:t>
            </w:r>
          </w:p>
        </w:tc>
        <w:tc>
          <w:tcPr>
            <w:tcW w:w="1980" w:type="dxa"/>
            <w:gridSpan w:val="2"/>
            <w:tcBorders>
              <w:top w:val="single" w:sz="24" w:space="0" w:color="62B5E5" w:themeColor="accent3"/>
              <w:left w:val="nil"/>
              <w:bottom w:val="nil"/>
              <w:right w:val="nil"/>
            </w:tcBorders>
            <w:shd w:val="clear" w:color="auto" w:fill="auto"/>
            <w:vAlign w:val="center"/>
            <w:hideMark/>
          </w:tcPr>
          <w:p w14:paraId="3CAB1B58" w14:textId="77777777" w:rsidR="00D80471" w:rsidRPr="00BB165A" w:rsidRDefault="00D8047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Bachelor</w:t>
            </w:r>
          </w:p>
        </w:tc>
        <w:tc>
          <w:tcPr>
            <w:tcW w:w="1980" w:type="dxa"/>
            <w:gridSpan w:val="2"/>
            <w:tcBorders>
              <w:top w:val="single" w:sz="24" w:space="0" w:color="62B5E5" w:themeColor="accent3"/>
              <w:left w:val="nil"/>
              <w:bottom w:val="nil"/>
              <w:right w:val="nil"/>
            </w:tcBorders>
            <w:shd w:val="clear" w:color="auto" w:fill="auto"/>
            <w:vAlign w:val="center"/>
            <w:hideMark/>
          </w:tcPr>
          <w:p w14:paraId="0B44E4CD" w14:textId="77777777" w:rsidR="00D80471" w:rsidRPr="00BB165A" w:rsidRDefault="00D8047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Postgraduate</w:t>
            </w:r>
          </w:p>
        </w:tc>
        <w:tc>
          <w:tcPr>
            <w:tcW w:w="1980" w:type="dxa"/>
            <w:gridSpan w:val="2"/>
            <w:tcBorders>
              <w:top w:val="single" w:sz="24" w:space="0" w:color="62B5E5" w:themeColor="accent3"/>
              <w:left w:val="nil"/>
              <w:bottom w:val="nil"/>
              <w:right w:val="nil"/>
            </w:tcBorders>
            <w:shd w:val="clear" w:color="auto" w:fill="auto"/>
            <w:vAlign w:val="center"/>
            <w:hideMark/>
          </w:tcPr>
          <w:p w14:paraId="6D0A3A2D" w14:textId="77777777" w:rsidR="00D80471" w:rsidRPr="00BB165A" w:rsidRDefault="00D8047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Total</w:t>
            </w:r>
          </w:p>
        </w:tc>
      </w:tr>
      <w:tr w:rsidR="00D80471" w:rsidRPr="00EB5E6E" w14:paraId="58FFFD91" w14:textId="77777777" w:rsidTr="00BD7EB4">
        <w:trPr>
          <w:trHeight w:val="240"/>
        </w:trPr>
        <w:tc>
          <w:tcPr>
            <w:tcW w:w="1360" w:type="dxa"/>
            <w:tcBorders>
              <w:top w:val="nil"/>
              <w:left w:val="nil"/>
              <w:bottom w:val="single" w:sz="4" w:space="0" w:color="auto"/>
              <w:right w:val="nil"/>
            </w:tcBorders>
            <w:shd w:val="clear" w:color="auto" w:fill="auto"/>
            <w:vAlign w:val="center"/>
            <w:hideMark/>
          </w:tcPr>
          <w:p w14:paraId="4E365029"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w:t>
            </w:r>
          </w:p>
        </w:tc>
        <w:tc>
          <w:tcPr>
            <w:tcW w:w="1928" w:type="dxa"/>
            <w:tcBorders>
              <w:top w:val="nil"/>
              <w:left w:val="nil"/>
              <w:bottom w:val="single" w:sz="4" w:space="0" w:color="auto"/>
              <w:right w:val="nil"/>
            </w:tcBorders>
            <w:shd w:val="clear" w:color="auto" w:fill="auto"/>
            <w:vAlign w:val="center"/>
            <w:hideMark/>
          </w:tcPr>
          <w:p w14:paraId="14AE139B"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w:t>
            </w:r>
          </w:p>
        </w:tc>
        <w:tc>
          <w:tcPr>
            <w:tcW w:w="1020" w:type="dxa"/>
            <w:tcBorders>
              <w:top w:val="nil"/>
              <w:left w:val="nil"/>
              <w:bottom w:val="single" w:sz="4" w:space="0" w:color="auto"/>
              <w:right w:val="nil"/>
            </w:tcBorders>
            <w:shd w:val="clear" w:color="auto" w:fill="auto"/>
            <w:vAlign w:val="center"/>
            <w:hideMark/>
          </w:tcPr>
          <w:p w14:paraId="7532EB8F"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3D83CD60"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046AC29B"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0EB868E9"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539D79C0"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5B54A30D" w14:textId="77777777" w:rsidR="00D80471" w:rsidRPr="00BB165A" w:rsidRDefault="00D80471"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CAGR</w:t>
            </w:r>
          </w:p>
        </w:tc>
      </w:tr>
      <w:tr w:rsidR="00204A3B" w:rsidRPr="00EB5E6E" w14:paraId="002B24B4" w14:textId="77777777" w:rsidTr="00416131">
        <w:trPr>
          <w:trHeight w:val="210"/>
        </w:trPr>
        <w:tc>
          <w:tcPr>
            <w:tcW w:w="1360" w:type="dxa"/>
            <w:tcBorders>
              <w:top w:val="nil"/>
              <w:left w:val="nil"/>
              <w:bottom w:val="single" w:sz="4" w:space="0" w:color="000000"/>
              <w:right w:val="nil"/>
            </w:tcBorders>
            <w:shd w:val="clear" w:color="auto" w:fill="auto"/>
            <w:noWrap/>
            <w:vAlign w:val="center"/>
            <w:hideMark/>
          </w:tcPr>
          <w:p w14:paraId="6FAF8754" w14:textId="77777777" w:rsidR="00204A3B" w:rsidRPr="00BB165A" w:rsidRDefault="00204A3B" w:rsidP="00204A3B">
            <w:pPr>
              <w:spacing w:after="0" w:line="240" w:lineRule="auto"/>
              <w:rPr>
                <w:rFonts w:asciiTheme="majorHAnsi" w:eastAsia="Times New Roman" w:hAnsiTheme="majorHAnsi" w:cs="Arial"/>
                <w:sz w:val="16"/>
                <w:szCs w:val="16"/>
                <w:lang w:eastAsia="en-AU"/>
              </w:rPr>
            </w:pPr>
            <w:r w:rsidRPr="00BB165A">
              <w:rPr>
                <w:rFonts w:cs="Arial"/>
                <w:sz w:val="16"/>
                <w:szCs w:val="16"/>
              </w:rPr>
              <w:t>2015 - 2020</w:t>
            </w:r>
          </w:p>
        </w:tc>
        <w:tc>
          <w:tcPr>
            <w:tcW w:w="1928" w:type="dxa"/>
            <w:tcBorders>
              <w:top w:val="nil"/>
              <w:left w:val="nil"/>
              <w:bottom w:val="single" w:sz="4" w:space="0" w:color="auto"/>
              <w:right w:val="nil"/>
            </w:tcBorders>
            <w:shd w:val="clear" w:color="auto" w:fill="auto"/>
            <w:vAlign w:val="bottom"/>
            <w:hideMark/>
          </w:tcPr>
          <w:p w14:paraId="3BE791AF" w14:textId="77777777" w:rsidR="00204A3B" w:rsidRPr="00BB165A" w:rsidRDefault="00204A3B" w:rsidP="00204A3B">
            <w:pPr>
              <w:spacing w:after="0" w:line="240" w:lineRule="auto"/>
              <w:rPr>
                <w:rFonts w:cs="Arial"/>
                <w:sz w:val="16"/>
                <w:szCs w:val="16"/>
              </w:rPr>
            </w:pPr>
            <w:r w:rsidRPr="00BB165A">
              <w:rPr>
                <w:rFonts w:cs="Arial"/>
                <w:sz w:val="16"/>
                <w:szCs w:val="16"/>
              </w:rPr>
              <w:t xml:space="preserve">Common sample </w:t>
            </w:r>
          </w:p>
          <w:p w14:paraId="3DCCBD44" w14:textId="77777777" w:rsidR="00204A3B" w:rsidRPr="00BB165A" w:rsidRDefault="00204A3B" w:rsidP="00204A3B">
            <w:pPr>
              <w:spacing w:after="0" w:line="240" w:lineRule="auto"/>
              <w:rPr>
                <w:rFonts w:asciiTheme="majorHAnsi" w:eastAsia="Times New Roman" w:hAnsiTheme="majorHAnsi" w:cs="Arial"/>
                <w:sz w:val="16"/>
                <w:szCs w:val="16"/>
                <w:lang w:eastAsia="en-AU"/>
              </w:rPr>
            </w:pPr>
            <w:r w:rsidRPr="00BB165A">
              <w:rPr>
                <w:rFonts w:cs="Arial"/>
                <w:sz w:val="16"/>
                <w:szCs w:val="16"/>
              </w:rPr>
              <w:t>(17 universities)</w:t>
            </w:r>
          </w:p>
        </w:tc>
        <w:tc>
          <w:tcPr>
            <w:tcW w:w="1020" w:type="dxa"/>
            <w:tcBorders>
              <w:top w:val="single" w:sz="4" w:space="0" w:color="auto"/>
              <w:left w:val="nil"/>
              <w:bottom w:val="single" w:sz="4" w:space="0" w:color="auto"/>
              <w:right w:val="nil"/>
            </w:tcBorders>
            <w:shd w:val="clear" w:color="auto" w:fill="auto"/>
            <w:noWrap/>
            <w:vAlign w:val="center"/>
            <w:hideMark/>
          </w:tcPr>
          <w:p w14:paraId="7285B99C" w14:textId="0ED9A017" w:rsidR="00204A3B" w:rsidRPr="00E74E4F" w:rsidRDefault="00204A3B" w:rsidP="00E74E4F">
            <w:pPr>
              <w:spacing w:after="0" w:line="240" w:lineRule="auto"/>
              <w:jc w:val="center"/>
              <w:rPr>
                <w:rFonts w:asciiTheme="majorHAnsi" w:eastAsia="Times New Roman" w:hAnsiTheme="majorHAnsi" w:cs="Arial"/>
                <w:sz w:val="16"/>
                <w:szCs w:val="16"/>
                <w:lang w:eastAsia="en-AU"/>
              </w:rPr>
            </w:pPr>
            <w:r w:rsidRPr="00416131">
              <w:rPr>
                <w:sz w:val="16"/>
                <w:szCs w:val="16"/>
              </w:rPr>
              <w:t>8.5%</w:t>
            </w:r>
          </w:p>
        </w:tc>
        <w:tc>
          <w:tcPr>
            <w:tcW w:w="960" w:type="dxa"/>
            <w:tcBorders>
              <w:top w:val="single" w:sz="4" w:space="0" w:color="auto"/>
              <w:left w:val="nil"/>
              <w:bottom w:val="single" w:sz="4" w:space="0" w:color="auto"/>
              <w:right w:val="nil"/>
            </w:tcBorders>
            <w:shd w:val="clear" w:color="auto" w:fill="auto"/>
            <w:noWrap/>
            <w:vAlign w:val="center"/>
            <w:hideMark/>
          </w:tcPr>
          <w:p w14:paraId="0F2E82B2" w14:textId="09CEAAD2"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1.7%</w:t>
            </w:r>
          </w:p>
        </w:tc>
        <w:tc>
          <w:tcPr>
            <w:tcW w:w="1020" w:type="dxa"/>
            <w:tcBorders>
              <w:top w:val="single" w:sz="4" w:space="0" w:color="auto"/>
              <w:left w:val="nil"/>
              <w:bottom w:val="single" w:sz="4" w:space="0" w:color="auto"/>
              <w:right w:val="nil"/>
            </w:tcBorders>
            <w:shd w:val="clear" w:color="auto" w:fill="auto"/>
            <w:noWrap/>
            <w:vAlign w:val="center"/>
            <w:hideMark/>
          </w:tcPr>
          <w:p w14:paraId="0658A53C" w14:textId="271AD5D5"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6.6%</w:t>
            </w:r>
          </w:p>
        </w:tc>
        <w:tc>
          <w:tcPr>
            <w:tcW w:w="960" w:type="dxa"/>
            <w:tcBorders>
              <w:top w:val="single" w:sz="4" w:space="0" w:color="auto"/>
              <w:left w:val="nil"/>
              <w:bottom w:val="single" w:sz="4" w:space="0" w:color="auto"/>
              <w:right w:val="nil"/>
            </w:tcBorders>
            <w:shd w:val="clear" w:color="auto" w:fill="auto"/>
            <w:noWrap/>
            <w:vAlign w:val="center"/>
            <w:hideMark/>
          </w:tcPr>
          <w:p w14:paraId="11C7959D" w14:textId="0A1A8FDC"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1.3%</w:t>
            </w:r>
          </w:p>
        </w:tc>
        <w:tc>
          <w:tcPr>
            <w:tcW w:w="1020" w:type="dxa"/>
            <w:tcBorders>
              <w:top w:val="single" w:sz="4" w:space="0" w:color="auto"/>
              <w:left w:val="nil"/>
              <w:bottom w:val="single" w:sz="4" w:space="0" w:color="auto"/>
              <w:right w:val="nil"/>
            </w:tcBorders>
            <w:shd w:val="clear" w:color="auto" w:fill="auto"/>
            <w:noWrap/>
            <w:vAlign w:val="center"/>
            <w:hideMark/>
          </w:tcPr>
          <w:p w14:paraId="30C35EF5" w14:textId="7FD585F4"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9.2%</w:t>
            </w:r>
          </w:p>
        </w:tc>
        <w:tc>
          <w:tcPr>
            <w:tcW w:w="960" w:type="dxa"/>
            <w:tcBorders>
              <w:top w:val="single" w:sz="4" w:space="0" w:color="auto"/>
              <w:left w:val="nil"/>
              <w:bottom w:val="single" w:sz="4" w:space="0" w:color="auto"/>
              <w:right w:val="nil"/>
            </w:tcBorders>
            <w:shd w:val="clear" w:color="auto" w:fill="auto"/>
            <w:noWrap/>
            <w:vAlign w:val="center"/>
            <w:hideMark/>
          </w:tcPr>
          <w:p w14:paraId="521EBC50" w14:textId="12F7DD91"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1.8%</w:t>
            </w:r>
          </w:p>
        </w:tc>
      </w:tr>
      <w:tr w:rsidR="00204A3B" w:rsidRPr="00EB5E6E" w14:paraId="54104492" w14:textId="77777777" w:rsidTr="00416131">
        <w:trPr>
          <w:trHeight w:val="210"/>
        </w:trPr>
        <w:tc>
          <w:tcPr>
            <w:tcW w:w="1360" w:type="dxa"/>
            <w:tcBorders>
              <w:top w:val="nil"/>
              <w:left w:val="nil"/>
              <w:bottom w:val="single" w:sz="4" w:space="0" w:color="000000"/>
              <w:right w:val="nil"/>
            </w:tcBorders>
            <w:shd w:val="clear" w:color="auto" w:fill="auto"/>
            <w:noWrap/>
            <w:vAlign w:val="center"/>
            <w:hideMark/>
          </w:tcPr>
          <w:p w14:paraId="122BC67D" w14:textId="77777777" w:rsidR="00204A3B" w:rsidRPr="00BB165A" w:rsidRDefault="00204A3B" w:rsidP="00204A3B">
            <w:pPr>
              <w:spacing w:after="0" w:line="240" w:lineRule="auto"/>
              <w:rPr>
                <w:rFonts w:asciiTheme="majorHAnsi" w:eastAsia="Times New Roman" w:hAnsiTheme="majorHAnsi" w:cs="Arial"/>
                <w:sz w:val="16"/>
                <w:szCs w:val="16"/>
                <w:lang w:eastAsia="en-AU"/>
              </w:rPr>
            </w:pPr>
            <w:r w:rsidRPr="00BB165A">
              <w:rPr>
                <w:rFonts w:cs="Arial"/>
                <w:sz w:val="16"/>
                <w:szCs w:val="16"/>
              </w:rPr>
              <w:t>2017 - 2020</w:t>
            </w:r>
          </w:p>
        </w:tc>
        <w:tc>
          <w:tcPr>
            <w:tcW w:w="1928" w:type="dxa"/>
            <w:tcBorders>
              <w:top w:val="nil"/>
              <w:left w:val="nil"/>
              <w:bottom w:val="single" w:sz="4" w:space="0" w:color="auto"/>
              <w:right w:val="nil"/>
            </w:tcBorders>
            <w:shd w:val="clear" w:color="auto" w:fill="auto"/>
            <w:vAlign w:val="bottom"/>
            <w:hideMark/>
          </w:tcPr>
          <w:p w14:paraId="346A6CA0" w14:textId="77777777" w:rsidR="00204A3B" w:rsidRPr="00BB165A" w:rsidRDefault="00204A3B" w:rsidP="00204A3B">
            <w:pPr>
              <w:spacing w:after="0" w:line="240" w:lineRule="auto"/>
              <w:rPr>
                <w:rFonts w:cs="Arial"/>
                <w:sz w:val="16"/>
                <w:szCs w:val="16"/>
              </w:rPr>
            </w:pPr>
            <w:r w:rsidRPr="00BB165A">
              <w:rPr>
                <w:rFonts w:cs="Arial"/>
                <w:sz w:val="16"/>
                <w:szCs w:val="16"/>
              </w:rPr>
              <w:t xml:space="preserve">Common sample </w:t>
            </w:r>
          </w:p>
          <w:p w14:paraId="71D5F558" w14:textId="77777777" w:rsidR="00204A3B" w:rsidRPr="00BB165A" w:rsidRDefault="00204A3B" w:rsidP="00204A3B">
            <w:pPr>
              <w:spacing w:after="0" w:line="240" w:lineRule="auto"/>
              <w:rPr>
                <w:rFonts w:asciiTheme="majorHAnsi" w:eastAsia="Times New Roman" w:hAnsiTheme="majorHAnsi" w:cs="Arial"/>
                <w:sz w:val="16"/>
                <w:szCs w:val="16"/>
                <w:lang w:eastAsia="en-AU"/>
              </w:rPr>
            </w:pPr>
            <w:r w:rsidRPr="00BB165A">
              <w:rPr>
                <w:rFonts w:cs="Arial"/>
                <w:sz w:val="16"/>
                <w:szCs w:val="16"/>
              </w:rPr>
              <w:t>(25 universities)</w:t>
            </w:r>
          </w:p>
        </w:tc>
        <w:tc>
          <w:tcPr>
            <w:tcW w:w="1020" w:type="dxa"/>
            <w:tcBorders>
              <w:top w:val="nil"/>
              <w:left w:val="nil"/>
              <w:bottom w:val="single" w:sz="4" w:space="0" w:color="auto"/>
              <w:right w:val="nil"/>
            </w:tcBorders>
            <w:shd w:val="clear" w:color="auto" w:fill="auto"/>
            <w:noWrap/>
            <w:vAlign w:val="center"/>
            <w:hideMark/>
          </w:tcPr>
          <w:p w14:paraId="38321E5D" w14:textId="5C4E9B11" w:rsidR="00204A3B" w:rsidRPr="00E74E4F" w:rsidRDefault="00204A3B" w:rsidP="00E74E4F">
            <w:pPr>
              <w:spacing w:after="0" w:line="240" w:lineRule="auto"/>
              <w:jc w:val="center"/>
              <w:rPr>
                <w:rFonts w:asciiTheme="majorHAnsi" w:eastAsia="Times New Roman" w:hAnsiTheme="majorHAnsi" w:cs="Arial"/>
                <w:sz w:val="16"/>
                <w:szCs w:val="16"/>
                <w:lang w:eastAsia="en-AU"/>
              </w:rPr>
            </w:pPr>
            <w:r w:rsidRPr="00416131">
              <w:rPr>
                <w:sz w:val="16"/>
                <w:szCs w:val="16"/>
              </w:rPr>
              <w:t>2.3%</w:t>
            </w:r>
          </w:p>
        </w:tc>
        <w:tc>
          <w:tcPr>
            <w:tcW w:w="960" w:type="dxa"/>
            <w:tcBorders>
              <w:top w:val="nil"/>
              <w:left w:val="nil"/>
              <w:bottom w:val="single" w:sz="4" w:space="0" w:color="auto"/>
              <w:right w:val="nil"/>
            </w:tcBorders>
            <w:shd w:val="clear" w:color="auto" w:fill="auto"/>
            <w:noWrap/>
            <w:vAlign w:val="center"/>
            <w:hideMark/>
          </w:tcPr>
          <w:p w14:paraId="75C3B71D" w14:textId="619C78DB"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0.8%</w:t>
            </w:r>
          </w:p>
        </w:tc>
        <w:tc>
          <w:tcPr>
            <w:tcW w:w="1020" w:type="dxa"/>
            <w:tcBorders>
              <w:top w:val="nil"/>
              <w:left w:val="nil"/>
              <w:bottom w:val="single" w:sz="4" w:space="0" w:color="auto"/>
              <w:right w:val="nil"/>
            </w:tcBorders>
            <w:shd w:val="clear" w:color="auto" w:fill="auto"/>
            <w:noWrap/>
            <w:vAlign w:val="center"/>
            <w:hideMark/>
          </w:tcPr>
          <w:p w14:paraId="7054D1DD" w14:textId="726D92E3"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-1.1%</w:t>
            </w:r>
          </w:p>
        </w:tc>
        <w:tc>
          <w:tcPr>
            <w:tcW w:w="960" w:type="dxa"/>
            <w:tcBorders>
              <w:top w:val="nil"/>
              <w:left w:val="nil"/>
              <w:bottom w:val="single" w:sz="4" w:space="0" w:color="auto"/>
              <w:right w:val="nil"/>
            </w:tcBorders>
            <w:shd w:val="clear" w:color="auto" w:fill="auto"/>
            <w:noWrap/>
            <w:vAlign w:val="center"/>
            <w:hideMark/>
          </w:tcPr>
          <w:p w14:paraId="0103EEB8" w14:textId="20626AC5"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-0.4%</w:t>
            </w:r>
          </w:p>
        </w:tc>
        <w:tc>
          <w:tcPr>
            <w:tcW w:w="1020" w:type="dxa"/>
            <w:tcBorders>
              <w:top w:val="nil"/>
              <w:left w:val="nil"/>
              <w:bottom w:val="single" w:sz="4" w:space="0" w:color="auto"/>
              <w:right w:val="nil"/>
            </w:tcBorders>
            <w:shd w:val="clear" w:color="auto" w:fill="auto"/>
            <w:noWrap/>
            <w:vAlign w:val="center"/>
            <w:hideMark/>
          </w:tcPr>
          <w:p w14:paraId="0EE9BDD2" w14:textId="6C08C825"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1.8%</w:t>
            </w:r>
          </w:p>
        </w:tc>
        <w:tc>
          <w:tcPr>
            <w:tcW w:w="960" w:type="dxa"/>
            <w:tcBorders>
              <w:top w:val="nil"/>
              <w:left w:val="nil"/>
              <w:bottom w:val="single" w:sz="4" w:space="0" w:color="auto"/>
              <w:right w:val="nil"/>
            </w:tcBorders>
            <w:shd w:val="clear" w:color="auto" w:fill="auto"/>
            <w:noWrap/>
            <w:vAlign w:val="center"/>
            <w:hideMark/>
          </w:tcPr>
          <w:p w14:paraId="3823E4E0" w14:textId="36002A7C"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0.6%</w:t>
            </w:r>
          </w:p>
        </w:tc>
      </w:tr>
      <w:tr w:rsidR="00204A3B" w:rsidRPr="00EB5E6E" w14:paraId="61BBAF92" w14:textId="77777777" w:rsidTr="00416131">
        <w:trPr>
          <w:trHeight w:val="210"/>
        </w:trPr>
        <w:tc>
          <w:tcPr>
            <w:tcW w:w="1360" w:type="dxa"/>
            <w:tcBorders>
              <w:top w:val="nil"/>
              <w:left w:val="nil"/>
              <w:bottom w:val="single" w:sz="4" w:space="0" w:color="000000"/>
              <w:right w:val="nil"/>
            </w:tcBorders>
            <w:shd w:val="clear" w:color="auto" w:fill="auto"/>
            <w:noWrap/>
            <w:vAlign w:val="center"/>
          </w:tcPr>
          <w:p w14:paraId="0F237972" w14:textId="77777777" w:rsidR="00204A3B" w:rsidRPr="00BB165A" w:rsidRDefault="00204A3B" w:rsidP="00204A3B">
            <w:pPr>
              <w:spacing w:after="0" w:line="240" w:lineRule="auto"/>
              <w:rPr>
                <w:rFonts w:cs="Arial"/>
                <w:sz w:val="16"/>
                <w:szCs w:val="16"/>
              </w:rPr>
            </w:pPr>
            <w:r w:rsidRPr="00BB165A">
              <w:rPr>
                <w:rFonts w:cs="Arial"/>
                <w:sz w:val="16"/>
                <w:szCs w:val="16"/>
              </w:rPr>
              <w:t>2018 – 2020</w:t>
            </w:r>
          </w:p>
        </w:tc>
        <w:tc>
          <w:tcPr>
            <w:tcW w:w="1928" w:type="dxa"/>
            <w:tcBorders>
              <w:top w:val="nil"/>
              <w:left w:val="nil"/>
              <w:bottom w:val="single" w:sz="4" w:space="0" w:color="auto"/>
              <w:right w:val="nil"/>
            </w:tcBorders>
            <w:shd w:val="clear" w:color="auto" w:fill="auto"/>
            <w:vAlign w:val="bottom"/>
          </w:tcPr>
          <w:p w14:paraId="5EF6CD2C" w14:textId="77777777" w:rsidR="00204A3B" w:rsidRPr="00BB165A" w:rsidRDefault="00204A3B" w:rsidP="00204A3B">
            <w:pPr>
              <w:spacing w:after="0" w:line="240" w:lineRule="auto"/>
              <w:rPr>
                <w:rFonts w:cs="Arial"/>
                <w:sz w:val="16"/>
                <w:szCs w:val="16"/>
              </w:rPr>
            </w:pPr>
            <w:r w:rsidRPr="00BB165A">
              <w:rPr>
                <w:rFonts w:cs="Arial"/>
                <w:sz w:val="16"/>
                <w:szCs w:val="16"/>
              </w:rPr>
              <w:t>Common sample</w:t>
            </w:r>
          </w:p>
          <w:p w14:paraId="3D2A0B1E" w14:textId="77777777" w:rsidR="00204A3B" w:rsidRPr="00BB165A" w:rsidRDefault="00204A3B" w:rsidP="00204A3B">
            <w:pPr>
              <w:spacing w:after="0" w:line="240" w:lineRule="auto"/>
              <w:rPr>
                <w:rFonts w:cs="Arial"/>
                <w:sz w:val="16"/>
                <w:szCs w:val="16"/>
              </w:rPr>
            </w:pPr>
            <w:r w:rsidRPr="00BB165A">
              <w:rPr>
                <w:rFonts w:cs="Arial"/>
                <w:sz w:val="16"/>
                <w:szCs w:val="16"/>
              </w:rPr>
              <w:t>(32 universities)</w:t>
            </w:r>
          </w:p>
        </w:tc>
        <w:tc>
          <w:tcPr>
            <w:tcW w:w="1020" w:type="dxa"/>
            <w:tcBorders>
              <w:top w:val="nil"/>
              <w:left w:val="nil"/>
              <w:bottom w:val="nil"/>
              <w:right w:val="nil"/>
            </w:tcBorders>
            <w:shd w:val="clear" w:color="auto" w:fill="auto"/>
            <w:noWrap/>
            <w:vAlign w:val="center"/>
          </w:tcPr>
          <w:p w14:paraId="10F95A97" w14:textId="7AB1EA67" w:rsidR="00204A3B" w:rsidRPr="00E74E4F" w:rsidRDefault="00204A3B" w:rsidP="00E74E4F">
            <w:pPr>
              <w:spacing w:after="0" w:line="240" w:lineRule="auto"/>
              <w:jc w:val="center"/>
              <w:rPr>
                <w:rFonts w:cs="Arial"/>
                <w:sz w:val="16"/>
                <w:szCs w:val="16"/>
              </w:rPr>
            </w:pPr>
            <w:r w:rsidRPr="00416131">
              <w:rPr>
                <w:sz w:val="16"/>
                <w:szCs w:val="16"/>
              </w:rPr>
              <w:t>1.3%</w:t>
            </w:r>
          </w:p>
        </w:tc>
        <w:tc>
          <w:tcPr>
            <w:tcW w:w="960" w:type="dxa"/>
            <w:tcBorders>
              <w:top w:val="nil"/>
              <w:left w:val="nil"/>
              <w:bottom w:val="nil"/>
              <w:right w:val="nil"/>
            </w:tcBorders>
            <w:shd w:val="clear" w:color="auto" w:fill="auto"/>
            <w:noWrap/>
            <w:vAlign w:val="center"/>
          </w:tcPr>
          <w:p w14:paraId="4914FA6B" w14:textId="6FB6B157" w:rsidR="00204A3B" w:rsidRPr="00E74E4F" w:rsidRDefault="00204A3B">
            <w:pPr>
              <w:spacing w:after="0" w:line="240" w:lineRule="auto"/>
              <w:jc w:val="center"/>
              <w:rPr>
                <w:rFonts w:cs="Arial"/>
                <w:sz w:val="16"/>
                <w:szCs w:val="16"/>
              </w:rPr>
            </w:pPr>
            <w:r w:rsidRPr="00416131">
              <w:rPr>
                <w:sz w:val="16"/>
                <w:szCs w:val="16"/>
              </w:rPr>
              <w:t>0.6%</w:t>
            </w:r>
          </w:p>
        </w:tc>
        <w:tc>
          <w:tcPr>
            <w:tcW w:w="1020" w:type="dxa"/>
            <w:tcBorders>
              <w:top w:val="nil"/>
              <w:left w:val="nil"/>
              <w:bottom w:val="nil"/>
              <w:right w:val="nil"/>
            </w:tcBorders>
            <w:shd w:val="clear" w:color="auto" w:fill="auto"/>
            <w:noWrap/>
            <w:vAlign w:val="center"/>
          </w:tcPr>
          <w:p w14:paraId="44D7B11D" w14:textId="7523CB64" w:rsidR="00204A3B" w:rsidRPr="00E74E4F" w:rsidRDefault="00204A3B">
            <w:pPr>
              <w:spacing w:after="0" w:line="240" w:lineRule="auto"/>
              <w:jc w:val="center"/>
              <w:rPr>
                <w:rFonts w:cs="Arial"/>
                <w:sz w:val="16"/>
                <w:szCs w:val="16"/>
              </w:rPr>
            </w:pPr>
            <w:r w:rsidRPr="00416131">
              <w:rPr>
                <w:sz w:val="16"/>
                <w:szCs w:val="16"/>
              </w:rPr>
              <w:t>2.1%</w:t>
            </w:r>
          </w:p>
        </w:tc>
        <w:tc>
          <w:tcPr>
            <w:tcW w:w="960" w:type="dxa"/>
            <w:tcBorders>
              <w:top w:val="nil"/>
              <w:left w:val="nil"/>
              <w:bottom w:val="nil"/>
              <w:right w:val="nil"/>
            </w:tcBorders>
            <w:shd w:val="clear" w:color="auto" w:fill="auto"/>
            <w:noWrap/>
            <w:vAlign w:val="center"/>
          </w:tcPr>
          <w:p w14:paraId="21B28200" w14:textId="764E467E" w:rsidR="00204A3B" w:rsidRPr="00E74E4F" w:rsidRDefault="00204A3B">
            <w:pPr>
              <w:spacing w:after="0" w:line="240" w:lineRule="auto"/>
              <w:jc w:val="center"/>
              <w:rPr>
                <w:rFonts w:cs="Arial"/>
                <w:sz w:val="16"/>
                <w:szCs w:val="16"/>
              </w:rPr>
            </w:pPr>
            <w:r w:rsidRPr="00416131">
              <w:rPr>
                <w:sz w:val="16"/>
                <w:szCs w:val="16"/>
              </w:rPr>
              <w:t>1.1%</w:t>
            </w:r>
          </w:p>
        </w:tc>
        <w:tc>
          <w:tcPr>
            <w:tcW w:w="1020" w:type="dxa"/>
            <w:tcBorders>
              <w:top w:val="nil"/>
              <w:left w:val="nil"/>
              <w:bottom w:val="nil"/>
              <w:right w:val="nil"/>
            </w:tcBorders>
            <w:shd w:val="clear" w:color="auto" w:fill="auto"/>
            <w:noWrap/>
            <w:vAlign w:val="center"/>
          </w:tcPr>
          <w:p w14:paraId="5831F305" w14:textId="17BA824B" w:rsidR="00204A3B" w:rsidRPr="00E74E4F" w:rsidRDefault="00204A3B">
            <w:pPr>
              <w:spacing w:after="0" w:line="240" w:lineRule="auto"/>
              <w:jc w:val="center"/>
              <w:rPr>
                <w:rFonts w:cs="Arial"/>
                <w:sz w:val="16"/>
                <w:szCs w:val="16"/>
              </w:rPr>
            </w:pPr>
            <w:r w:rsidRPr="00416131">
              <w:rPr>
                <w:sz w:val="16"/>
                <w:szCs w:val="16"/>
              </w:rPr>
              <w:t>1.7%</w:t>
            </w:r>
          </w:p>
        </w:tc>
        <w:tc>
          <w:tcPr>
            <w:tcW w:w="960" w:type="dxa"/>
            <w:tcBorders>
              <w:top w:val="nil"/>
              <w:left w:val="nil"/>
              <w:bottom w:val="nil"/>
              <w:right w:val="nil"/>
            </w:tcBorders>
            <w:shd w:val="clear" w:color="auto" w:fill="auto"/>
            <w:noWrap/>
            <w:vAlign w:val="center"/>
          </w:tcPr>
          <w:p w14:paraId="0F44E96D" w14:textId="563D3AD4" w:rsidR="00204A3B" w:rsidRPr="00E74E4F" w:rsidRDefault="00204A3B">
            <w:pPr>
              <w:spacing w:after="0" w:line="240" w:lineRule="auto"/>
              <w:jc w:val="center"/>
              <w:rPr>
                <w:rFonts w:cs="Arial"/>
                <w:sz w:val="16"/>
                <w:szCs w:val="16"/>
              </w:rPr>
            </w:pPr>
            <w:r w:rsidRPr="00416131">
              <w:rPr>
                <w:sz w:val="16"/>
                <w:szCs w:val="16"/>
              </w:rPr>
              <w:t>0.8%</w:t>
            </w:r>
          </w:p>
        </w:tc>
      </w:tr>
      <w:tr w:rsidR="00204A3B" w:rsidRPr="00EB5E6E" w14:paraId="27AF5DBD" w14:textId="77777777" w:rsidTr="00416131">
        <w:trPr>
          <w:trHeight w:val="313"/>
        </w:trPr>
        <w:tc>
          <w:tcPr>
            <w:tcW w:w="1360" w:type="dxa"/>
            <w:tcBorders>
              <w:top w:val="nil"/>
              <w:left w:val="nil"/>
              <w:bottom w:val="single" w:sz="4" w:space="0" w:color="000000"/>
              <w:right w:val="nil"/>
            </w:tcBorders>
            <w:shd w:val="clear" w:color="auto" w:fill="auto"/>
            <w:noWrap/>
            <w:vAlign w:val="bottom"/>
            <w:hideMark/>
          </w:tcPr>
          <w:p w14:paraId="784B5DFC" w14:textId="77777777" w:rsidR="00204A3B" w:rsidRPr="00BB165A" w:rsidRDefault="00204A3B" w:rsidP="00204A3B">
            <w:pPr>
              <w:spacing w:after="0" w:line="240" w:lineRule="auto"/>
              <w:rPr>
                <w:rFonts w:asciiTheme="majorHAnsi" w:eastAsia="Times New Roman" w:hAnsiTheme="majorHAnsi" w:cs="Arial"/>
                <w:sz w:val="16"/>
                <w:szCs w:val="16"/>
                <w:lang w:eastAsia="en-AU"/>
              </w:rPr>
            </w:pPr>
            <w:r w:rsidRPr="00BB165A">
              <w:rPr>
                <w:rFonts w:cs="Arial"/>
                <w:sz w:val="16"/>
                <w:szCs w:val="16"/>
              </w:rPr>
              <w:t>2019 - 2020</w:t>
            </w:r>
          </w:p>
        </w:tc>
        <w:tc>
          <w:tcPr>
            <w:tcW w:w="1928" w:type="dxa"/>
            <w:tcBorders>
              <w:top w:val="nil"/>
              <w:left w:val="nil"/>
              <w:bottom w:val="single" w:sz="4" w:space="0" w:color="auto"/>
              <w:right w:val="nil"/>
            </w:tcBorders>
            <w:shd w:val="clear" w:color="auto" w:fill="auto"/>
            <w:vAlign w:val="bottom"/>
            <w:hideMark/>
          </w:tcPr>
          <w:p w14:paraId="7E61869A" w14:textId="77777777" w:rsidR="00204A3B" w:rsidRPr="00BB165A" w:rsidRDefault="00204A3B" w:rsidP="00204A3B">
            <w:pPr>
              <w:spacing w:after="0" w:line="240" w:lineRule="auto"/>
              <w:rPr>
                <w:rFonts w:cs="Arial"/>
                <w:sz w:val="16"/>
                <w:szCs w:val="16"/>
              </w:rPr>
            </w:pPr>
            <w:r w:rsidRPr="00BB165A">
              <w:rPr>
                <w:rFonts w:cs="Arial"/>
                <w:sz w:val="16"/>
                <w:szCs w:val="16"/>
              </w:rPr>
              <w:t xml:space="preserve">Full sample </w:t>
            </w:r>
          </w:p>
          <w:p w14:paraId="7E75BE19" w14:textId="77777777" w:rsidR="00204A3B" w:rsidRPr="00BB165A" w:rsidRDefault="00204A3B" w:rsidP="00204A3B">
            <w:pPr>
              <w:spacing w:after="0" w:line="240" w:lineRule="auto"/>
              <w:rPr>
                <w:rFonts w:asciiTheme="majorHAnsi" w:eastAsia="Times New Roman" w:hAnsiTheme="majorHAnsi" w:cs="Arial"/>
                <w:sz w:val="16"/>
                <w:szCs w:val="16"/>
                <w:lang w:eastAsia="en-AU"/>
              </w:rPr>
            </w:pPr>
            <w:r w:rsidRPr="00BB165A">
              <w:rPr>
                <w:rFonts w:cs="Arial"/>
                <w:sz w:val="16"/>
                <w:szCs w:val="16"/>
              </w:rPr>
              <w:t>(37 universities)</w:t>
            </w:r>
          </w:p>
        </w:tc>
        <w:tc>
          <w:tcPr>
            <w:tcW w:w="1020" w:type="dxa"/>
            <w:tcBorders>
              <w:top w:val="single" w:sz="4" w:space="0" w:color="auto"/>
              <w:left w:val="nil"/>
              <w:bottom w:val="single" w:sz="4" w:space="0" w:color="auto"/>
              <w:right w:val="nil"/>
            </w:tcBorders>
            <w:shd w:val="clear" w:color="auto" w:fill="auto"/>
            <w:noWrap/>
            <w:vAlign w:val="center"/>
            <w:hideMark/>
          </w:tcPr>
          <w:p w14:paraId="060AC48A" w14:textId="4C1FD7AF" w:rsidR="00204A3B" w:rsidRPr="00E74E4F" w:rsidRDefault="00204A3B" w:rsidP="00E74E4F">
            <w:pPr>
              <w:spacing w:after="0" w:line="240" w:lineRule="auto"/>
              <w:jc w:val="center"/>
              <w:rPr>
                <w:rFonts w:asciiTheme="majorHAnsi" w:eastAsia="Times New Roman" w:hAnsiTheme="majorHAnsi" w:cs="Arial"/>
                <w:sz w:val="16"/>
                <w:szCs w:val="16"/>
                <w:lang w:eastAsia="en-AU"/>
              </w:rPr>
            </w:pPr>
            <w:r w:rsidRPr="00416131">
              <w:rPr>
                <w:sz w:val="16"/>
                <w:szCs w:val="16"/>
              </w:rPr>
              <w:t>0.4%</w:t>
            </w:r>
          </w:p>
        </w:tc>
        <w:tc>
          <w:tcPr>
            <w:tcW w:w="960" w:type="dxa"/>
            <w:tcBorders>
              <w:top w:val="single" w:sz="4" w:space="0" w:color="auto"/>
              <w:left w:val="nil"/>
              <w:bottom w:val="single" w:sz="4" w:space="0" w:color="auto"/>
              <w:right w:val="nil"/>
            </w:tcBorders>
            <w:shd w:val="clear" w:color="auto" w:fill="auto"/>
            <w:noWrap/>
            <w:vAlign w:val="center"/>
            <w:hideMark/>
          </w:tcPr>
          <w:p w14:paraId="6622948F" w14:textId="75798310"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w:t>
            </w:r>
          </w:p>
        </w:tc>
        <w:tc>
          <w:tcPr>
            <w:tcW w:w="1020" w:type="dxa"/>
            <w:tcBorders>
              <w:top w:val="single" w:sz="4" w:space="0" w:color="auto"/>
              <w:left w:val="nil"/>
              <w:bottom w:val="single" w:sz="4" w:space="0" w:color="auto"/>
              <w:right w:val="nil"/>
            </w:tcBorders>
            <w:shd w:val="clear" w:color="auto" w:fill="auto"/>
            <w:noWrap/>
            <w:vAlign w:val="center"/>
            <w:hideMark/>
          </w:tcPr>
          <w:p w14:paraId="57AA1527" w14:textId="68610EC4"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1.0%</w:t>
            </w:r>
          </w:p>
        </w:tc>
        <w:tc>
          <w:tcPr>
            <w:tcW w:w="960" w:type="dxa"/>
            <w:tcBorders>
              <w:top w:val="single" w:sz="4" w:space="0" w:color="auto"/>
              <w:left w:val="nil"/>
              <w:bottom w:val="single" w:sz="4" w:space="0" w:color="auto"/>
              <w:right w:val="nil"/>
            </w:tcBorders>
            <w:shd w:val="clear" w:color="auto" w:fill="auto"/>
            <w:noWrap/>
            <w:vAlign w:val="center"/>
            <w:hideMark/>
          </w:tcPr>
          <w:p w14:paraId="32FA65E4" w14:textId="4F2DDF16"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w:t>
            </w:r>
          </w:p>
        </w:tc>
        <w:tc>
          <w:tcPr>
            <w:tcW w:w="1020" w:type="dxa"/>
            <w:tcBorders>
              <w:top w:val="single" w:sz="4" w:space="0" w:color="auto"/>
              <w:left w:val="nil"/>
              <w:bottom w:val="single" w:sz="4" w:space="0" w:color="auto"/>
              <w:right w:val="nil"/>
            </w:tcBorders>
            <w:shd w:val="clear" w:color="auto" w:fill="auto"/>
            <w:noWrap/>
            <w:vAlign w:val="center"/>
            <w:hideMark/>
          </w:tcPr>
          <w:p w14:paraId="4B23A4CF" w14:textId="3DF8D305"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0.5%</w:t>
            </w:r>
          </w:p>
        </w:tc>
        <w:tc>
          <w:tcPr>
            <w:tcW w:w="960" w:type="dxa"/>
            <w:tcBorders>
              <w:top w:val="single" w:sz="4" w:space="0" w:color="auto"/>
              <w:left w:val="nil"/>
              <w:bottom w:val="single" w:sz="4" w:space="0" w:color="auto"/>
              <w:right w:val="nil"/>
            </w:tcBorders>
            <w:shd w:val="clear" w:color="auto" w:fill="auto"/>
            <w:noWrap/>
            <w:vAlign w:val="center"/>
            <w:hideMark/>
          </w:tcPr>
          <w:p w14:paraId="31766FE4" w14:textId="3A9599DD" w:rsidR="00204A3B" w:rsidRPr="00E74E4F" w:rsidRDefault="00204A3B">
            <w:pPr>
              <w:spacing w:after="0" w:line="240" w:lineRule="auto"/>
              <w:jc w:val="center"/>
              <w:rPr>
                <w:rFonts w:asciiTheme="majorHAnsi" w:eastAsia="Times New Roman" w:hAnsiTheme="majorHAnsi" w:cs="Arial"/>
                <w:sz w:val="16"/>
                <w:szCs w:val="16"/>
                <w:lang w:eastAsia="en-AU"/>
              </w:rPr>
            </w:pPr>
            <w:r w:rsidRPr="00416131">
              <w:rPr>
                <w:sz w:val="16"/>
                <w:szCs w:val="16"/>
              </w:rPr>
              <w:t>-</w:t>
            </w:r>
          </w:p>
        </w:tc>
      </w:tr>
    </w:tbl>
    <w:p w14:paraId="37DDB3C8" w14:textId="7B58EF23" w:rsidR="002C3175" w:rsidRPr="00691B65" w:rsidRDefault="002C3175" w:rsidP="00537973">
      <w:pPr>
        <w:rPr>
          <w:iCs/>
          <w:color w:val="75787B" w:themeColor="accent6"/>
          <w:sz w:val="14"/>
        </w:rPr>
      </w:pPr>
      <w:r w:rsidRPr="00BB165A">
        <w:rPr>
          <w:color w:val="75787B" w:themeColor="accent6"/>
          <w:sz w:val="14"/>
        </w:rPr>
        <w:t xml:space="preserve">Note: CAGR indicates Compound Annual Growth Rate. </w:t>
      </w:r>
      <w:r w:rsidR="00B55E41" w:rsidRPr="00BB165A">
        <w:rPr>
          <w:color w:val="75787B" w:themeColor="accent6"/>
          <w:sz w:val="14"/>
        </w:rPr>
        <w:t xml:space="preserve">* </w:t>
      </w:r>
      <w:r w:rsidR="00FF3D3E" w:rsidRPr="00BB165A">
        <w:rPr>
          <w:color w:val="75787B" w:themeColor="accent6"/>
          <w:sz w:val="14"/>
        </w:rPr>
        <w:t>I</w:t>
      </w:r>
      <w:r w:rsidR="00B55E41" w:rsidRPr="00BB165A">
        <w:rPr>
          <w:color w:val="75787B" w:themeColor="accent6"/>
          <w:sz w:val="14"/>
        </w:rPr>
        <w:t>ncludes costs related to sub-bachelor study</w:t>
      </w:r>
      <w:r w:rsidR="00FF3D3E" w:rsidRPr="00BB165A">
        <w:rPr>
          <w:color w:val="75787B" w:themeColor="accent6"/>
          <w:sz w:val="14"/>
        </w:rPr>
        <w:t>. Total growth exceeds growth in bachelor and postgraduate costs in some cases due to both the inclusion of costs for sub-bachelor level study and also compositional shifts which have resulted in a greater share of total EFTSL comprising postgraduate coursework students (who have a higher average cost per EFTSL).</w:t>
      </w:r>
      <w:r w:rsidR="00FF3D3E">
        <w:rPr>
          <w:iCs/>
          <w:color w:val="75787B" w:themeColor="accent6"/>
          <w:sz w:val="14"/>
        </w:rPr>
        <w:t xml:space="preserve"> </w:t>
      </w:r>
    </w:p>
    <w:p w14:paraId="72DB9F15" w14:textId="0319CAF0" w:rsidR="00A70DBD" w:rsidRDefault="00982BC8" w:rsidP="00537973">
      <w:pPr>
        <w:pStyle w:val="Heading2"/>
        <w:numPr>
          <w:ilvl w:val="0"/>
          <w:numId w:val="0"/>
        </w:numPr>
      </w:pPr>
      <w:bookmarkStart w:id="164" w:name="_Toc105776177"/>
      <w:bookmarkStart w:id="165" w:name="_Toc20245999"/>
      <w:r>
        <w:t>The impact of COVID-19</w:t>
      </w:r>
      <w:bookmarkEnd w:id="164"/>
    </w:p>
    <w:p w14:paraId="2958CB59" w14:textId="3E3FC3CD" w:rsidR="00755A8C" w:rsidRPr="00BB165A" w:rsidRDefault="00566721" w:rsidP="00755A8C">
      <w:r w:rsidRPr="00BB165A">
        <w:t xml:space="preserve">The COVID-19 pandemic had a significant impact on the financial performance of many Australian universities in 2020. </w:t>
      </w:r>
      <w:r w:rsidR="003C14C4">
        <w:t>Based on the information garnered through th</w:t>
      </w:r>
      <w:r w:rsidR="00B93485">
        <w:t xml:space="preserve">is exercise, </w:t>
      </w:r>
      <w:r w:rsidR="00755A8C" w:rsidRPr="00BB165A">
        <w:t xml:space="preserve">Deloitte </w:t>
      </w:r>
      <w:r w:rsidR="00B93485">
        <w:t>Access Economics</w:t>
      </w:r>
      <w:r w:rsidR="00755A8C" w:rsidRPr="00BB165A">
        <w:t xml:space="preserve"> understands that the impact</w:t>
      </w:r>
      <w:r w:rsidR="009D6B0A">
        <w:t>s</w:t>
      </w:r>
      <w:r w:rsidR="00755A8C" w:rsidRPr="00BB165A">
        <w:t xml:space="preserve"> of COVID-19 on university expenditure can be grouped into three broad categories:</w:t>
      </w:r>
    </w:p>
    <w:p w14:paraId="4E7DD6F8" w14:textId="77777777" w:rsidR="00755A8C" w:rsidRPr="00BB165A" w:rsidRDefault="00755A8C" w:rsidP="00755A8C">
      <w:pPr>
        <w:pStyle w:val="ListBullet"/>
      </w:pPr>
      <w:r w:rsidRPr="00BB165A">
        <w:rPr>
          <w:b/>
        </w:rPr>
        <w:t>Financial incentives and support for students</w:t>
      </w:r>
      <w:r w:rsidRPr="00BB165A">
        <w:t xml:space="preserve"> including scholarships, bursaries and stipends, hardship payments and tuition fee discounts</w:t>
      </w:r>
    </w:p>
    <w:p w14:paraId="4CACC66E" w14:textId="77777777" w:rsidR="00755A8C" w:rsidRPr="00BB165A" w:rsidRDefault="00755A8C" w:rsidP="00755A8C">
      <w:pPr>
        <w:pStyle w:val="ListBullet"/>
      </w:pPr>
      <w:r w:rsidRPr="00BB165A">
        <w:rPr>
          <w:b/>
        </w:rPr>
        <w:t>Management of staff costs</w:t>
      </w:r>
      <w:r w:rsidRPr="00BB165A">
        <w:t xml:space="preserve"> including redundancy costs, deferral of salary increases, leave and balance sheet provisions, temporary salary cuts and temporary payroll tax exemptions</w:t>
      </w:r>
    </w:p>
    <w:p w14:paraId="1B4537BD" w14:textId="77777777" w:rsidR="00755A8C" w:rsidRPr="00BB165A" w:rsidRDefault="00755A8C" w:rsidP="00755A8C">
      <w:pPr>
        <w:pStyle w:val="ListBullet"/>
      </w:pPr>
      <w:r w:rsidRPr="00BB165A">
        <w:rPr>
          <w:b/>
        </w:rPr>
        <w:t>Management of non-staff costs</w:t>
      </w:r>
      <w:r w:rsidRPr="00BB165A">
        <w:t xml:space="preserve"> including higher IT investment and COVID-related cleaning and consumables; lower spending on travel, conferences and events; and deferred spending on maintenance and capital projects.</w:t>
      </w:r>
    </w:p>
    <w:p w14:paraId="2A945243" w14:textId="2A9EE516" w:rsidR="004010BE" w:rsidRPr="004010BE" w:rsidRDefault="009A662D" w:rsidP="00355033">
      <w:r>
        <w:t>As reported above, o</w:t>
      </w:r>
      <w:r w:rsidRPr="004010BE">
        <w:t>verall</w:t>
      </w:r>
      <w:r w:rsidR="00B94645" w:rsidRPr="004010BE">
        <w:t xml:space="preserve"> teaching unit costs grew 0.5% in 2020</w:t>
      </w:r>
      <w:r w:rsidR="009307D5" w:rsidRPr="004010BE">
        <w:t xml:space="preserve"> </w:t>
      </w:r>
      <w:r w:rsidR="006929CA" w:rsidRPr="004010BE">
        <w:t>across all</w:t>
      </w:r>
      <w:r w:rsidR="009307D5" w:rsidRPr="004010BE">
        <w:t xml:space="preserve"> 37 </w:t>
      </w:r>
      <w:r w:rsidR="006929CA" w:rsidRPr="004010BE">
        <w:t>universities</w:t>
      </w:r>
      <w:r w:rsidR="00B94645" w:rsidRPr="004010BE">
        <w:t xml:space="preserve">. This is below the </w:t>
      </w:r>
      <w:r w:rsidR="006929CA" w:rsidRPr="004010BE">
        <w:t>average annual growth rate of</w:t>
      </w:r>
      <w:r w:rsidR="00C37764" w:rsidRPr="004010BE">
        <w:t xml:space="preserve"> 1.8% from 2015 to 2020 among the </w:t>
      </w:r>
      <w:r w:rsidR="00566721" w:rsidRPr="004010BE">
        <w:t>17 universities in the 2015 common sample</w:t>
      </w:r>
      <w:r w:rsidR="005D50D1" w:rsidRPr="004010BE">
        <w:t xml:space="preserve">, but is higher than the 0.2% increase in </w:t>
      </w:r>
      <w:r w:rsidR="004010BE" w:rsidRPr="004010BE">
        <w:t>overall university expenditure per EFTSL. This suggests that</w:t>
      </w:r>
      <w:r w:rsidR="00DC6ECB">
        <w:t>,</w:t>
      </w:r>
      <w:r w:rsidR="004010BE" w:rsidRPr="004010BE">
        <w:t xml:space="preserve"> </w:t>
      </w:r>
      <w:r w:rsidR="00DC6ECB" w:rsidRPr="004010BE">
        <w:t>in 2020</w:t>
      </w:r>
      <w:r w:rsidR="00DC6ECB">
        <w:t>,</w:t>
      </w:r>
      <w:r w:rsidR="004010BE" w:rsidRPr="004010BE">
        <w:t xml:space="preserve"> </w:t>
      </w:r>
      <w:r w:rsidR="00CC09AF" w:rsidRPr="001367CA">
        <w:t xml:space="preserve">universities </w:t>
      </w:r>
      <w:r w:rsidR="004010BE" w:rsidRPr="004010BE">
        <w:t xml:space="preserve">cut non-teaching costs proportionally more </w:t>
      </w:r>
      <w:r w:rsidR="00DC6ECB">
        <w:t>than</w:t>
      </w:r>
      <w:r w:rsidR="004010BE" w:rsidRPr="004010BE">
        <w:t xml:space="preserve"> teaching costs. </w:t>
      </w:r>
    </w:p>
    <w:p w14:paraId="0E3D84FF" w14:textId="3DEFC052" w:rsidR="00CD6164" w:rsidRDefault="00465476" w:rsidP="00AC5575">
      <w:r w:rsidRPr="002E659E">
        <w:t xml:space="preserve">Expenditure was affected </w:t>
      </w:r>
      <w:r w:rsidR="00F85FF8" w:rsidRPr="002E659E">
        <w:t xml:space="preserve">differently across the sector based on </w:t>
      </w:r>
      <w:r w:rsidR="00F76D16" w:rsidRPr="002E659E">
        <w:t xml:space="preserve">individual university responses to COVID-19. On average, staff costs </w:t>
      </w:r>
      <w:r w:rsidR="00C35A17" w:rsidRPr="002E659E">
        <w:t xml:space="preserve">per EFTSL </w:t>
      </w:r>
      <w:r w:rsidR="00F76D16" w:rsidRPr="002E659E">
        <w:t xml:space="preserve">rose </w:t>
      </w:r>
      <w:r w:rsidR="00C35A17" w:rsidRPr="002E659E">
        <w:t xml:space="preserve">5.1% in </w:t>
      </w:r>
      <w:r w:rsidR="00215F3C" w:rsidRPr="002E659E">
        <w:t>2020 across all 37 universities</w:t>
      </w:r>
      <w:r w:rsidR="00F76D16" w:rsidRPr="002E659E">
        <w:t xml:space="preserve"> </w:t>
      </w:r>
      <w:r w:rsidR="00CD6164">
        <w:t>amid the effect of redundancy programs</w:t>
      </w:r>
      <w:r w:rsidR="00467D60">
        <w:t xml:space="preserve">. </w:t>
      </w:r>
      <w:r w:rsidR="00083FB5">
        <w:t>Non-staff costs fell 6.2% over the same period</w:t>
      </w:r>
      <w:r w:rsidR="001D074D">
        <w:t xml:space="preserve"> as COVID</w:t>
      </w:r>
      <w:r w:rsidR="00B25C58">
        <w:t>-19</w:t>
      </w:r>
      <w:r w:rsidR="001D074D">
        <w:t xml:space="preserve"> restrictions </w:t>
      </w:r>
      <w:r w:rsidR="000F4498">
        <w:t xml:space="preserve">reduced campus utilisation, delayed capital and maintenance expenditure at several </w:t>
      </w:r>
      <w:r w:rsidR="00CE31E8">
        <w:t>universities</w:t>
      </w:r>
      <w:r w:rsidR="000F4498">
        <w:t xml:space="preserve">, and </w:t>
      </w:r>
      <w:r w:rsidR="00227F41">
        <w:t xml:space="preserve">led to sharp falls in </w:t>
      </w:r>
      <w:r w:rsidR="009B17E5">
        <w:t xml:space="preserve">expenditure on travel. </w:t>
      </w:r>
    </w:p>
    <w:p w14:paraId="416EF432" w14:textId="4B5D8786" w:rsidR="00CE31E8" w:rsidRDefault="004B7FBE" w:rsidP="00EE25DF">
      <w:r>
        <w:t xml:space="preserve">University responses to COVID-19 are likely to also affect the cost of teaching in 2021, 2022 and </w:t>
      </w:r>
      <w:r w:rsidR="00C85076">
        <w:t>beyond. Redundancy programs may mean that staff costs grow more slowly, but non-staff costs may recover</w:t>
      </w:r>
      <w:r w:rsidR="005C29A2">
        <w:t xml:space="preserve"> following the end of lockdowns. It is also possible that </w:t>
      </w:r>
      <w:r w:rsidR="00463CBE">
        <w:t xml:space="preserve">teaching costs may return closer to long term growth trends </w:t>
      </w:r>
      <w:r w:rsidR="007129B6">
        <w:t>if</w:t>
      </w:r>
      <w:r w:rsidR="00463CBE">
        <w:t xml:space="preserve"> </w:t>
      </w:r>
      <w:r w:rsidR="00B16EAE">
        <w:t>the number of international students at Australian university campuses returns to</w:t>
      </w:r>
      <w:r w:rsidR="00AD41D5">
        <w:t xml:space="preserve"> pre-COVID levels. </w:t>
      </w:r>
    </w:p>
    <w:p w14:paraId="666AA918" w14:textId="476B1A45" w:rsidR="00537973" w:rsidRPr="00691B65" w:rsidRDefault="00537973" w:rsidP="00537973">
      <w:pPr>
        <w:pStyle w:val="Heading2"/>
        <w:numPr>
          <w:ilvl w:val="0"/>
          <w:numId w:val="0"/>
        </w:numPr>
      </w:pPr>
      <w:bookmarkStart w:id="166" w:name="_Toc105776178"/>
      <w:r w:rsidRPr="00691B65">
        <w:t>Costs and funding</w:t>
      </w:r>
      <w:bookmarkEnd w:id="165"/>
      <w:bookmarkEnd w:id="166"/>
    </w:p>
    <w:p w14:paraId="2279C461" w14:textId="43966677" w:rsidR="002C3175" w:rsidRPr="00172992" w:rsidRDefault="00537973" w:rsidP="00416131">
      <w:pPr>
        <w:spacing w:before="120"/>
        <w:rPr>
          <w:highlight w:val="yellow"/>
        </w:rPr>
      </w:pPr>
      <w:r w:rsidRPr="00F76E76">
        <w:t xml:space="preserve">The cost of delivering teaching and scholarship for bachelor studies was </w:t>
      </w:r>
      <w:r w:rsidR="00DA2EAB">
        <w:t>8</w:t>
      </w:r>
      <w:r w:rsidR="00D979B7">
        <w:t>9</w:t>
      </w:r>
      <w:r w:rsidRPr="00F76E76">
        <w:t>% of the average base funding</w:t>
      </w:r>
      <w:r w:rsidR="00952A72">
        <w:rPr>
          <w:rStyle w:val="FootnoteReference"/>
        </w:rPr>
        <w:footnoteReference w:id="10"/>
      </w:r>
      <w:r w:rsidRPr="00F76E76">
        <w:t xml:space="preserve"> across </w:t>
      </w:r>
      <w:r w:rsidR="008D342E" w:rsidRPr="00F76E76">
        <w:t>all</w:t>
      </w:r>
      <w:r w:rsidRPr="00F76E76">
        <w:t xml:space="preserve"> </w:t>
      </w:r>
      <w:r w:rsidR="002C3175" w:rsidRPr="00F76E76">
        <w:t>3</w:t>
      </w:r>
      <w:r w:rsidR="008D342E" w:rsidRPr="00F76E76">
        <w:t>7</w:t>
      </w:r>
      <w:r w:rsidR="002C3175" w:rsidRPr="00F76E76">
        <w:t xml:space="preserve"> </w:t>
      </w:r>
      <w:r w:rsidRPr="00F76E76">
        <w:t xml:space="preserve">universities </w:t>
      </w:r>
      <w:r w:rsidR="00952A72">
        <w:t>in 2019 and 8</w:t>
      </w:r>
      <w:r w:rsidR="00D979B7">
        <w:t>8</w:t>
      </w:r>
      <w:r w:rsidR="00952A72">
        <w:t xml:space="preserve">% in 2020 </w:t>
      </w:r>
      <w:r w:rsidRPr="00F76E76">
        <w:t>(</w:t>
      </w:r>
      <w:r w:rsidR="00CE599F">
        <w:fldChar w:fldCharType="begin"/>
      </w:r>
      <w:r w:rsidR="00CE599F">
        <w:instrText xml:space="preserve"> REF _Ref103332281 \r \h </w:instrText>
      </w:r>
      <w:r w:rsidR="00CE599F">
        <w:fldChar w:fldCharType="separate"/>
      </w:r>
      <w:r w:rsidR="00E83FB1">
        <w:t>Chart vi</w:t>
      </w:r>
      <w:r w:rsidR="00CE599F">
        <w:fldChar w:fldCharType="end"/>
      </w:r>
      <w:r w:rsidR="00CD7FDB">
        <w:t>)</w:t>
      </w:r>
      <w:r w:rsidRPr="00F76E76">
        <w:t xml:space="preserve">. </w:t>
      </w:r>
      <w:r w:rsidR="002C3175" w:rsidRPr="00634BA1">
        <w:t xml:space="preserve">A number of fields had an average cost greater than average funding. These </w:t>
      </w:r>
      <w:r w:rsidR="00653C8D" w:rsidRPr="00634BA1">
        <w:t>include Veterinary Studies</w:t>
      </w:r>
      <w:r w:rsidR="00CA4125">
        <w:t>,</w:t>
      </w:r>
      <w:r w:rsidR="002C3175" w:rsidRPr="00634BA1">
        <w:t xml:space="preserve"> Food, Hospitality and Personal Services</w:t>
      </w:r>
      <w:r w:rsidR="00CA4125">
        <w:t>,</w:t>
      </w:r>
      <w:r w:rsidR="002C3175" w:rsidRPr="00634BA1">
        <w:t xml:space="preserve"> Mixed Field Programmes</w:t>
      </w:r>
      <w:r w:rsidR="00CA4125">
        <w:t>,</w:t>
      </w:r>
      <w:r w:rsidR="00653C8D" w:rsidRPr="00634BA1">
        <w:t xml:space="preserve"> Creative Arts – Other</w:t>
      </w:r>
      <w:r w:rsidR="00CA4125">
        <w:t>,</w:t>
      </w:r>
      <w:r w:rsidR="00653C8D" w:rsidRPr="00634BA1">
        <w:t xml:space="preserve"> Dental Studies</w:t>
      </w:r>
      <w:r w:rsidR="00D56828">
        <w:t xml:space="preserve"> and </w:t>
      </w:r>
      <w:r w:rsidR="002C3175" w:rsidRPr="00634BA1">
        <w:t>Management and Commerce</w:t>
      </w:r>
      <w:r w:rsidR="00653C8D" w:rsidRPr="00634BA1">
        <w:t>.</w:t>
      </w:r>
      <w:r w:rsidR="00F95F1E" w:rsidRPr="0000107E">
        <w:t xml:space="preserve"> </w:t>
      </w:r>
      <w:r w:rsidR="002C3175" w:rsidRPr="0036693B">
        <w:t>Fields such as Food, Hospitality and Personal Services, Mixed Field Programmes, Veterinary Studies and Dental Studies were delivered at a relatively small scale and by only a few universities.</w:t>
      </w:r>
      <w:r w:rsidR="00F95F1E" w:rsidRPr="0036693B">
        <w:t xml:space="preserve"> </w:t>
      </w:r>
      <w:r w:rsidR="0000107E">
        <w:t>While larger fields such as</w:t>
      </w:r>
      <w:r w:rsidR="00F95F1E">
        <w:t xml:space="preserve"> </w:t>
      </w:r>
      <w:r w:rsidR="002C3175" w:rsidRPr="0036693B">
        <w:t>Management and Commerce and Creative Arts – Other</w:t>
      </w:r>
      <w:r w:rsidR="0000107E" w:rsidRPr="0036693B">
        <w:t xml:space="preserve"> </w:t>
      </w:r>
      <w:r w:rsidR="00D00F99">
        <w:t xml:space="preserve">had </w:t>
      </w:r>
      <w:r w:rsidR="0000107E" w:rsidRPr="00634BA1">
        <w:t xml:space="preserve">average </w:t>
      </w:r>
      <w:r w:rsidR="0000107E">
        <w:t>cost</w:t>
      </w:r>
      <w:r w:rsidR="00D00F99">
        <w:t>s</w:t>
      </w:r>
      <w:r w:rsidR="0000107E" w:rsidRPr="00634BA1">
        <w:t xml:space="preserve"> greater than average funding</w:t>
      </w:r>
      <w:r w:rsidR="00375130">
        <w:t xml:space="preserve">. Management and Commerce </w:t>
      </w:r>
      <w:r w:rsidR="001E1F14">
        <w:t>ha</w:t>
      </w:r>
      <w:r w:rsidR="009A2295">
        <w:t>d</w:t>
      </w:r>
      <w:r w:rsidR="001E1F14">
        <w:t xml:space="preserve"> the </w:t>
      </w:r>
      <w:r w:rsidR="00640D46">
        <w:t xml:space="preserve">equal </w:t>
      </w:r>
      <w:r w:rsidR="001E1F14">
        <w:t xml:space="preserve">lowest amount of base funding per EFTSL of </w:t>
      </w:r>
      <w:r w:rsidR="00640D46">
        <w:t>the 22</w:t>
      </w:r>
      <w:r w:rsidR="00C95A89">
        <w:t xml:space="preserve"> FOE</w:t>
      </w:r>
      <w:r w:rsidR="00640D46">
        <w:t>s</w:t>
      </w:r>
      <w:r w:rsidR="00C95A89">
        <w:t xml:space="preserve"> </w:t>
      </w:r>
      <w:r w:rsidR="00640D46">
        <w:t>examined, while Creative Arts – Other ha</w:t>
      </w:r>
      <w:r w:rsidR="009A2295">
        <w:t>d</w:t>
      </w:r>
      <w:r w:rsidR="00640D46">
        <w:t xml:space="preserve"> a </w:t>
      </w:r>
      <w:r w:rsidR="00CD5FA6">
        <w:t>base funding level that is below the mean across all 22 FOEs.</w:t>
      </w:r>
      <w:r w:rsidR="002C3175" w:rsidRPr="0036693B">
        <w:t xml:space="preserve"> </w:t>
      </w:r>
    </w:p>
    <w:p w14:paraId="346F8459" w14:textId="098EDD37" w:rsidR="00537973" w:rsidRPr="00F76E76" w:rsidRDefault="169E88D9" w:rsidP="00537973">
      <w:pPr>
        <w:pStyle w:val="ExecChartCaption"/>
      </w:pPr>
      <w:bookmarkStart w:id="167" w:name="_Toc20257521"/>
      <w:bookmarkStart w:id="168" w:name="_Toc20257774"/>
      <w:bookmarkStart w:id="169" w:name="_Toc20257994"/>
      <w:bookmarkStart w:id="170" w:name="_Toc20309583"/>
      <w:bookmarkStart w:id="171" w:name="_Toc20257522"/>
      <w:bookmarkStart w:id="172" w:name="_Toc20257775"/>
      <w:bookmarkStart w:id="173" w:name="_Toc20257995"/>
      <w:bookmarkStart w:id="174" w:name="_Toc20309584"/>
      <w:bookmarkStart w:id="175" w:name="_Toc20245948"/>
      <w:bookmarkStart w:id="176" w:name="_Ref103332281"/>
      <w:bookmarkStart w:id="177" w:name="_Toc105776340"/>
      <w:bookmarkEnd w:id="167"/>
      <w:bookmarkEnd w:id="168"/>
      <w:bookmarkEnd w:id="169"/>
      <w:bookmarkEnd w:id="170"/>
      <w:bookmarkEnd w:id="171"/>
      <w:bookmarkEnd w:id="172"/>
      <w:bookmarkEnd w:id="173"/>
      <w:bookmarkEnd w:id="174"/>
      <w:r>
        <w:t xml:space="preserve">: Average unit costs as a proportion of base funding for bachelor, </w:t>
      </w:r>
      <w:bookmarkEnd w:id="175"/>
      <w:r w:rsidR="01DAE0E0">
        <w:t>37 universities (2019 and 2020)</w:t>
      </w:r>
      <w:bookmarkEnd w:id="176"/>
      <w:bookmarkEnd w:id="177"/>
    </w:p>
    <w:p w14:paraId="738500E4" w14:textId="1F3D7311" w:rsidR="007B08C4" w:rsidRPr="00172992" w:rsidRDefault="003428F5" w:rsidP="008A2D5F">
      <w:pPr>
        <w:rPr>
          <w:highlight w:val="yellow"/>
        </w:rPr>
      </w:pPr>
      <w:r>
        <w:rPr>
          <w:noProof/>
        </w:rPr>
        <w:drawing>
          <wp:inline distT="0" distB="0" distL="0" distR="0" wp14:anchorId="08E79E42" wp14:editId="1EB5CC3D">
            <wp:extent cx="5598458" cy="2836004"/>
            <wp:effectExtent l="0" t="0" r="2540" b="2540"/>
            <wp:docPr id="37" name="Chart 37" descr="Chart shows Average unit costs as a proportion of base funding for bachelor, 37 universities (2019 and 2020). Presented by field of education in columns.">
              <a:extLst xmlns:a="http://schemas.openxmlformats.org/drawingml/2006/main">
                <a:ext uri="{FF2B5EF4-FFF2-40B4-BE49-F238E27FC236}">
                  <a16:creationId xmlns:a16="http://schemas.microsoft.com/office/drawing/2014/main" id="{00000000-0008-0000-3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2486E9" w14:textId="56BD4B9A" w:rsidR="00537973" w:rsidRPr="00E35454" w:rsidRDefault="002C3175" w:rsidP="002C3175">
      <w:r>
        <w:t xml:space="preserve">Table iii compares the cost of teaching and scholarship relative to </w:t>
      </w:r>
      <w:r w:rsidR="007A598A">
        <w:t>base</w:t>
      </w:r>
      <w:r>
        <w:t xml:space="preserve"> funding over time. For the 2015 common sample of 17 universities this ratio has increased from 85% in 2015 to 8</w:t>
      </w:r>
      <w:r w:rsidR="0060775B">
        <w:t>8</w:t>
      </w:r>
      <w:r>
        <w:t>% in 20</w:t>
      </w:r>
      <w:r w:rsidR="0060775B">
        <w:t>20</w:t>
      </w:r>
      <w:r>
        <w:t xml:space="preserve">. This shift is consistent with </w:t>
      </w:r>
      <w:r w:rsidR="00BA4C86">
        <w:t xml:space="preserve">cost per </w:t>
      </w:r>
      <w:r>
        <w:t>E</w:t>
      </w:r>
      <w:r w:rsidR="00537973">
        <w:t xml:space="preserve">FTSL growing more quickly than base funding per EFTSL </w:t>
      </w:r>
      <w:r>
        <w:t>over th</w:t>
      </w:r>
      <w:r w:rsidR="00130B4C">
        <w:t>is</w:t>
      </w:r>
      <w:r>
        <w:t xml:space="preserve"> period. </w:t>
      </w:r>
      <w:r w:rsidR="005B047E">
        <w:t>That said,</w:t>
      </w:r>
      <w:r w:rsidR="001A077C">
        <w:t xml:space="preserve"> teaching costs relative to base funding </w:t>
      </w:r>
      <w:r w:rsidR="00E35454">
        <w:t>have fallen marginally f</w:t>
      </w:r>
      <w:r>
        <w:t>or the 2017 common sample of 25 universities</w:t>
      </w:r>
      <w:r w:rsidR="00E35454">
        <w:t xml:space="preserve"> (89% in 2017 to 88% in 2020) and the full sample of universities (89% in 2019 to 88% in 2020).</w:t>
      </w:r>
      <w:r>
        <w:t xml:space="preserve"> </w:t>
      </w:r>
      <w:r w:rsidR="001671E4">
        <w:t xml:space="preserve">Overall, teaching costs have remained relatively stable as a share of base funding over recent years. </w:t>
      </w:r>
    </w:p>
    <w:p w14:paraId="47587C4D" w14:textId="2F68458B" w:rsidR="00537973" w:rsidRPr="000E6FBB" w:rsidRDefault="00537973" w:rsidP="00FF3D3E">
      <w:pPr>
        <w:pStyle w:val="ExecTableCaption"/>
      </w:pPr>
      <w:bookmarkStart w:id="178" w:name="_Toc20245922"/>
      <w:bookmarkStart w:id="179" w:name="_Toc105776553"/>
      <w:r w:rsidRPr="000E6FBB">
        <w:t xml:space="preserve">: Teaching costs relative to </w:t>
      </w:r>
      <w:r w:rsidR="00E94103">
        <w:t>base</w:t>
      </w:r>
      <w:r w:rsidRPr="000E6FBB">
        <w:t xml:space="preserve"> funding for bachelor studies</w:t>
      </w:r>
      <w:bookmarkEnd w:id="178"/>
      <w:bookmarkEnd w:id="179"/>
    </w:p>
    <w:tbl>
      <w:tblPr>
        <w:tblStyle w:val="Deloittetable"/>
        <w:tblW w:w="0" w:type="auto"/>
        <w:tblLook w:val="04A0" w:firstRow="1" w:lastRow="0" w:firstColumn="1" w:lastColumn="0" w:noHBand="0" w:noVBand="1"/>
      </w:tblPr>
      <w:tblGrid>
        <w:gridCol w:w="1698"/>
        <w:gridCol w:w="1843"/>
        <w:gridCol w:w="1844"/>
        <w:gridCol w:w="1843"/>
        <w:gridCol w:w="1844"/>
      </w:tblGrid>
      <w:tr w:rsidR="002C3175" w:rsidRPr="000E6FBB" w14:paraId="36F01E6B" w14:textId="50117B54" w:rsidTr="000E6FBB">
        <w:trPr>
          <w:cnfStyle w:val="100000000000" w:firstRow="1" w:lastRow="0" w:firstColumn="0" w:lastColumn="0" w:oddVBand="0" w:evenVBand="0" w:oddHBand="0" w:evenHBand="0" w:firstRowFirstColumn="0" w:firstRowLastColumn="0" w:lastRowFirstColumn="0" w:lastRowLastColumn="0"/>
        </w:trPr>
        <w:tc>
          <w:tcPr>
            <w:tcW w:w="1698" w:type="dxa"/>
          </w:tcPr>
          <w:p w14:paraId="28A55FC7" w14:textId="77777777" w:rsidR="002C3175" w:rsidRPr="000E6FBB" w:rsidRDefault="002C3175" w:rsidP="005114E2">
            <w:pPr>
              <w:pStyle w:val="TabletextCentre"/>
              <w:keepNext/>
              <w:rPr>
                <w:b/>
              </w:rPr>
            </w:pPr>
            <w:r w:rsidRPr="000E6FBB">
              <w:rPr>
                <w:b/>
                <w:lang w:eastAsia="en-AU"/>
              </w:rPr>
              <w:t>Year</w:t>
            </w:r>
          </w:p>
        </w:tc>
        <w:tc>
          <w:tcPr>
            <w:tcW w:w="1843" w:type="dxa"/>
            <w:tcBorders>
              <w:bottom w:val="single" w:sz="4" w:space="0" w:color="000000" w:themeColor="text1"/>
            </w:tcBorders>
          </w:tcPr>
          <w:p w14:paraId="6B582BE8" w14:textId="77777777" w:rsidR="002C3175" w:rsidRPr="000E6FBB" w:rsidRDefault="002C3175" w:rsidP="005114E2">
            <w:pPr>
              <w:pStyle w:val="TabletextCentre"/>
              <w:keepNext/>
              <w:rPr>
                <w:b/>
              </w:rPr>
            </w:pPr>
            <w:r w:rsidRPr="000E6FBB">
              <w:rPr>
                <w:b/>
                <w:lang w:eastAsia="en-AU"/>
              </w:rPr>
              <w:t xml:space="preserve">2015 sample </w:t>
            </w:r>
            <w:r w:rsidRPr="000E6FBB">
              <w:rPr>
                <w:b/>
                <w:lang w:eastAsia="en-AU"/>
              </w:rPr>
              <w:br/>
              <w:t>(17 universities)</w:t>
            </w:r>
          </w:p>
        </w:tc>
        <w:tc>
          <w:tcPr>
            <w:tcW w:w="1844" w:type="dxa"/>
            <w:tcBorders>
              <w:bottom w:val="single" w:sz="4" w:space="0" w:color="000000" w:themeColor="text1"/>
            </w:tcBorders>
          </w:tcPr>
          <w:p w14:paraId="30996296" w14:textId="77777777" w:rsidR="002C3175" w:rsidRPr="000E6FBB" w:rsidRDefault="002C3175" w:rsidP="005114E2">
            <w:pPr>
              <w:pStyle w:val="TabletextCentre"/>
              <w:keepNext/>
              <w:rPr>
                <w:b/>
              </w:rPr>
            </w:pPr>
            <w:r w:rsidRPr="000E6FBB">
              <w:rPr>
                <w:b/>
                <w:lang w:eastAsia="en-AU"/>
              </w:rPr>
              <w:t xml:space="preserve">2017 sample </w:t>
            </w:r>
            <w:r w:rsidRPr="000E6FBB">
              <w:rPr>
                <w:b/>
                <w:lang w:eastAsia="en-AU"/>
              </w:rPr>
              <w:br/>
              <w:t>(25 universities)</w:t>
            </w:r>
          </w:p>
        </w:tc>
        <w:tc>
          <w:tcPr>
            <w:tcW w:w="1843" w:type="dxa"/>
            <w:tcBorders>
              <w:bottom w:val="single" w:sz="4" w:space="0" w:color="000000" w:themeColor="text1"/>
            </w:tcBorders>
          </w:tcPr>
          <w:p w14:paraId="0767DF59" w14:textId="77777777" w:rsidR="002C3175" w:rsidRPr="000E6FBB" w:rsidRDefault="002C3175" w:rsidP="005114E2">
            <w:pPr>
              <w:pStyle w:val="TabletextCentre"/>
              <w:keepNext/>
              <w:rPr>
                <w:b/>
                <w:lang w:eastAsia="en-AU"/>
              </w:rPr>
            </w:pPr>
            <w:r w:rsidRPr="000E6FBB">
              <w:rPr>
                <w:b/>
                <w:lang w:eastAsia="en-AU"/>
              </w:rPr>
              <w:t xml:space="preserve">2018 sample </w:t>
            </w:r>
            <w:r w:rsidRPr="000E6FBB">
              <w:rPr>
                <w:b/>
                <w:lang w:eastAsia="en-AU"/>
              </w:rPr>
              <w:br/>
              <w:t>(32 universities)</w:t>
            </w:r>
          </w:p>
        </w:tc>
        <w:tc>
          <w:tcPr>
            <w:tcW w:w="1844" w:type="dxa"/>
            <w:tcBorders>
              <w:bottom w:val="single" w:sz="4" w:space="0" w:color="000000" w:themeColor="text1"/>
            </w:tcBorders>
          </w:tcPr>
          <w:p w14:paraId="4925DF47" w14:textId="00D21940" w:rsidR="00493020" w:rsidRPr="000E6FBB" w:rsidRDefault="00493020" w:rsidP="005114E2">
            <w:pPr>
              <w:pStyle w:val="TabletextCentre"/>
              <w:keepNext/>
              <w:rPr>
                <w:b/>
                <w:lang w:eastAsia="en-AU"/>
              </w:rPr>
            </w:pPr>
            <w:r w:rsidRPr="000E6FBB">
              <w:rPr>
                <w:b/>
                <w:lang w:eastAsia="en-AU"/>
              </w:rPr>
              <w:t>Full sample</w:t>
            </w:r>
            <w:r w:rsidRPr="000E6FBB">
              <w:rPr>
                <w:b/>
                <w:lang w:eastAsia="en-AU"/>
              </w:rPr>
              <w:br/>
              <w:t>(37 universities)</w:t>
            </w:r>
          </w:p>
        </w:tc>
      </w:tr>
      <w:tr w:rsidR="002C3175" w:rsidRPr="000E6FBB" w14:paraId="3C913FA8" w14:textId="266DA440" w:rsidTr="00416131">
        <w:tc>
          <w:tcPr>
            <w:tcW w:w="0" w:type="dxa"/>
          </w:tcPr>
          <w:p w14:paraId="34CBB47B" w14:textId="77777777" w:rsidR="002C3175" w:rsidRPr="000E6FBB" w:rsidRDefault="002C3175" w:rsidP="005114E2">
            <w:pPr>
              <w:pStyle w:val="TabletextCentre"/>
              <w:keepNext/>
            </w:pPr>
            <w:r w:rsidRPr="000E6FBB">
              <w:rPr>
                <w:lang w:eastAsia="en-AU"/>
              </w:rPr>
              <w:t>2015</w:t>
            </w:r>
          </w:p>
        </w:tc>
        <w:tc>
          <w:tcPr>
            <w:tcW w:w="0" w:type="dxa"/>
            <w:tcBorders>
              <w:top w:val="single" w:sz="4" w:space="0" w:color="000000" w:themeColor="text1"/>
              <w:left w:val="nil"/>
              <w:bottom w:val="single" w:sz="4" w:space="0" w:color="000000" w:themeColor="text1"/>
              <w:right w:val="nil"/>
            </w:tcBorders>
            <w:shd w:val="clear" w:color="auto" w:fill="auto"/>
          </w:tcPr>
          <w:p w14:paraId="05D7A2B6" w14:textId="370A2897" w:rsidR="002C3175" w:rsidRPr="000E6FBB" w:rsidRDefault="00CB043C" w:rsidP="005114E2">
            <w:pPr>
              <w:pStyle w:val="TabletextCentre"/>
              <w:keepNext/>
            </w:pPr>
            <w:r w:rsidRPr="00A704D2">
              <w:t>85%</w:t>
            </w:r>
          </w:p>
        </w:tc>
        <w:tc>
          <w:tcPr>
            <w:tcW w:w="0" w:type="dxa"/>
            <w:tcBorders>
              <w:top w:val="single" w:sz="4" w:space="0" w:color="000000" w:themeColor="text1"/>
              <w:left w:val="nil"/>
              <w:bottom w:val="single" w:sz="4" w:space="0" w:color="000000" w:themeColor="text1"/>
              <w:right w:val="nil"/>
            </w:tcBorders>
            <w:shd w:val="clear" w:color="auto" w:fill="auto"/>
          </w:tcPr>
          <w:p w14:paraId="3C89D34B" w14:textId="1BC3F3F0" w:rsidR="002C3175" w:rsidRPr="000E6FBB" w:rsidRDefault="00CB043C" w:rsidP="005114E2">
            <w:pPr>
              <w:pStyle w:val="TabletextCentre"/>
              <w:keepNext/>
            </w:pPr>
            <w:r w:rsidRPr="00A704D2">
              <w:t>-</w:t>
            </w:r>
          </w:p>
        </w:tc>
        <w:tc>
          <w:tcPr>
            <w:tcW w:w="0" w:type="dxa"/>
            <w:tcBorders>
              <w:top w:val="single" w:sz="4" w:space="0" w:color="000000" w:themeColor="text1"/>
              <w:left w:val="nil"/>
              <w:bottom w:val="single" w:sz="4" w:space="0" w:color="000000" w:themeColor="text1"/>
              <w:right w:val="nil"/>
            </w:tcBorders>
            <w:shd w:val="clear" w:color="auto" w:fill="auto"/>
          </w:tcPr>
          <w:p w14:paraId="0E7BC069" w14:textId="4771F1D0" w:rsidR="002C3175" w:rsidRPr="000E6FBB" w:rsidRDefault="00CB043C" w:rsidP="005114E2">
            <w:pPr>
              <w:pStyle w:val="TabletextCentre"/>
              <w:keepNext/>
              <w:rPr>
                <w:lang w:eastAsia="en-AU"/>
              </w:rPr>
            </w:pPr>
            <w:r w:rsidRPr="00A704D2">
              <w:t>-</w:t>
            </w:r>
          </w:p>
        </w:tc>
        <w:tc>
          <w:tcPr>
            <w:tcW w:w="0" w:type="dxa"/>
            <w:tcBorders>
              <w:top w:val="single" w:sz="4" w:space="0" w:color="000000" w:themeColor="text1"/>
              <w:left w:val="nil"/>
              <w:bottom w:val="single" w:sz="4" w:space="0" w:color="000000" w:themeColor="text1"/>
              <w:right w:val="nil"/>
            </w:tcBorders>
            <w:shd w:val="clear" w:color="auto" w:fill="auto"/>
          </w:tcPr>
          <w:p w14:paraId="7D6EBB55" w14:textId="7956982B" w:rsidR="000E6FBB" w:rsidRPr="000E6FBB" w:rsidRDefault="00CB043C" w:rsidP="000E6FBB">
            <w:pPr>
              <w:pStyle w:val="TabletextCentre"/>
              <w:keepNext/>
              <w:rPr>
                <w:rFonts w:cs="Arial"/>
                <w:sz w:val="16"/>
                <w:szCs w:val="16"/>
              </w:rPr>
            </w:pPr>
            <w:r w:rsidRPr="00A704D2">
              <w:t>-</w:t>
            </w:r>
          </w:p>
        </w:tc>
      </w:tr>
      <w:tr w:rsidR="002C3175" w:rsidRPr="000E6FBB" w14:paraId="514BBD2E" w14:textId="46F90756" w:rsidTr="00416131">
        <w:tc>
          <w:tcPr>
            <w:tcW w:w="0" w:type="dxa"/>
          </w:tcPr>
          <w:p w14:paraId="2B43DCC2" w14:textId="77777777" w:rsidR="002C3175" w:rsidRPr="000E6FBB" w:rsidRDefault="002C3175" w:rsidP="005114E2">
            <w:pPr>
              <w:pStyle w:val="TabletextCentre"/>
              <w:keepNext/>
            </w:pPr>
            <w:r w:rsidRPr="000E6FBB">
              <w:rPr>
                <w:lang w:eastAsia="en-AU"/>
              </w:rPr>
              <w:t>2017</w:t>
            </w:r>
          </w:p>
        </w:tc>
        <w:tc>
          <w:tcPr>
            <w:tcW w:w="0" w:type="dxa"/>
            <w:tcBorders>
              <w:top w:val="single" w:sz="4" w:space="0" w:color="000000" w:themeColor="text1"/>
              <w:left w:val="nil"/>
              <w:bottom w:val="single" w:sz="4" w:space="0" w:color="000000" w:themeColor="text1"/>
              <w:right w:val="nil"/>
            </w:tcBorders>
            <w:shd w:val="clear" w:color="auto" w:fill="auto"/>
          </w:tcPr>
          <w:p w14:paraId="6578D850" w14:textId="0A18A123" w:rsidR="002C3175" w:rsidRPr="000E6FBB" w:rsidRDefault="00CB043C" w:rsidP="005114E2">
            <w:pPr>
              <w:pStyle w:val="TabletextCentre"/>
              <w:keepNext/>
            </w:pPr>
            <w:r w:rsidRPr="00A704D2">
              <w:t>87%</w:t>
            </w:r>
          </w:p>
        </w:tc>
        <w:tc>
          <w:tcPr>
            <w:tcW w:w="0" w:type="dxa"/>
            <w:tcBorders>
              <w:top w:val="single" w:sz="4" w:space="0" w:color="000000" w:themeColor="text1"/>
              <w:left w:val="nil"/>
              <w:bottom w:val="single" w:sz="4" w:space="0" w:color="000000" w:themeColor="text1"/>
              <w:right w:val="nil"/>
            </w:tcBorders>
            <w:shd w:val="clear" w:color="auto" w:fill="auto"/>
          </w:tcPr>
          <w:p w14:paraId="680F6D18" w14:textId="6DEA6466" w:rsidR="002C3175" w:rsidRPr="000E6FBB" w:rsidRDefault="00CB043C" w:rsidP="005114E2">
            <w:pPr>
              <w:pStyle w:val="TabletextCentre"/>
              <w:keepNext/>
            </w:pPr>
            <w:r w:rsidRPr="00A704D2">
              <w:t>89%</w:t>
            </w:r>
          </w:p>
        </w:tc>
        <w:tc>
          <w:tcPr>
            <w:tcW w:w="0" w:type="dxa"/>
            <w:tcBorders>
              <w:top w:val="single" w:sz="4" w:space="0" w:color="000000" w:themeColor="text1"/>
              <w:left w:val="nil"/>
              <w:bottom w:val="single" w:sz="4" w:space="0" w:color="000000" w:themeColor="text1"/>
              <w:right w:val="nil"/>
            </w:tcBorders>
            <w:shd w:val="clear" w:color="auto" w:fill="auto"/>
          </w:tcPr>
          <w:p w14:paraId="32D93179" w14:textId="541A8F18" w:rsidR="002C3175" w:rsidRPr="000E6FBB" w:rsidRDefault="00CB043C" w:rsidP="005114E2">
            <w:pPr>
              <w:pStyle w:val="TabletextCentre"/>
              <w:keepNext/>
              <w:rPr>
                <w:lang w:eastAsia="en-AU"/>
              </w:rPr>
            </w:pPr>
            <w:r w:rsidRPr="00A704D2">
              <w:t>-</w:t>
            </w:r>
          </w:p>
        </w:tc>
        <w:tc>
          <w:tcPr>
            <w:tcW w:w="0" w:type="dxa"/>
            <w:tcBorders>
              <w:top w:val="single" w:sz="4" w:space="0" w:color="000000" w:themeColor="text1"/>
              <w:left w:val="nil"/>
              <w:bottom w:val="single" w:sz="4" w:space="0" w:color="000000" w:themeColor="text1"/>
              <w:right w:val="nil"/>
            </w:tcBorders>
            <w:shd w:val="clear" w:color="auto" w:fill="auto"/>
          </w:tcPr>
          <w:p w14:paraId="2DAE03D2" w14:textId="19F0773E" w:rsidR="000E6FBB" w:rsidRPr="000E6FBB" w:rsidRDefault="00CB043C" w:rsidP="000E6FBB">
            <w:pPr>
              <w:pStyle w:val="TabletextCentre"/>
              <w:keepNext/>
              <w:rPr>
                <w:rFonts w:cs="Arial"/>
                <w:sz w:val="16"/>
                <w:szCs w:val="16"/>
              </w:rPr>
            </w:pPr>
            <w:r w:rsidRPr="00A704D2">
              <w:t>-</w:t>
            </w:r>
          </w:p>
        </w:tc>
      </w:tr>
      <w:tr w:rsidR="002C3175" w:rsidRPr="000E6FBB" w14:paraId="38B8275E" w14:textId="68B6AE00" w:rsidTr="00416131">
        <w:tc>
          <w:tcPr>
            <w:tcW w:w="0" w:type="dxa"/>
          </w:tcPr>
          <w:p w14:paraId="61A57FD3" w14:textId="77777777" w:rsidR="002C3175" w:rsidRPr="000E6FBB" w:rsidRDefault="002C3175" w:rsidP="005114E2">
            <w:pPr>
              <w:pStyle w:val="TabletextCentre"/>
              <w:keepNext/>
              <w:rPr>
                <w:lang w:eastAsia="en-AU"/>
              </w:rPr>
            </w:pPr>
            <w:r w:rsidRPr="000E6FBB">
              <w:rPr>
                <w:lang w:eastAsia="en-AU"/>
              </w:rPr>
              <w:t>2018</w:t>
            </w:r>
          </w:p>
        </w:tc>
        <w:tc>
          <w:tcPr>
            <w:tcW w:w="0" w:type="dxa"/>
            <w:tcBorders>
              <w:top w:val="single" w:sz="4" w:space="0" w:color="000000" w:themeColor="text1"/>
              <w:left w:val="nil"/>
              <w:bottom w:val="single" w:sz="4" w:space="0" w:color="000000" w:themeColor="text1"/>
              <w:right w:val="nil"/>
            </w:tcBorders>
            <w:shd w:val="clear" w:color="auto" w:fill="auto"/>
          </w:tcPr>
          <w:p w14:paraId="2525B3FF" w14:textId="391B521A" w:rsidR="002C3175" w:rsidRPr="000E6FBB" w:rsidRDefault="00CB043C" w:rsidP="005114E2">
            <w:pPr>
              <w:pStyle w:val="TabletextCentre"/>
              <w:keepNext/>
              <w:rPr>
                <w:lang w:eastAsia="en-AU"/>
              </w:rPr>
            </w:pPr>
            <w:r w:rsidRPr="00A704D2">
              <w:t>89%</w:t>
            </w:r>
          </w:p>
        </w:tc>
        <w:tc>
          <w:tcPr>
            <w:tcW w:w="0" w:type="dxa"/>
            <w:tcBorders>
              <w:top w:val="single" w:sz="4" w:space="0" w:color="000000" w:themeColor="text1"/>
              <w:left w:val="nil"/>
              <w:bottom w:val="single" w:sz="4" w:space="0" w:color="000000" w:themeColor="text1"/>
              <w:right w:val="nil"/>
            </w:tcBorders>
            <w:shd w:val="clear" w:color="auto" w:fill="auto"/>
          </w:tcPr>
          <w:p w14:paraId="3276F828" w14:textId="68297B58" w:rsidR="002C3175" w:rsidRPr="000E6FBB" w:rsidRDefault="00CB043C" w:rsidP="005114E2">
            <w:pPr>
              <w:pStyle w:val="TabletextCentre"/>
              <w:keepNext/>
              <w:rPr>
                <w:lang w:eastAsia="en-AU"/>
              </w:rPr>
            </w:pPr>
            <w:r w:rsidRPr="00A704D2">
              <w:t>90%</w:t>
            </w:r>
          </w:p>
        </w:tc>
        <w:tc>
          <w:tcPr>
            <w:tcW w:w="0" w:type="dxa"/>
            <w:tcBorders>
              <w:top w:val="single" w:sz="4" w:space="0" w:color="000000" w:themeColor="text1"/>
              <w:left w:val="nil"/>
              <w:bottom w:val="single" w:sz="4" w:space="0" w:color="000000" w:themeColor="text1"/>
              <w:right w:val="nil"/>
            </w:tcBorders>
            <w:shd w:val="clear" w:color="auto" w:fill="auto"/>
          </w:tcPr>
          <w:p w14:paraId="191AEB0E" w14:textId="1A6DDF40" w:rsidR="002C3175" w:rsidRPr="000E6FBB" w:rsidRDefault="00CB043C" w:rsidP="005114E2">
            <w:pPr>
              <w:pStyle w:val="TabletextCentre"/>
              <w:keepNext/>
              <w:rPr>
                <w:lang w:eastAsia="en-AU"/>
              </w:rPr>
            </w:pPr>
            <w:r w:rsidRPr="00A704D2">
              <w:t>89%</w:t>
            </w:r>
          </w:p>
        </w:tc>
        <w:tc>
          <w:tcPr>
            <w:tcW w:w="0" w:type="dxa"/>
            <w:tcBorders>
              <w:top w:val="single" w:sz="4" w:space="0" w:color="000000" w:themeColor="text1"/>
              <w:left w:val="nil"/>
              <w:bottom w:val="single" w:sz="4" w:space="0" w:color="000000" w:themeColor="text1"/>
              <w:right w:val="nil"/>
            </w:tcBorders>
            <w:shd w:val="clear" w:color="auto" w:fill="auto"/>
          </w:tcPr>
          <w:p w14:paraId="6E904296" w14:textId="041A4C88" w:rsidR="000E6FBB" w:rsidRPr="000E6FBB" w:rsidRDefault="00CB043C" w:rsidP="000E6FBB">
            <w:pPr>
              <w:pStyle w:val="TabletextCentre"/>
              <w:keepNext/>
              <w:rPr>
                <w:rFonts w:cs="Arial"/>
                <w:sz w:val="16"/>
                <w:szCs w:val="16"/>
              </w:rPr>
            </w:pPr>
            <w:r w:rsidRPr="00A704D2">
              <w:t>-</w:t>
            </w:r>
          </w:p>
        </w:tc>
      </w:tr>
      <w:tr w:rsidR="000E6FBB" w:rsidRPr="000E6FBB" w14:paraId="3E160A11" w14:textId="77777777" w:rsidTr="00416131">
        <w:tc>
          <w:tcPr>
            <w:tcW w:w="0" w:type="dxa"/>
          </w:tcPr>
          <w:p w14:paraId="3724AC34" w14:textId="7B2CC94D" w:rsidR="000E6FBB" w:rsidRPr="000E6FBB" w:rsidRDefault="000E6FBB" w:rsidP="000E6FBB">
            <w:pPr>
              <w:pStyle w:val="TabletextCentre"/>
              <w:keepNext/>
              <w:rPr>
                <w:lang w:eastAsia="en-AU"/>
              </w:rPr>
            </w:pPr>
            <w:r w:rsidRPr="000E6FBB">
              <w:rPr>
                <w:lang w:eastAsia="en-AU"/>
              </w:rPr>
              <w:t>2019</w:t>
            </w:r>
          </w:p>
        </w:tc>
        <w:tc>
          <w:tcPr>
            <w:tcW w:w="0" w:type="dxa"/>
            <w:tcBorders>
              <w:top w:val="single" w:sz="4" w:space="0" w:color="000000" w:themeColor="text1"/>
              <w:left w:val="nil"/>
              <w:bottom w:val="single" w:sz="4" w:space="0" w:color="000000" w:themeColor="text1"/>
              <w:right w:val="nil"/>
            </w:tcBorders>
            <w:shd w:val="clear" w:color="auto" w:fill="auto"/>
          </w:tcPr>
          <w:p w14:paraId="14EF226B" w14:textId="7FF6AC4F" w:rsidR="000E6FBB" w:rsidRPr="000E6FBB" w:rsidRDefault="00CB043C" w:rsidP="000E6FBB">
            <w:pPr>
              <w:pStyle w:val="TabletextCentre"/>
              <w:keepNext/>
              <w:rPr>
                <w:lang w:eastAsia="en-AU"/>
              </w:rPr>
            </w:pPr>
            <w:r w:rsidRPr="00A704D2">
              <w:t>88%</w:t>
            </w:r>
          </w:p>
        </w:tc>
        <w:tc>
          <w:tcPr>
            <w:tcW w:w="0" w:type="dxa"/>
            <w:tcBorders>
              <w:top w:val="single" w:sz="4" w:space="0" w:color="000000" w:themeColor="text1"/>
              <w:left w:val="nil"/>
              <w:bottom w:val="single" w:sz="4" w:space="0" w:color="000000" w:themeColor="text1"/>
              <w:right w:val="nil"/>
            </w:tcBorders>
            <w:shd w:val="clear" w:color="auto" w:fill="auto"/>
          </w:tcPr>
          <w:p w14:paraId="350824A9" w14:textId="353D47AA" w:rsidR="000E6FBB" w:rsidRPr="000E6FBB" w:rsidRDefault="00CB043C" w:rsidP="000E6FBB">
            <w:pPr>
              <w:pStyle w:val="TabletextCentre"/>
              <w:keepNext/>
              <w:rPr>
                <w:lang w:eastAsia="en-AU"/>
              </w:rPr>
            </w:pPr>
            <w:r w:rsidRPr="00A704D2">
              <w:t>89%</w:t>
            </w:r>
          </w:p>
        </w:tc>
        <w:tc>
          <w:tcPr>
            <w:tcW w:w="0" w:type="dxa"/>
            <w:tcBorders>
              <w:top w:val="single" w:sz="4" w:space="0" w:color="000000" w:themeColor="text1"/>
              <w:left w:val="nil"/>
              <w:bottom w:val="single" w:sz="4" w:space="0" w:color="000000" w:themeColor="text1"/>
              <w:right w:val="nil"/>
            </w:tcBorders>
            <w:shd w:val="clear" w:color="auto" w:fill="auto"/>
          </w:tcPr>
          <w:p w14:paraId="14732D4E" w14:textId="0AF30D11" w:rsidR="000E6FBB" w:rsidRPr="000E6FBB" w:rsidRDefault="00CB043C" w:rsidP="000E6FBB">
            <w:pPr>
              <w:pStyle w:val="TabletextCentre"/>
              <w:keepNext/>
              <w:rPr>
                <w:lang w:eastAsia="en-AU"/>
              </w:rPr>
            </w:pPr>
            <w:r w:rsidRPr="00A704D2">
              <w:t>89%</w:t>
            </w:r>
          </w:p>
        </w:tc>
        <w:tc>
          <w:tcPr>
            <w:tcW w:w="0" w:type="dxa"/>
            <w:tcBorders>
              <w:top w:val="single" w:sz="4" w:space="0" w:color="000000" w:themeColor="text1"/>
              <w:left w:val="nil"/>
              <w:bottom w:val="single" w:sz="4" w:space="0" w:color="000000" w:themeColor="text1"/>
              <w:right w:val="nil"/>
            </w:tcBorders>
            <w:shd w:val="clear" w:color="auto" w:fill="auto"/>
          </w:tcPr>
          <w:p w14:paraId="219DCEDF" w14:textId="29490385" w:rsidR="000E6FBB" w:rsidRPr="000E6FBB" w:rsidRDefault="00CB043C" w:rsidP="000E6FBB">
            <w:pPr>
              <w:pStyle w:val="TabletextCentre"/>
              <w:keepNext/>
              <w:rPr>
                <w:lang w:eastAsia="en-AU"/>
              </w:rPr>
            </w:pPr>
            <w:r w:rsidRPr="00A704D2">
              <w:t>89%</w:t>
            </w:r>
          </w:p>
        </w:tc>
      </w:tr>
      <w:tr w:rsidR="000E6FBB" w:rsidRPr="000E6FBB" w14:paraId="3185ABCD" w14:textId="77777777" w:rsidTr="00416131">
        <w:tc>
          <w:tcPr>
            <w:tcW w:w="0" w:type="dxa"/>
          </w:tcPr>
          <w:p w14:paraId="3B01E763" w14:textId="41DDA145" w:rsidR="000E6FBB" w:rsidRPr="000E6FBB" w:rsidRDefault="000E6FBB" w:rsidP="000E6FBB">
            <w:pPr>
              <w:pStyle w:val="TabletextCentre"/>
              <w:keepNext/>
              <w:rPr>
                <w:lang w:eastAsia="en-AU"/>
              </w:rPr>
            </w:pPr>
            <w:r w:rsidRPr="000E6FBB">
              <w:rPr>
                <w:lang w:eastAsia="en-AU"/>
              </w:rPr>
              <w:t>2020</w:t>
            </w:r>
          </w:p>
        </w:tc>
        <w:tc>
          <w:tcPr>
            <w:tcW w:w="0" w:type="dxa"/>
            <w:tcBorders>
              <w:top w:val="single" w:sz="4" w:space="0" w:color="000000" w:themeColor="text1"/>
              <w:left w:val="nil"/>
              <w:bottom w:val="single" w:sz="4" w:space="0" w:color="auto"/>
              <w:right w:val="nil"/>
            </w:tcBorders>
            <w:shd w:val="clear" w:color="auto" w:fill="auto"/>
          </w:tcPr>
          <w:p w14:paraId="5316A525" w14:textId="7118BD96" w:rsidR="000E6FBB" w:rsidRPr="000E6FBB" w:rsidRDefault="00CB043C" w:rsidP="000E6FBB">
            <w:pPr>
              <w:pStyle w:val="TabletextCentre"/>
              <w:keepNext/>
              <w:rPr>
                <w:lang w:eastAsia="en-AU"/>
              </w:rPr>
            </w:pPr>
            <w:r w:rsidRPr="00A704D2">
              <w:t>88%</w:t>
            </w:r>
          </w:p>
        </w:tc>
        <w:tc>
          <w:tcPr>
            <w:tcW w:w="0" w:type="dxa"/>
            <w:tcBorders>
              <w:top w:val="single" w:sz="4" w:space="0" w:color="000000" w:themeColor="text1"/>
              <w:left w:val="nil"/>
              <w:bottom w:val="single" w:sz="4" w:space="0" w:color="auto"/>
              <w:right w:val="nil"/>
            </w:tcBorders>
            <w:shd w:val="clear" w:color="auto" w:fill="auto"/>
          </w:tcPr>
          <w:p w14:paraId="26CA50AA" w14:textId="5D2E0D24" w:rsidR="000E6FBB" w:rsidRPr="000E6FBB" w:rsidRDefault="00CB043C" w:rsidP="000E6FBB">
            <w:pPr>
              <w:pStyle w:val="TabletextCentre"/>
              <w:keepNext/>
              <w:rPr>
                <w:lang w:eastAsia="en-AU"/>
              </w:rPr>
            </w:pPr>
            <w:r w:rsidRPr="00A704D2">
              <w:t>88%</w:t>
            </w:r>
          </w:p>
        </w:tc>
        <w:tc>
          <w:tcPr>
            <w:tcW w:w="0" w:type="dxa"/>
            <w:tcBorders>
              <w:top w:val="single" w:sz="4" w:space="0" w:color="000000" w:themeColor="text1"/>
              <w:left w:val="nil"/>
              <w:bottom w:val="single" w:sz="4" w:space="0" w:color="auto"/>
              <w:right w:val="nil"/>
            </w:tcBorders>
            <w:shd w:val="clear" w:color="auto" w:fill="auto"/>
          </w:tcPr>
          <w:p w14:paraId="3A854387" w14:textId="4ABAFC6A" w:rsidR="000E6FBB" w:rsidRPr="000E6FBB" w:rsidRDefault="00CB043C" w:rsidP="000E6FBB">
            <w:pPr>
              <w:pStyle w:val="TabletextCentre"/>
              <w:keepNext/>
              <w:rPr>
                <w:lang w:eastAsia="en-AU"/>
              </w:rPr>
            </w:pPr>
            <w:r w:rsidRPr="00A704D2">
              <w:t>89%</w:t>
            </w:r>
          </w:p>
        </w:tc>
        <w:tc>
          <w:tcPr>
            <w:tcW w:w="0" w:type="dxa"/>
            <w:tcBorders>
              <w:top w:val="single" w:sz="4" w:space="0" w:color="000000" w:themeColor="text1"/>
              <w:left w:val="nil"/>
              <w:bottom w:val="single" w:sz="4" w:space="0" w:color="auto"/>
              <w:right w:val="nil"/>
            </w:tcBorders>
            <w:shd w:val="clear" w:color="auto" w:fill="auto"/>
          </w:tcPr>
          <w:p w14:paraId="257C6D9B" w14:textId="02723C4A" w:rsidR="000E6FBB" w:rsidRPr="000E6FBB" w:rsidRDefault="00CB043C" w:rsidP="000E6FBB">
            <w:pPr>
              <w:pStyle w:val="TabletextCentre"/>
              <w:keepNext/>
              <w:rPr>
                <w:lang w:eastAsia="en-AU"/>
              </w:rPr>
            </w:pPr>
            <w:r w:rsidRPr="00A704D2">
              <w:t>88%</w:t>
            </w:r>
          </w:p>
        </w:tc>
      </w:tr>
    </w:tbl>
    <w:p w14:paraId="0BCB0C3B" w14:textId="77777777" w:rsidR="00537973" w:rsidRPr="000E6FBB" w:rsidRDefault="00537973" w:rsidP="005114E2">
      <w:pPr>
        <w:pStyle w:val="Source"/>
        <w:keepNext/>
      </w:pPr>
      <w:r w:rsidRPr="000E6FBB">
        <w:t>Note: Figures can be interpreted as the average unit cost per EFTSL as a proportion of average Commonwealth Supported Place (CSP) funding which includes the Commonwealth contribution amounts and Student Contribution amounts.</w:t>
      </w:r>
    </w:p>
    <w:p w14:paraId="07A0E710" w14:textId="1B185C13" w:rsidR="00F95F1E" w:rsidRPr="00E35454" w:rsidRDefault="00DB1BF5" w:rsidP="00B55E41">
      <w:bookmarkStart w:id="180" w:name="_Toc24134670"/>
      <w:bookmarkStart w:id="181" w:name="_Toc24135374"/>
      <w:bookmarkStart w:id="182" w:name="_Toc20246000"/>
      <w:r w:rsidRPr="00E35454">
        <w:t xml:space="preserve">Importantly, the ratio of teaching costs relative to CSP funding </w:t>
      </w:r>
      <w:r w:rsidR="00011CDB" w:rsidRPr="00E35454">
        <w:t xml:space="preserve">has been calculated </w:t>
      </w:r>
      <w:r w:rsidRPr="00E35454">
        <w:t xml:space="preserve">based on the maximum CSP funding rates that can be received by a university. </w:t>
      </w:r>
      <w:r w:rsidR="006F3738">
        <w:t xml:space="preserve">That is, the ratios presented in this report do not account for instances where enrolments at a particular university exceed the CGS funding cap. </w:t>
      </w:r>
      <w:bookmarkEnd w:id="180"/>
      <w:bookmarkEnd w:id="181"/>
    </w:p>
    <w:p w14:paraId="6B4AC941" w14:textId="77777777" w:rsidR="00537973" w:rsidRPr="00691B65" w:rsidRDefault="00537973" w:rsidP="00537973">
      <w:pPr>
        <w:pStyle w:val="Heading2"/>
        <w:numPr>
          <w:ilvl w:val="0"/>
          <w:numId w:val="0"/>
        </w:numPr>
      </w:pPr>
      <w:bookmarkStart w:id="183" w:name="_Toc105776179"/>
      <w:r w:rsidRPr="00691B65">
        <w:t>Concluding remarks</w:t>
      </w:r>
      <w:bookmarkEnd w:id="182"/>
      <w:bookmarkEnd w:id="183"/>
    </w:p>
    <w:p w14:paraId="5FBCADD8" w14:textId="1017C400" w:rsidR="00182A18" w:rsidRDefault="00F2503F" w:rsidP="00416131">
      <w:pPr>
        <w:spacing w:before="120"/>
      </w:pPr>
      <w:r w:rsidRPr="0097764E">
        <w:t xml:space="preserve">The 2022 study marks the </w:t>
      </w:r>
      <w:r w:rsidR="00182A18">
        <w:t>third and fourth years</w:t>
      </w:r>
      <w:r w:rsidRPr="0097764E">
        <w:t xml:space="preserve"> of the current Transparency in Higher Education Expenditure project. </w:t>
      </w:r>
      <w:r w:rsidR="00537973" w:rsidRPr="0097764E">
        <w:t xml:space="preserve">The results presented in this report </w:t>
      </w:r>
      <w:r w:rsidR="002C0774" w:rsidRPr="0097764E">
        <w:t xml:space="preserve">build on </w:t>
      </w:r>
      <w:r w:rsidR="003130BA" w:rsidRPr="0097764E">
        <w:t>previous studies and</w:t>
      </w:r>
      <w:r w:rsidR="00960ADE">
        <w:t>, to the greatest extent possible,</w:t>
      </w:r>
      <w:r w:rsidR="003130BA" w:rsidRPr="0097764E">
        <w:t xml:space="preserve"> provide a comparable</w:t>
      </w:r>
      <w:r w:rsidR="0097764E" w:rsidRPr="0097764E">
        <w:t xml:space="preserve"> data set </w:t>
      </w:r>
      <w:r w:rsidR="002C0774" w:rsidRPr="0097764E">
        <w:t xml:space="preserve">on the costs of teaching and scholarship </w:t>
      </w:r>
      <w:r w:rsidR="00182A18">
        <w:t xml:space="preserve">which for </w:t>
      </w:r>
      <w:r w:rsidR="000410D3">
        <w:t xml:space="preserve">the </w:t>
      </w:r>
      <w:r w:rsidR="00182A18">
        <w:t>first time encompasses</w:t>
      </w:r>
      <w:r w:rsidR="0097764E" w:rsidRPr="0097764E">
        <w:t xml:space="preserve"> </w:t>
      </w:r>
      <w:r w:rsidR="00B127F5">
        <w:t xml:space="preserve">all </w:t>
      </w:r>
      <w:r w:rsidR="00182A18">
        <w:t xml:space="preserve">Table A </w:t>
      </w:r>
      <w:r w:rsidR="0097764E" w:rsidRPr="0097764E">
        <w:t xml:space="preserve">Australian </w:t>
      </w:r>
      <w:r w:rsidR="00182A18">
        <w:t xml:space="preserve">public </w:t>
      </w:r>
      <w:r w:rsidR="0097764E" w:rsidRPr="0097764E">
        <w:t>universities</w:t>
      </w:r>
      <w:r w:rsidR="00182A18">
        <w:t xml:space="preserve"> in 2019 and 2020</w:t>
      </w:r>
      <w:r w:rsidR="0097764E" w:rsidRPr="0097764E">
        <w:t>.</w:t>
      </w:r>
      <w:r w:rsidR="00F17371">
        <w:rPr>
          <w:rStyle w:val="FootnoteReference"/>
        </w:rPr>
        <w:footnoteReference w:id="11"/>
      </w:r>
      <w:r w:rsidR="0097764E" w:rsidRPr="0097764E">
        <w:t xml:space="preserve"> </w:t>
      </w:r>
    </w:p>
    <w:p w14:paraId="57F96BBE" w14:textId="7EBE5778" w:rsidR="00654AC1" w:rsidRDefault="00DB638F" w:rsidP="002C0774">
      <w:r>
        <w:t xml:space="preserve">The outbreak of COVID-19 saw many </w:t>
      </w:r>
      <w:r w:rsidR="00F51655">
        <w:t xml:space="preserve">universities </w:t>
      </w:r>
      <w:r w:rsidR="008159A5">
        <w:t xml:space="preserve">offer financial support to students, as well as </w:t>
      </w:r>
      <w:r w:rsidR="00E0600C">
        <w:t xml:space="preserve">introduce measures to </w:t>
      </w:r>
      <w:r w:rsidR="00FC44BF">
        <w:t>reduce</w:t>
      </w:r>
      <w:r w:rsidR="00E0600C">
        <w:t xml:space="preserve"> </w:t>
      </w:r>
      <w:r w:rsidR="00FC44BF">
        <w:t xml:space="preserve">staff and non-staff costs. </w:t>
      </w:r>
      <w:r w:rsidR="001934CC">
        <w:t xml:space="preserve">The results for 2020, particularly for a given FOE and level of study, should be interpreted with care. </w:t>
      </w:r>
    </w:p>
    <w:p w14:paraId="2F17B0C2" w14:textId="1090F2EA" w:rsidR="002C0774" w:rsidRPr="00654AC1" w:rsidRDefault="00FF0E24" w:rsidP="002C0774">
      <w:r w:rsidRPr="00654AC1">
        <w:t>Despite this</w:t>
      </w:r>
      <w:r w:rsidR="002C0774" w:rsidRPr="00654AC1">
        <w:t xml:space="preserve">, the relative consistency of results across the </w:t>
      </w:r>
      <w:r w:rsidR="00912BA0" w:rsidRPr="00654AC1">
        <w:t>three</w:t>
      </w:r>
      <w:r w:rsidR="002C0774" w:rsidRPr="00654AC1">
        <w:t xml:space="preserve"> most recent studies, which have adopted a </w:t>
      </w:r>
      <w:r w:rsidR="00C17283">
        <w:t xml:space="preserve">fundamentally </w:t>
      </w:r>
      <w:r w:rsidR="002C0774" w:rsidRPr="00654AC1">
        <w:t xml:space="preserve">consistent </w:t>
      </w:r>
      <w:r w:rsidR="00E415E4" w:rsidRPr="00654AC1">
        <w:t>TCW</w:t>
      </w:r>
      <w:r w:rsidR="002C0774" w:rsidRPr="00654AC1">
        <w:t xml:space="preserve"> and </w:t>
      </w:r>
      <w:r w:rsidR="00E415E4" w:rsidRPr="00654AC1">
        <w:t>D</w:t>
      </w:r>
      <w:r w:rsidR="002C0774" w:rsidRPr="00654AC1">
        <w:t xml:space="preserve">ata </w:t>
      </w:r>
      <w:r w:rsidR="00E415E4" w:rsidRPr="00654AC1">
        <w:t>C</w:t>
      </w:r>
      <w:r w:rsidR="002C0774" w:rsidRPr="00654AC1">
        <w:t xml:space="preserve">ollection </w:t>
      </w:r>
      <w:r w:rsidR="00F3375D" w:rsidRPr="00654AC1">
        <w:t>G</w:t>
      </w:r>
      <w:r w:rsidR="002C0774" w:rsidRPr="00654AC1">
        <w:t xml:space="preserve">uidelines, provide policymakers with a greater level of confidence in the reliability of the findings and their comparability </w:t>
      </w:r>
      <w:r w:rsidR="00BA4C86" w:rsidRPr="00654AC1">
        <w:t>over time</w:t>
      </w:r>
      <w:r w:rsidR="002C0774" w:rsidRPr="00654AC1">
        <w:t>. This consistency has also been welcomed by the sector to the extent that it has allow</w:t>
      </w:r>
      <w:r w:rsidR="00BA4C86" w:rsidRPr="00654AC1">
        <w:t>ed</w:t>
      </w:r>
      <w:r w:rsidR="002C0774" w:rsidRPr="00654AC1">
        <w:t xml:space="preserve"> them to develop reporting systems that align with the cost collection template.</w:t>
      </w:r>
      <w:r w:rsidR="006A5490" w:rsidRPr="00654AC1">
        <w:t xml:space="preserve"> </w:t>
      </w:r>
    </w:p>
    <w:p w14:paraId="2F8F7AC0" w14:textId="2B139D85" w:rsidR="00E30310" w:rsidRDefault="00434063" w:rsidP="00BE366A">
      <w:r w:rsidRPr="007B362C">
        <w:t>Not</w:t>
      </w:r>
      <w:r>
        <w:t>ing</w:t>
      </w:r>
      <w:r w:rsidR="002C0774" w:rsidRPr="007B362C">
        <w:t xml:space="preserve"> the </w:t>
      </w:r>
      <w:r w:rsidR="00516F70">
        <w:t>importance</w:t>
      </w:r>
      <w:r w:rsidR="002C0774" w:rsidRPr="007B362C">
        <w:t xml:space="preserve"> of </w:t>
      </w:r>
      <w:r w:rsidR="00B60A50">
        <w:t>maintaining</w:t>
      </w:r>
      <w:r w:rsidR="002C0774" w:rsidRPr="007B362C">
        <w:t xml:space="preserve"> consistency</w:t>
      </w:r>
      <w:r w:rsidR="00B60A50">
        <w:t xml:space="preserve"> over time</w:t>
      </w:r>
      <w:r w:rsidR="005E7D79" w:rsidRPr="007B362C">
        <w:t>,</w:t>
      </w:r>
      <w:r w:rsidR="002C0774" w:rsidRPr="007B362C">
        <w:t xml:space="preserve"> there remains scope to continue to refine the exercise</w:t>
      </w:r>
      <w:r w:rsidR="005E7D79" w:rsidRPr="007B362C">
        <w:t xml:space="preserve"> both </w:t>
      </w:r>
      <w:r w:rsidR="005E7D79" w:rsidRPr="00C36EA6">
        <w:t xml:space="preserve">in striving </w:t>
      </w:r>
      <w:r w:rsidR="00F25A27">
        <w:t xml:space="preserve">not only </w:t>
      </w:r>
      <w:r w:rsidR="005E7D79" w:rsidRPr="00C36EA6">
        <w:t>to more accurately capture the economic costs of teaching and scholarship</w:t>
      </w:r>
      <w:r w:rsidR="00F25A27">
        <w:t>,</w:t>
      </w:r>
      <w:r w:rsidR="005E7D79" w:rsidRPr="00C36EA6">
        <w:t xml:space="preserve"> but also</w:t>
      </w:r>
      <w:r w:rsidR="00383E0E" w:rsidRPr="00C36EA6">
        <w:t xml:space="preserve"> </w:t>
      </w:r>
      <w:r w:rsidR="005E7D79" w:rsidRPr="00C36EA6">
        <w:t xml:space="preserve">to </w:t>
      </w:r>
      <w:r w:rsidR="00383E0E" w:rsidRPr="00C36EA6">
        <w:t>cater for</w:t>
      </w:r>
      <w:r w:rsidR="005E7D79" w:rsidRPr="00C36EA6">
        <w:t xml:space="preserve"> new developments and trends in the sector</w:t>
      </w:r>
      <w:r w:rsidR="00383E0E" w:rsidRPr="00C36EA6">
        <w:t xml:space="preserve">. </w:t>
      </w:r>
      <w:r w:rsidR="00AA6770">
        <w:t>The benefits of the refinements seen since the commen</w:t>
      </w:r>
      <w:r w:rsidR="00B60A50">
        <w:t>cement of the</w:t>
      </w:r>
      <w:r w:rsidR="00AA6770" w:rsidRPr="00AA6770">
        <w:t xml:space="preserve"> </w:t>
      </w:r>
      <w:r w:rsidR="00AA6770" w:rsidRPr="00C36EA6">
        <w:t>project in 2017</w:t>
      </w:r>
      <w:r w:rsidR="00B60A50">
        <w:t>,</w:t>
      </w:r>
      <w:r w:rsidR="00AA6770">
        <w:t xml:space="preserve"> together with the sector’s appetite to continue to explore improvements</w:t>
      </w:r>
      <w:r w:rsidR="00B60A50">
        <w:t>,</w:t>
      </w:r>
      <w:r w:rsidR="00AA6770">
        <w:t xml:space="preserve"> suggests this should continue to be a point of consideration in future collection exercises</w:t>
      </w:r>
      <w:r w:rsidR="003C79B6">
        <w:t xml:space="preserve"> (generally and in specific areas like capital costs)</w:t>
      </w:r>
      <w:r w:rsidR="00AA6770">
        <w:t>.</w:t>
      </w:r>
      <w:r w:rsidR="003C79B6">
        <w:t xml:space="preserve"> </w:t>
      </w:r>
      <w:r w:rsidR="000362D0">
        <w:t>Similarly, u</w:t>
      </w:r>
      <w:r w:rsidR="00AF652F">
        <w:t xml:space="preserve">nderstanding the true economic cost of research remains a topic of interest to the sector. </w:t>
      </w:r>
    </w:p>
    <w:p w14:paraId="7F6FF3EC" w14:textId="77777777" w:rsidR="00AF652F" w:rsidRDefault="00AF652F" w:rsidP="00BE366A"/>
    <w:p w14:paraId="7690C901" w14:textId="77777777" w:rsidR="00F9113D" w:rsidRPr="00691B65" w:rsidRDefault="00DD22FF" w:rsidP="00D1171B">
      <w:pPr>
        <w:pStyle w:val="Heading4un-numbered"/>
        <w:tabs>
          <w:tab w:val="left" w:pos="340"/>
        </w:tabs>
      </w:pPr>
      <w:r w:rsidRPr="00691B65">
        <w:t>Deloitte Access Economics</w:t>
      </w:r>
      <w:bookmarkEnd w:id="88"/>
    </w:p>
    <w:p w14:paraId="2B7C177D" w14:textId="77777777" w:rsidR="00BA4A12" w:rsidRPr="00691B65" w:rsidRDefault="00BA4A12" w:rsidP="00BF3260"/>
    <w:p w14:paraId="529DCE15" w14:textId="77777777" w:rsidR="00232866" w:rsidRPr="00BB165A" w:rsidRDefault="00232866" w:rsidP="00BF3260">
      <w:pPr>
        <w:sectPr w:rsidR="00232866" w:rsidRPr="00BB165A" w:rsidSect="00201BEB">
          <w:pgSz w:w="11906" w:h="16838" w:code="9"/>
          <w:pgMar w:top="1985" w:right="1416" w:bottom="1134" w:left="1418" w:header="680" w:footer="425" w:gutter="0"/>
          <w:pgNumType w:fmt="lowerRoman"/>
          <w:cols w:space="284"/>
          <w:docGrid w:linePitch="360"/>
        </w:sectPr>
      </w:pPr>
    </w:p>
    <w:p w14:paraId="0AF7D3E6" w14:textId="77777777" w:rsidR="00BF3260" w:rsidRPr="00697635" w:rsidRDefault="00BF3260" w:rsidP="007B09DB">
      <w:pPr>
        <w:pStyle w:val="Heading1"/>
        <w:numPr>
          <w:ilvl w:val="0"/>
          <w:numId w:val="19"/>
        </w:numPr>
      </w:pPr>
      <w:bookmarkStart w:id="184" w:name="_Toc462313129"/>
      <w:bookmarkStart w:id="185" w:name="_Toc462317839"/>
      <w:bookmarkStart w:id="186" w:name="_Toc462397803"/>
      <w:bookmarkStart w:id="187" w:name="_Toc463002430"/>
      <w:bookmarkStart w:id="188" w:name="_Toc472586342"/>
      <w:bookmarkStart w:id="189" w:name="_Toc482168120"/>
      <w:bookmarkStart w:id="190" w:name="_Toc482174907"/>
      <w:bookmarkStart w:id="191" w:name="_Toc20246001"/>
      <w:bookmarkStart w:id="192" w:name="_Toc105776180"/>
      <w:r w:rsidRPr="00697635">
        <w:t>Background</w:t>
      </w:r>
      <w:bookmarkEnd w:id="184"/>
      <w:bookmarkEnd w:id="185"/>
      <w:bookmarkEnd w:id="186"/>
      <w:bookmarkEnd w:id="187"/>
      <w:bookmarkEnd w:id="188"/>
      <w:bookmarkEnd w:id="189"/>
      <w:bookmarkEnd w:id="190"/>
      <w:bookmarkEnd w:id="191"/>
      <w:bookmarkEnd w:id="192"/>
    </w:p>
    <w:p w14:paraId="6088D0FB" w14:textId="55C76BEF" w:rsidR="00776795" w:rsidRPr="00BB165A" w:rsidRDefault="00776795" w:rsidP="0012388F">
      <w:bookmarkStart w:id="193" w:name="_Toc529546271"/>
      <w:bookmarkStart w:id="194" w:name="_Toc529546919"/>
      <w:bookmarkStart w:id="195" w:name="_Toc529459950"/>
      <w:bookmarkStart w:id="196" w:name="_Toc529546322"/>
      <w:bookmarkStart w:id="197" w:name="_Toc529546970"/>
      <w:bookmarkStart w:id="198" w:name="_Toc529459953"/>
      <w:bookmarkStart w:id="199" w:name="_Toc529546325"/>
      <w:bookmarkStart w:id="200" w:name="_Toc529459954"/>
      <w:bookmarkStart w:id="201" w:name="_Toc529546326"/>
      <w:bookmarkStart w:id="202" w:name="_Toc529459955"/>
      <w:bookmarkStart w:id="203" w:name="_Toc529546327"/>
      <w:bookmarkStart w:id="204" w:name="_Toc529459956"/>
      <w:bookmarkStart w:id="205" w:name="_Toc529546328"/>
      <w:bookmarkStart w:id="206" w:name="_Toc529459957"/>
      <w:bookmarkStart w:id="207" w:name="_Toc529546329"/>
      <w:bookmarkStart w:id="208" w:name="_Toc529459958"/>
      <w:bookmarkStart w:id="209" w:name="_Toc529546330"/>
      <w:bookmarkStart w:id="210" w:name="_Toc529546274"/>
      <w:bookmarkStart w:id="211" w:name="_Toc52954692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BB165A">
        <w:t xml:space="preserve">In order to support the extensive public and private benefits that universities </w:t>
      </w:r>
      <w:r w:rsidR="0066438D" w:rsidRPr="00BB165A">
        <w:t>generate</w:t>
      </w:r>
      <w:r w:rsidRPr="00BB165A">
        <w:t xml:space="preserve">, the Australian Government provides significant financial support and funding to the sector and users. This support is provided through a variety of forms ranging from specific grants for research or infrastructure through </w:t>
      </w:r>
      <w:r w:rsidR="000E1B85" w:rsidRPr="00BB165A">
        <w:t xml:space="preserve">to </w:t>
      </w:r>
      <w:r w:rsidR="00B519EA">
        <w:t>Commonwealth Grant Scheme (</w:t>
      </w:r>
      <w:r w:rsidR="000E1B85" w:rsidRPr="00BB165A">
        <w:t>CGS</w:t>
      </w:r>
      <w:r w:rsidR="00B519EA">
        <w:t>)</w:t>
      </w:r>
      <w:r w:rsidRPr="00BB165A">
        <w:t xml:space="preserve"> funding for Commonwealth supported students. Universities also receive revenue from a range of private sources. </w:t>
      </w:r>
    </w:p>
    <w:p w14:paraId="7BC61063" w14:textId="682278FF" w:rsidR="00776795" w:rsidRPr="00BB165A" w:rsidRDefault="00776795" w:rsidP="00776795">
      <w:r w:rsidRPr="00BB165A">
        <w:t xml:space="preserve">Universities use this revenue to support a range of </w:t>
      </w:r>
      <w:r w:rsidR="008B3BBC" w:rsidRPr="00BB165A">
        <w:t>activities and outcomes</w:t>
      </w:r>
      <w:r w:rsidRPr="00BB165A">
        <w:t xml:space="preserve">, </w:t>
      </w:r>
      <w:r w:rsidR="008B3BBC" w:rsidRPr="00BB165A">
        <w:t>broadly including teaching and scholarship, research and community engagement. The relative importance of these activities in terms of resource allocation may</w:t>
      </w:r>
      <w:r w:rsidRPr="00BB165A">
        <w:t xml:space="preserve"> differ according</w:t>
      </w:r>
      <w:r w:rsidR="00EE575E" w:rsidRPr="00BB165A">
        <w:t xml:space="preserve"> to</w:t>
      </w:r>
      <w:r w:rsidRPr="00BB165A">
        <w:t xml:space="preserve"> the specific strategy of each institution</w:t>
      </w:r>
      <w:r w:rsidR="008B3BBC" w:rsidRPr="00BB165A">
        <w:t>.</w:t>
      </w:r>
    </w:p>
    <w:p w14:paraId="786F92AF" w14:textId="729EBAED" w:rsidR="00776795" w:rsidRPr="00BB165A" w:rsidRDefault="00776795" w:rsidP="00776795">
      <w:r w:rsidRPr="00BB165A">
        <w:t xml:space="preserve">Given the range of outcomes and funding sources received by universities, understanding the level of expenditure on teaching and scholarship, and how this varies by discipline, is important to </w:t>
      </w:r>
      <w:r w:rsidR="0066438D" w:rsidRPr="00BB165A">
        <w:t>the ongoing monitoring and, as appropriate, refinement of policy settings</w:t>
      </w:r>
      <w:r w:rsidRPr="00BB165A">
        <w:t xml:space="preserve">. </w:t>
      </w:r>
      <w:r w:rsidR="0066438D" w:rsidRPr="00BB165A">
        <w:t xml:space="preserve">Such information can also be instructive to the sector’s other stakeholders. </w:t>
      </w:r>
    </w:p>
    <w:p w14:paraId="6B5B32FE" w14:textId="660FB360" w:rsidR="00776795" w:rsidRPr="00BB165A" w:rsidRDefault="6CA8810E" w:rsidP="00776795">
      <w:r>
        <w:t xml:space="preserve">In this context, Deloitte Access Economics has been engaged by the Australian Government Department </w:t>
      </w:r>
      <w:r w:rsidR="00BC78DB">
        <w:t>of Education, Skills and Employment</w:t>
      </w:r>
      <w:r w:rsidR="00BC78DB" w:rsidDel="00BC78DB">
        <w:t xml:space="preserve"> </w:t>
      </w:r>
      <w:r>
        <w:t>(the Department) to collect and analyse data on the cost of delivering higher education</w:t>
      </w:r>
      <w:r w:rsidR="68F02CD6">
        <w:t xml:space="preserve"> – the costs of teaching and scholarship – </w:t>
      </w:r>
      <w:r w:rsidR="4E9C5331">
        <w:t xml:space="preserve">at </w:t>
      </w:r>
      <w:r w:rsidR="68F02CD6">
        <w:t>Australia’s public universities.</w:t>
      </w:r>
    </w:p>
    <w:p w14:paraId="24C01803" w14:textId="7E7F7194" w:rsidR="00776795" w:rsidRPr="00BB165A" w:rsidRDefault="00E71DB8" w:rsidP="00776795">
      <w:r w:rsidRPr="00BB165A">
        <w:t xml:space="preserve">The 2022 exercise collects data on teaching and scholarship costs of all public universities for </w:t>
      </w:r>
      <w:r w:rsidR="00C36E6D" w:rsidRPr="00BB165A">
        <w:t>the</w:t>
      </w:r>
      <w:r w:rsidRPr="00BB165A">
        <w:t xml:space="preserve"> 2019 and 2020</w:t>
      </w:r>
      <w:r w:rsidR="00C36E6D" w:rsidRPr="00BB165A">
        <w:t xml:space="preserve"> </w:t>
      </w:r>
      <w:r w:rsidRPr="00BB165A">
        <w:t xml:space="preserve">calendar years. </w:t>
      </w:r>
      <w:r w:rsidR="00A172D3" w:rsidRPr="00BB165A">
        <w:t xml:space="preserve">This exercise extends on previous studies in 2019 and 2018 where Deloitte Access Economics collected teaching and scholarship cost data </w:t>
      </w:r>
      <w:r w:rsidR="00EA1977" w:rsidRPr="00BB165A">
        <w:t xml:space="preserve">from universities </w:t>
      </w:r>
      <w:r w:rsidR="00A172D3" w:rsidRPr="00BB165A">
        <w:t>related to activity in the 2018 and 2017 calendar years. Similar studies were also conducted in 2016 and 2011. Each year, the coverage of the university sector has expanded, with the 202</w:t>
      </w:r>
      <w:r w:rsidR="00695C3E" w:rsidRPr="00BB165A">
        <w:t>2</w:t>
      </w:r>
      <w:r w:rsidR="00A172D3" w:rsidRPr="00BB165A">
        <w:t xml:space="preserve"> collection includ</w:t>
      </w:r>
      <w:r w:rsidR="00EA1977" w:rsidRPr="00BB165A">
        <w:t>ing</w:t>
      </w:r>
      <w:r w:rsidR="00A172D3" w:rsidRPr="00BB165A">
        <w:t xml:space="preserve"> all public universities</w:t>
      </w:r>
      <w:r w:rsidR="00C77CAE" w:rsidRPr="00BB165A">
        <w:t xml:space="preserve"> in Australia</w:t>
      </w:r>
      <w:r w:rsidR="00A172D3" w:rsidRPr="00BB165A">
        <w:t>.</w:t>
      </w:r>
      <w:r w:rsidR="00C22021">
        <w:rPr>
          <w:rStyle w:val="FootnoteReference"/>
        </w:rPr>
        <w:footnoteReference w:id="12"/>
      </w:r>
      <w:r w:rsidRPr="00BB165A">
        <w:t xml:space="preserve"> </w:t>
      </w:r>
      <w:r w:rsidR="00A8295C" w:rsidRPr="00BB165A">
        <w:t xml:space="preserve">With each data collection, areas of improvement and refinement have been incorporated into the </w:t>
      </w:r>
      <w:r w:rsidR="00000694" w:rsidRPr="00BB165A">
        <w:t>exercise</w:t>
      </w:r>
      <w:r w:rsidR="00A8295C" w:rsidRPr="00BB165A">
        <w:t xml:space="preserve"> to improve the quality and consistency of data collected while also seeking to minimise the administrative burden on universities. </w:t>
      </w:r>
    </w:p>
    <w:p w14:paraId="7865E78E" w14:textId="77777777" w:rsidR="00776795" w:rsidRPr="00BB165A" w:rsidRDefault="00776795" w:rsidP="00776795">
      <w:r w:rsidRPr="00BB165A">
        <w:t>This chapter:</w:t>
      </w:r>
    </w:p>
    <w:p w14:paraId="787122D3" w14:textId="0FBBBDA0" w:rsidR="00776795" w:rsidRPr="00BB165A" w:rsidRDefault="00D10299" w:rsidP="00046245">
      <w:pPr>
        <w:pStyle w:val="ListBullet"/>
      </w:pPr>
      <w:r w:rsidRPr="00BB165A">
        <w:t>P</w:t>
      </w:r>
      <w:r w:rsidR="00776795" w:rsidRPr="00BB165A">
        <w:t xml:space="preserve">rovides more context on the objectives of the Transparency in Higher Education expenditure project (Section </w:t>
      </w:r>
      <w:r w:rsidR="003E6259" w:rsidRPr="00BB165A">
        <w:t>1.1</w:t>
      </w:r>
      <w:r w:rsidR="00776795" w:rsidRPr="00BB165A">
        <w:t>)</w:t>
      </w:r>
    </w:p>
    <w:p w14:paraId="2751FCC1" w14:textId="60462CED" w:rsidR="00776795" w:rsidRPr="00BB165A" w:rsidRDefault="00D10299" w:rsidP="00046245">
      <w:pPr>
        <w:pStyle w:val="ListBullet"/>
      </w:pPr>
      <w:r w:rsidRPr="00BB165A">
        <w:t>D</w:t>
      </w:r>
      <w:r w:rsidR="00776795" w:rsidRPr="00BB165A">
        <w:t>escribes the chan</w:t>
      </w:r>
      <w:r w:rsidR="007F11DC" w:rsidRPr="00BB165A">
        <w:t xml:space="preserve">ges in methodology from the </w:t>
      </w:r>
      <w:r w:rsidR="00F95F1E" w:rsidRPr="00BB165A">
        <w:t>201</w:t>
      </w:r>
      <w:r w:rsidR="00172505" w:rsidRPr="00BB165A">
        <w:t>9</w:t>
      </w:r>
      <w:r w:rsidR="00F95F1E" w:rsidRPr="00BB165A">
        <w:t xml:space="preserve"> </w:t>
      </w:r>
      <w:r w:rsidR="00776795" w:rsidRPr="00BB165A">
        <w:t xml:space="preserve">study, including the process and decision-making behind each change (Section </w:t>
      </w:r>
      <w:r w:rsidR="003E6259" w:rsidRPr="00BB165A">
        <w:t>1.2</w:t>
      </w:r>
      <w:r w:rsidR="00776795" w:rsidRPr="00BB165A">
        <w:t>)</w:t>
      </w:r>
    </w:p>
    <w:p w14:paraId="0F5A3495" w14:textId="674CAE02" w:rsidR="00776795" w:rsidRPr="00BB165A" w:rsidRDefault="00D10299" w:rsidP="00046245">
      <w:pPr>
        <w:pStyle w:val="ListBullet"/>
      </w:pPr>
      <w:r w:rsidRPr="00BB165A">
        <w:t>S</w:t>
      </w:r>
      <w:r w:rsidR="00776795" w:rsidRPr="00BB165A">
        <w:t>ummarises the process and planning f</w:t>
      </w:r>
      <w:r w:rsidR="007F11DC" w:rsidRPr="00BB165A">
        <w:t xml:space="preserve">or sampling universities in </w:t>
      </w:r>
      <w:r w:rsidR="00F70751" w:rsidRPr="00BB165A">
        <w:t>2022</w:t>
      </w:r>
      <w:r w:rsidR="00776795" w:rsidRPr="00BB165A">
        <w:t xml:space="preserve"> (Section </w:t>
      </w:r>
      <w:r w:rsidR="003E6259" w:rsidRPr="00BB165A">
        <w:t>1.3</w:t>
      </w:r>
      <w:r w:rsidR="00776795" w:rsidRPr="00BB165A">
        <w:t>)</w:t>
      </w:r>
    </w:p>
    <w:p w14:paraId="12A00203" w14:textId="6D9C684F" w:rsidR="00776795" w:rsidRPr="00BB165A" w:rsidRDefault="00D10299" w:rsidP="00046245">
      <w:pPr>
        <w:pStyle w:val="ListBullet"/>
      </w:pPr>
      <w:r w:rsidRPr="00BB165A">
        <w:t>E</w:t>
      </w:r>
      <w:r w:rsidR="00776795" w:rsidRPr="00BB165A">
        <w:t xml:space="preserve">xplores </w:t>
      </w:r>
      <w:r w:rsidR="002B40AF" w:rsidRPr="00BB165A">
        <w:t>recent</w:t>
      </w:r>
      <w:r w:rsidR="00776795" w:rsidRPr="00BB165A">
        <w:t xml:space="preserve"> trends in the delivery of higher education (Section </w:t>
      </w:r>
      <w:r w:rsidR="003E6259" w:rsidRPr="00BB165A">
        <w:t>1.4)</w:t>
      </w:r>
    </w:p>
    <w:p w14:paraId="1F79E450" w14:textId="57AE5AB2" w:rsidR="00776795" w:rsidRPr="00BB165A" w:rsidRDefault="00D10299" w:rsidP="00046245">
      <w:pPr>
        <w:pStyle w:val="ListBullet"/>
      </w:pPr>
      <w:r w:rsidRPr="00BB165A">
        <w:t>O</w:t>
      </w:r>
      <w:r w:rsidR="00776795" w:rsidRPr="00BB165A">
        <w:t xml:space="preserve">utlines the remaining report structure (Section </w:t>
      </w:r>
      <w:r w:rsidR="003E6259" w:rsidRPr="00BB165A">
        <w:t>1.5</w:t>
      </w:r>
      <w:r w:rsidR="00776795" w:rsidRPr="00BB165A">
        <w:t>).</w:t>
      </w:r>
    </w:p>
    <w:p w14:paraId="2238A5E2" w14:textId="77777777" w:rsidR="00776795" w:rsidRPr="00BB165A" w:rsidRDefault="00776795" w:rsidP="00776795">
      <w:pPr>
        <w:pStyle w:val="Heading2"/>
      </w:pPr>
      <w:bookmarkStart w:id="212" w:name="_Toc20246002"/>
      <w:bookmarkStart w:id="213" w:name="_Toc105776181"/>
      <w:r w:rsidRPr="00BB165A">
        <w:t>Purpose and objectives</w:t>
      </w:r>
      <w:bookmarkEnd w:id="212"/>
      <w:bookmarkEnd w:id="213"/>
    </w:p>
    <w:p w14:paraId="72409A40" w14:textId="3974D2ED" w:rsidR="00776795" w:rsidRPr="00BB165A" w:rsidRDefault="00776795" w:rsidP="00776795">
      <w:r w:rsidRPr="00BB165A">
        <w:t xml:space="preserve">The overarching </w:t>
      </w:r>
      <w:r w:rsidR="001176CA" w:rsidRPr="00BB165A">
        <w:t>o</w:t>
      </w:r>
      <w:r w:rsidR="001176CA">
        <w:t>bjective</w:t>
      </w:r>
      <w:r w:rsidRPr="00BB165A">
        <w:t xml:space="preserve"> of this exercise is to build and develop the evidence-base </w:t>
      </w:r>
      <w:r w:rsidR="002B40AF" w:rsidRPr="00BB165A">
        <w:t>on</w:t>
      </w:r>
      <w:r w:rsidR="00101557" w:rsidRPr="00BB165A">
        <w:t xml:space="preserve"> </w:t>
      </w:r>
      <w:r w:rsidRPr="00BB165A">
        <w:t xml:space="preserve">the cost of providing </w:t>
      </w:r>
      <w:r w:rsidR="00530D82" w:rsidRPr="00BB165A">
        <w:t xml:space="preserve">teaching and scholarship in </w:t>
      </w:r>
      <w:r w:rsidRPr="00BB165A">
        <w:t xml:space="preserve">higher education to better inform student decision-making and future </w:t>
      </w:r>
      <w:r w:rsidR="002B40AF" w:rsidRPr="00BB165A">
        <w:t xml:space="preserve">decisions </w:t>
      </w:r>
      <w:r w:rsidRPr="00BB165A">
        <w:t>regarding the policy architecture for higher</w:t>
      </w:r>
      <w:r w:rsidR="00A05EEB">
        <w:t xml:space="preserve"> educa</w:t>
      </w:r>
      <w:r w:rsidR="009E78C5">
        <w:t>tion</w:t>
      </w:r>
      <w:r w:rsidRPr="00BB165A">
        <w:t>.</w:t>
      </w:r>
      <w:r w:rsidR="00FD1680" w:rsidRPr="00BB165A">
        <w:t xml:space="preserve"> </w:t>
      </w:r>
      <w:r w:rsidRPr="00BB165A">
        <w:t xml:space="preserve">In order to achieve this overarching outcome, the Department has set </w:t>
      </w:r>
      <w:r w:rsidR="00B227CF" w:rsidRPr="00BB165A">
        <w:t>a number of key</w:t>
      </w:r>
      <w:r w:rsidRPr="00BB165A">
        <w:t xml:space="preserve"> objectives for this exercise:</w:t>
      </w:r>
    </w:p>
    <w:p w14:paraId="336A9092" w14:textId="6A96F947" w:rsidR="00776795" w:rsidRPr="00BB165A" w:rsidRDefault="00776795" w:rsidP="007B09DB">
      <w:pPr>
        <w:pStyle w:val="ListNumber"/>
        <w:numPr>
          <w:ilvl w:val="0"/>
          <w:numId w:val="15"/>
        </w:numPr>
        <w:rPr>
          <w:rFonts w:asciiTheme="minorHAnsi" w:hAnsiTheme="minorHAnsi"/>
          <w:szCs w:val="18"/>
        </w:rPr>
      </w:pPr>
      <w:r w:rsidRPr="00BB165A">
        <w:rPr>
          <w:rFonts w:asciiTheme="minorHAnsi" w:hAnsiTheme="minorHAnsi"/>
          <w:szCs w:val="18"/>
        </w:rPr>
        <w:t>Accurately measure the costs of teaching and scholarship</w:t>
      </w:r>
      <w:r w:rsidR="00220950" w:rsidRPr="00BB165A">
        <w:rPr>
          <w:rStyle w:val="FootnoteReference"/>
          <w:rFonts w:asciiTheme="minorHAnsi" w:hAnsiTheme="minorHAnsi"/>
          <w:szCs w:val="18"/>
        </w:rPr>
        <w:footnoteReference w:id="13"/>
      </w:r>
      <w:r w:rsidRPr="00BB165A">
        <w:rPr>
          <w:rFonts w:asciiTheme="minorHAnsi" w:hAnsiTheme="minorHAnsi"/>
          <w:szCs w:val="18"/>
        </w:rPr>
        <w:t xml:space="preserve"> by field and level of education</w:t>
      </w:r>
    </w:p>
    <w:p w14:paraId="1A390CAE" w14:textId="5E1B3131" w:rsidR="00B227CF" w:rsidRPr="00BB165A" w:rsidRDefault="00776795" w:rsidP="007B09DB">
      <w:pPr>
        <w:pStyle w:val="ListNumber"/>
        <w:numPr>
          <w:ilvl w:val="0"/>
          <w:numId w:val="15"/>
        </w:numPr>
        <w:rPr>
          <w:rFonts w:asciiTheme="minorHAnsi" w:hAnsiTheme="minorHAnsi"/>
          <w:szCs w:val="18"/>
        </w:rPr>
      </w:pPr>
      <w:r w:rsidRPr="00BB165A">
        <w:rPr>
          <w:rFonts w:asciiTheme="minorHAnsi" w:hAnsiTheme="minorHAnsi"/>
          <w:szCs w:val="18"/>
        </w:rPr>
        <w:t xml:space="preserve">Support </w:t>
      </w:r>
      <w:r w:rsidR="00697635" w:rsidRPr="00BB165A">
        <w:rPr>
          <w:rFonts w:asciiTheme="minorHAnsi" w:hAnsiTheme="minorHAnsi"/>
          <w:szCs w:val="18"/>
        </w:rPr>
        <w:t>the</w:t>
      </w:r>
      <w:r w:rsidRPr="00BB165A">
        <w:rPr>
          <w:rFonts w:asciiTheme="minorHAnsi" w:hAnsiTheme="minorHAnsi"/>
          <w:szCs w:val="18"/>
        </w:rPr>
        <w:t xml:space="preserve"> continued transition to a more comprehensive, systematic</w:t>
      </w:r>
      <w:r w:rsidR="00E04D44" w:rsidRPr="00BB165A">
        <w:rPr>
          <w:rFonts w:asciiTheme="minorHAnsi" w:hAnsiTheme="minorHAnsi"/>
          <w:szCs w:val="18"/>
        </w:rPr>
        <w:t>,</w:t>
      </w:r>
      <w:r w:rsidRPr="00BB165A">
        <w:rPr>
          <w:rFonts w:asciiTheme="minorHAnsi" w:hAnsiTheme="minorHAnsi"/>
          <w:szCs w:val="18"/>
        </w:rPr>
        <w:t xml:space="preserve"> and streamlined data collection process</w:t>
      </w:r>
    </w:p>
    <w:p w14:paraId="19A8284F" w14:textId="0DB932E6" w:rsidR="00776795" w:rsidRPr="00BB165A" w:rsidRDefault="00B227CF" w:rsidP="007B09DB">
      <w:pPr>
        <w:pStyle w:val="ListNumber"/>
        <w:numPr>
          <w:ilvl w:val="0"/>
          <w:numId w:val="15"/>
        </w:numPr>
        <w:rPr>
          <w:rFonts w:asciiTheme="minorHAnsi" w:hAnsiTheme="minorHAnsi"/>
          <w:szCs w:val="18"/>
        </w:rPr>
      </w:pPr>
      <w:r w:rsidRPr="00BB165A">
        <w:rPr>
          <w:rFonts w:asciiTheme="minorHAnsi" w:hAnsiTheme="minorHAnsi"/>
          <w:szCs w:val="18"/>
        </w:rPr>
        <w:t>Provide universities with additional data to benchmark their costs against others in the sector.</w:t>
      </w:r>
    </w:p>
    <w:p w14:paraId="7FFAE83E" w14:textId="12640E3A" w:rsidR="00101557" w:rsidRPr="00BB165A" w:rsidRDefault="00465255" w:rsidP="00776795">
      <w:r w:rsidRPr="00BB165A">
        <w:t xml:space="preserve">Maintaining consistency </w:t>
      </w:r>
      <w:r w:rsidR="00530D82" w:rsidRPr="00BB165A">
        <w:t>is</w:t>
      </w:r>
      <w:r w:rsidRPr="00BB165A">
        <w:t xml:space="preserve"> essential to support the comparability of costs over time, enabling a richer measurement and understanding of the</w:t>
      </w:r>
      <w:r w:rsidR="00101557" w:rsidRPr="00BB165A">
        <w:t xml:space="preserve"> year-to-year variability in ins</w:t>
      </w:r>
      <w:r w:rsidRPr="00BB165A">
        <w:t>titutions’ activities and costs.</w:t>
      </w:r>
      <w:r w:rsidR="00101557" w:rsidRPr="00BB165A">
        <w:t xml:space="preserve"> The imperative to retain consistency is pursued in the context of the learnings and refinements that conducting the exercise year after year generates. The practical challenges associated with implementing identified improvements while preserving comparability </w:t>
      </w:r>
      <w:r w:rsidR="00530D82" w:rsidRPr="00BB165A">
        <w:t>is an important trade</w:t>
      </w:r>
      <w:r w:rsidR="00B657ED" w:rsidRPr="00BB165A">
        <w:t xml:space="preserve"> off in this exercise, which is discussed in further detail in section 1.2 below.</w:t>
      </w:r>
    </w:p>
    <w:p w14:paraId="57AC890F" w14:textId="77777777" w:rsidR="00776795" w:rsidRPr="00BB165A" w:rsidRDefault="00B2761B" w:rsidP="00776795">
      <w:r w:rsidRPr="00BB165A">
        <w:t>More broadly, a</w:t>
      </w:r>
      <w:r w:rsidR="00776795" w:rsidRPr="00BB165A">
        <w:t xml:space="preserve"> number of principles have informed the process and methodology </w:t>
      </w:r>
      <w:r w:rsidRPr="00BB165A">
        <w:t xml:space="preserve">underpinning </w:t>
      </w:r>
      <w:r w:rsidR="00776795" w:rsidRPr="00BB165A">
        <w:t>the cost collection</w:t>
      </w:r>
      <w:r w:rsidRPr="00BB165A">
        <w:t xml:space="preserve">. The final approach sought to establish a dataset which, to the greatest extent possible, was: </w:t>
      </w:r>
    </w:p>
    <w:p w14:paraId="1112EC14" w14:textId="3E50784F" w:rsidR="00776795" w:rsidRPr="00BB165A" w:rsidRDefault="00776795" w:rsidP="007B09DB">
      <w:pPr>
        <w:pStyle w:val="ListNumber"/>
        <w:numPr>
          <w:ilvl w:val="0"/>
          <w:numId w:val="23"/>
        </w:numPr>
      </w:pPr>
      <w:r w:rsidRPr="00BB165A">
        <w:t>Reliable – such that a suitable level of assurance can be established regarding the underlying data</w:t>
      </w:r>
    </w:p>
    <w:p w14:paraId="1DF776C3" w14:textId="30244AB6" w:rsidR="00776795" w:rsidRPr="00BB165A" w:rsidRDefault="00776795" w:rsidP="007B09DB">
      <w:pPr>
        <w:pStyle w:val="ListNumber"/>
        <w:numPr>
          <w:ilvl w:val="0"/>
          <w:numId w:val="23"/>
        </w:numPr>
      </w:pPr>
      <w:r w:rsidRPr="00BB165A">
        <w:t>Comparable – across universities, given differences in university context, and over time</w:t>
      </w:r>
    </w:p>
    <w:p w14:paraId="3993D2DC" w14:textId="4A280048" w:rsidR="00776795" w:rsidRPr="00BB165A" w:rsidRDefault="00776795" w:rsidP="007B09DB">
      <w:pPr>
        <w:pStyle w:val="ListNumber"/>
        <w:numPr>
          <w:ilvl w:val="0"/>
          <w:numId w:val="23"/>
        </w:numPr>
      </w:pPr>
      <w:r w:rsidRPr="00BB165A">
        <w:t>Attributable – ensuring costs are captured only to the extent that they are incurred as a result of a defined and in-scope activity</w:t>
      </w:r>
    </w:p>
    <w:p w14:paraId="770D085A" w14:textId="77777777" w:rsidR="00776795" w:rsidRPr="00BB165A" w:rsidRDefault="00776795" w:rsidP="007B09DB">
      <w:pPr>
        <w:pStyle w:val="ListNumber"/>
        <w:numPr>
          <w:ilvl w:val="0"/>
          <w:numId w:val="23"/>
        </w:numPr>
      </w:pPr>
      <w:r w:rsidRPr="00BB165A">
        <w:t>Actual – in that the economic rather than the accounting measure of cost</w:t>
      </w:r>
      <w:r w:rsidR="00A370E5" w:rsidRPr="00BB165A">
        <w:rPr>
          <w:rStyle w:val="FootnoteReference"/>
        </w:rPr>
        <w:footnoteReference w:id="14"/>
      </w:r>
      <w:r w:rsidRPr="00BB165A">
        <w:t xml:space="preserve"> is of primary interest to the exercise. </w:t>
      </w:r>
    </w:p>
    <w:p w14:paraId="4A065B02" w14:textId="03271846" w:rsidR="00776795" w:rsidRPr="00BB165A" w:rsidRDefault="003B754B" w:rsidP="00776795">
      <w:pPr>
        <w:pStyle w:val="Heading2"/>
      </w:pPr>
      <w:bookmarkStart w:id="214" w:name="_Toc105776182"/>
      <w:r w:rsidRPr="00BB165A">
        <w:t>Changes to the exercise in 2022</w:t>
      </w:r>
      <w:bookmarkEnd w:id="214"/>
    </w:p>
    <w:p w14:paraId="6FA9F112" w14:textId="2659F4CB" w:rsidR="00314D05" w:rsidRPr="00BB165A" w:rsidRDefault="000C2C01" w:rsidP="001E0786">
      <w:bookmarkStart w:id="215" w:name="_Hlk101273712"/>
      <w:r w:rsidRPr="00BB165A">
        <w:t xml:space="preserve">A number of changes to the </w:t>
      </w:r>
      <w:r w:rsidR="00172A3B" w:rsidRPr="00BB165A">
        <w:t xml:space="preserve">process and template </w:t>
      </w:r>
      <w:r w:rsidR="00D738C6" w:rsidRPr="00BB165A">
        <w:t>for collecting data from universities have been implemented for the 2022 collectio</w:t>
      </w:r>
      <w:r w:rsidR="00451697" w:rsidRPr="00BB165A">
        <w:t xml:space="preserve">n. </w:t>
      </w:r>
      <w:r w:rsidR="00A544D7" w:rsidRPr="00BB165A">
        <w:t xml:space="preserve">The key changes, and their basis, are described in </w:t>
      </w:r>
      <w:r w:rsidR="00A544D7" w:rsidRPr="00BB165A">
        <w:fldChar w:fldCharType="begin"/>
      </w:r>
      <w:r w:rsidR="00A544D7" w:rsidRPr="00BB165A">
        <w:instrText xml:space="preserve"> REF _Ref534705652 \r \p \h  \* MERGEFORMAT </w:instrText>
      </w:r>
      <w:r w:rsidR="00A544D7" w:rsidRPr="00BB165A">
        <w:fldChar w:fldCharType="separate"/>
      </w:r>
      <w:r w:rsidR="00E83FB1">
        <w:t>Table 1.1 below</w:t>
      </w:r>
      <w:r w:rsidR="00A544D7" w:rsidRPr="00BB165A">
        <w:fldChar w:fldCharType="end"/>
      </w:r>
      <w:r w:rsidR="00A544D7" w:rsidRPr="00BB165A">
        <w:t>.</w:t>
      </w:r>
    </w:p>
    <w:p w14:paraId="4A12DA3A" w14:textId="0978514F" w:rsidR="001E0786" w:rsidRPr="00BB165A" w:rsidRDefault="000D5AF0" w:rsidP="000E5772">
      <w:r w:rsidRPr="00BB165A">
        <w:t xml:space="preserve">Australia’s higher education sector was affected by the closure of the international border </w:t>
      </w:r>
      <w:r w:rsidR="00050732" w:rsidRPr="00BB165A">
        <w:t xml:space="preserve">to all non-citizens and non-residents from 20 March 2020 to </w:t>
      </w:r>
      <w:r w:rsidR="00386978" w:rsidRPr="00BB165A">
        <w:t xml:space="preserve">21 February 2022, extended periods of lockdown and other restrictions introduced to limit the spread of COVID-19. </w:t>
      </w:r>
      <w:r w:rsidR="00836C30" w:rsidRPr="00BB165A">
        <w:t xml:space="preserve">This analysis seeks to </w:t>
      </w:r>
      <w:r w:rsidR="00E92BCE" w:rsidRPr="00BB165A">
        <w:t>understand the impact of COVID-19</w:t>
      </w:r>
      <w:r w:rsidR="001C73C9" w:rsidRPr="00BB165A">
        <w:t xml:space="preserve"> and </w:t>
      </w:r>
      <w:r w:rsidR="00A320CB">
        <w:t>university</w:t>
      </w:r>
      <w:r w:rsidR="00A320CB" w:rsidRPr="00BB165A">
        <w:t xml:space="preserve"> </w:t>
      </w:r>
      <w:r w:rsidR="001C73C9" w:rsidRPr="00BB165A">
        <w:t xml:space="preserve">responses to COVID-19 on the cost of teaching and scholarship in 2020. </w:t>
      </w:r>
    </w:p>
    <w:p w14:paraId="6995D4BE" w14:textId="6DE3E676" w:rsidR="001E0786" w:rsidRPr="00BB165A" w:rsidRDefault="00395267" w:rsidP="001E0786">
      <w:r w:rsidRPr="00BB165A">
        <w:t xml:space="preserve">Incremental changes have also been made to the </w:t>
      </w:r>
      <w:r w:rsidR="008F725D" w:rsidRPr="00BB165A">
        <w:t xml:space="preserve">Transparent </w:t>
      </w:r>
      <w:r w:rsidR="00800808" w:rsidRPr="00BB165A">
        <w:t>Costing Worksheet</w:t>
      </w:r>
      <w:r w:rsidR="00986C78" w:rsidRPr="00BB165A">
        <w:t xml:space="preserve">, Guidelines and </w:t>
      </w:r>
      <w:r w:rsidR="0013113B">
        <w:t xml:space="preserve">the </w:t>
      </w:r>
      <w:r w:rsidR="00986C78" w:rsidRPr="00BB165A">
        <w:t>process</w:t>
      </w:r>
      <w:r w:rsidR="004C2637" w:rsidRPr="00BB165A">
        <w:t xml:space="preserve"> for collecting data. T</w:t>
      </w:r>
      <w:r w:rsidR="001E0786" w:rsidRPr="00BB165A">
        <w:t xml:space="preserve">hese changes have sought to strike a balance between incorporating feedback from the sector to streamline and clarify the process, while maintaining year-on-year consistency. These changes were developed in collaboration with the sector (see Box 1.1 below on university engagement) and with the overarching aim of strengthening adherence to the four principles outlined immediately above. </w:t>
      </w:r>
    </w:p>
    <w:p w14:paraId="739FF35D" w14:textId="2D74B3B3" w:rsidR="006A39D8" w:rsidRPr="00BB165A" w:rsidRDefault="00776795" w:rsidP="00776795">
      <w:r w:rsidRPr="00BB165A">
        <w:t xml:space="preserve">Consultation and feedback from a number of universities indicated that the </w:t>
      </w:r>
      <w:r w:rsidR="000800B2" w:rsidRPr="00BB165A">
        <w:t xml:space="preserve">consistency of the </w:t>
      </w:r>
      <w:r w:rsidRPr="00BB165A">
        <w:t xml:space="preserve">template </w:t>
      </w:r>
      <w:r w:rsidR="000800B2" w:rsidRPr="00BB165A">
        <w:t xml:space="preserve">structure greatly eased the workload and improved usability. </w:t>
      </w:r>
      <w:r w:rsidR="00496F96" w:rsidRPr="00BB165A">
        <w:t xml:space="preserve">The main data collection template is provided in Appendix A and the accompanying data collection </w:t>
      </w:r>
      <w:r w:rsidR="007A2756" w:rsidRPr="00BB165A">
        <w:t>Guidelines</w:t>
      </w:r>
      <w:r w:rsidR="00496F96" w:rsidRPr="00BB165A">
        <w:t xml:space="preserve"> are provided in Appendix B of this report. </w:t>
      </w:r>
    </w:p>
    <w:bookmarkEnd w:id="215"/>
    <w:p w14:paraId="5A483BB5" w14:textId="77777777" w:rsidR="00493F0C" w:rsidRPr="00BB165A" w:rsidRDefault="00493F0C">
      <w:pPr>
        <w:spacing w:after="0"/>
      </w:pPr>
      <w:r w:rsidRPr="00BB165A">
        <w:br w:type="page"/>
      </w:r>
    </w:p>
    <w:p w14:paraId="20277196" w14:textId="4EB59E8F" w:rsidR="00776795" w:rsidRPr="00BB165A" w:rsidRDefault="00776795" w:rsidP="00776795">
      <w:pPr>
        <w:pStyle w:val="CaptionTable"/>
      </w:pPr>
      <w:bookmarkStart w:id="216" w:name="_Toc534713848"/>
      <w:bookmarkStart w:id="217" w:name="_Toc534713849"/>
      <w:bookmarkStart w:id="218" w:name="_Toc534713850"/>
      <w:bookmarkStart w:id="219" w:name="_Toc534713851"/>
      <w:bookmarkStart w:id="220" w:name="_Toc534713852"/>
      <w:bookmarkStart w:id="221" w:name="_Toc534713853"/>
      <w:bookmarkStart w:id="222" w:name="_Toc534713854"/>
      <w:bookmarkStart w:id="223" w:name="_Toc534713855"/>
      <w:bookmarkStart w:id="224" w:name="_Toc534713856"/>
      <w:bookmarkStart w:id="225" w:name="_Toc534713857"/>
      <w:bookmarkStart w:id="226" w:name="_Toc534713858"/>
      <w:bookmarkStart w:id="227" w:name="_Toc534713859"/>
      <w:bookmarkStart w:id="228" w:name="_Ref534705638"/>
      <w:bookmarkStart w:id="229" w:name="_Ref534705652"/>
      <w:bookmarkStart w:id="230" w:name="_Toc20245923"/>
      <w:bookmarkStart w:id="231" w:name="_Toc105776554"/>
      <w:bookmarkEnd w:id="216"/>
      <w:bookmarkEnd w:id="217"/>
      <w:bookmarkEnd w:id="218"/>
      <w:bookmarkEnd w:id="219"/>
      <w:bookmarkEnd w:id="220"/>
      <w:bookmarkEnd w:id="221"/>
      <w:bookmarkEnd w:id="222"/>
      <w:bookmarkEnd w:id="223"/>
      <w:bookmarkEnd w:id="224"/>
      <w:bookmarkEnd w:id="225"/>
      <w:bookmarkEnd w:id="226"/>
      <w:bookmarkEnd w:id="227"/>
      <w:r w:rsidRPr="00BB165A">
        <w:t>: Key changes to the template for 20</w:t>
      </w:r>
      <w:bookmarkEnd w:id="228"/>
      <w:bookmarkEnd w:id="229"/>
      <w:bookmarkEnd w:id="230"/>
      <w:r w:rsidR="00656DB5" w:rsidRPr="00BB165A">
        <w:t>22</w:t>
      </w:r>
      <w:bookmarkEnd w:id="231"/>
      <w:r w:rsidRPr="00BB165A">
        <w:t xml:space="preserve"> </w:t>
      </w:r>
    </w:p>
    <w:tbl>
      <w:tblPr>
        <w:tblStyle w:val="Deloittetable"/>
        <w:tblW w:w="8364" w:type="dxa"/>
        <w:tblLook w:val="04A0" w:firstRow="1" w:lastRow="0" w:firstColumn="1" w:lastColumn="0" w:noHBand="0" w:noVBand="1"/>
      </w:tblPr>
      <w:tblGrid>
        <w:gridCol w:w="2552"/>
        <w:gridCol w:w="5812"/>
      </w:tblGrid>
      <w:tr w:rsidR="00776795" w:rsidRPr="008B3BBC" w14:paraId="75FACF11" w14:textId="77777777" w:rsidTr="0011747A">
        <w:trPr>
          <w:cnfStyle w:val="100000000000" w:firstRow="1" w:lastRow="0" w:firstColumn="0" w:lastColumn="0" w:oddVBand="0" w:evenVBand="0" w:oddHBand="0" w:evenHBand="0" w:firstRowFirstColumn="0" w:firstRowLastColumn="0" w:lastRowFirstColumn="0" w:lastRowLastColumn="0"/>
        </w:trPr>
        <w:tc>
          <w:tcPr>
            <w:tcW w:w="2552" w:type="dxa"/>
          </w:tcPr>
          <w:p w14:paraId="243D5160" w14:textId="03EC5215" w:rsidR="00776795" w:rsidRPr="00BB165A" w:rsidRDefault="0027500A" w:rsidP="0027500A">
            <w:pPr>
              <w:ind w:right="140"/>
              <w:rPr>
                <w:b/>
                <w:sz w:val="16"/>
                <w:szCs w:val="16"/>
              </w:rPr>
            </w:pPr>
            <w:r w:rsidRPr="00BB165A">
              <w:rPr>
                <w:b/>
                <w:sz w:val="16"/>
                <w:szCs w:val="16"/>
              </w:rPr>
              <w:t xml:space="preserve">Including an optional </w:t>
            </w:r>
            <w:r w:rsidR="009278AE" w:rsidRPr="00BB165A">
              <w:rPr>
                <w:b/>
                <w:sz w:val="16"/>
                <w:szCs w:val="16"/>
              </w:rPr>
              <w:t>COVID-19 measures adjustment</w:t>
            </w:r>
            <w:r w:rsidR="00D84AC7" w:rsidRPr="00BB165A">
              <w:rPr>
                <w:b/>
                <w:sz w:val="16"/>
                <w:szCs w:val="16"/>
              </w:rPr>
              <w:t xml:space="preserve"> </w:t>
            </w:r>
            <w:r w:rsidR="00776795" w:rsidRPr="00BB165A">
              <w:rPr>
                <w:b/>
                <w:sz w:val="16"/>
                <w:szCs w:val="16"/>
              </w:rPr>
              <w:t xml:space="preserve"> </w:t>
            </w:r>
          </w:p>
        </w:tc>
        <w:tc>
          <w:tcPr>
            <w:tcW w:w="5812" w:type="dxa"/>
          </w:tcPr>
          <w:p w14:paraId="0397BD7D" w14:textId="1C159279" w:rsidR="004D4F20" w:rsidRPr="00BB165A" w:rsidRDefault="009278AE" w:rsidP="00902646">
            <w:pPr>
              <w:rPr>
                <w:sz w:val="16"/>
                <w:szCs w:val="16"/>
              </w:rPr>
            </w:pPr>
            <w:r w:rsidRPr="00BB165A">
              <w:rPr>
                <w:sz w:val="16"/>
                <w:szCs w:val="16"/>
              </w:rPr>
              <w:t xml:space="preserve">To allow for additional analysis of the impact of COVID-19 on teaching and scholarship costs, Deloitte has included an optional tab in the Transparent Costing Worksheet to capture the financial impact of university responses to COVID-19. </w:t>
            </w:r>
          </w:p>
          <w:p w14:paraId="56DF7087" w14:textId="6CCA00BE" w:rsidR="004D4F20" w:rsidRPr="00BB165A" w:rsidRDefault="00E636CC" w:rsidP="00902646">
            <w:pPr>
              <w:rPr>
                <w:sz w:val="16"/>
                <w:szCs w:val="16"/>
              </w:rPr>
            </w:pPr>
            <w:r w:rsidRPr="00BB165A">
              <w:rPr>
                <w:sz w:val="16"/>
                <w:szCs w:val="16"/>
              </w:rPr>
              <w:t>While a</w:t>
            </w:r>
            <w:r w:rsidR="004D4F20" w:rsidRPr="00BB165A">
              <w:rPr>
                <w:sz w:val="16"/>
                <w:szCs w:val="16"/>
              </w:rPr>
              <w:t xml:space="preserve">ll actual costs for 2020 </w:t>
            </w:r>
            <w:r w:rsidR="00D306F1">
              <w:rPr>
                <w:sz w:val="16"/>
                <w:szCs w:val="16"/>
              </w:rPr>
              <w:t>were</w:t>
            </w:r>
            <w:r w:rsidR="00396080">
              <w:rPr>
                <w:sz w:val="16"/>
                <w:szCs w:val="16"/>
              </w:rPr>
              <w:t xml:space="preserve"> to</w:t>
            </w:r>
            <w:r w:rsidR="00396080" w:rsidRPr="00BB165A">
              <w:rPr>
                <w:sz w:val="16"/>
                <w:szCs w:val="16"/>
              </w:rPr>
              <w:t xml:space="preserve"> </w:t>
            </w:r>
            <w:r w:rsidR="004D4F20" w:rsidRPr="00BB165A">
              <w:rPr>
                <w:sz w:val="16"/>
                <w:szCs w:val="16"/>
              </w:rPr>
              <w:t>continue to be included in the main tab of the worksheet</w:t>
            </w:r>
            <w:r w:rsidRPr="00BB165A">
              <w:rPr>
                <w:sz w:val="16"/>
                <w:szCs w:val="16"/>
              </w:rPr>
              <w:t xml:space="preserve">, universities </w:t>
            </w:r>
            <w:r w:rsidR="00D306F1">
              <w:rPr>
                <w:sz w:val="16"/>
                <w:szCs w:val="16"/>
              </w:rPr>
              <w:t>could</w:t>
            </w:r>
            <w:r w:rsidR="00D306F1" w:rsidRPr="00BB165A">
              <w:rPr>
                <w:sz w:val="16"/>
                <w:szCs w:val="16"/>
              </w:rPr>
              <w:t xml:space="preserve"> </w:t>
            </w:r>
            <w:r w:rsidRPr="00BB165A">
              <w:rPr>
                <w:sz w:val="16"/>
                <w:szCs w:val="16"/>
              </w:rPr>
              <w:t xml:space="preserve">choose to populate this optional tab to address the </w:t>
            </w:r>
            <w:r w:rsidR="004D4F20" w:rsidRPr="00BB165A">
              <w:rPr>
                <w:sz w:val="16"/>
                <w:szCs w:val="16"/>
              </w:rPr>
              <w:t xml:space="preserve">specific components of costs (or revenue) attributable to COVID-19. </w:t>
            </w:r>
          </w:p>
          <w:p w14:paraId="21B69EE7" w14:textId="24D81CEC" w:rsidR="00776795" w:rsidRPr="00BB165A" w:rsidRDefault="004D4F20" w:rsidP="00902646">
            <w:pPr>
              <w:rPr>
                <w:sz w:val="16"/>
                <w:szCs w:val="16"/>
              </w:rPr>
            </w:pPr>
            <w:r w:rsidRPr="00BB165A">
              <w:rPr>
                <w:sz w:val="16"/>
                <w:szCs w:val="16"/>
              </w:rPr>
              <w:t>The measures in the COVID-19 tab are split into three categories</w:t>
            </w:r>
            <w:r w:rsidR="00656DB5" w:rsidRPr="00BB165A">
              <w:rPr>
                <w:sz w:val="16"/>
                <w:szCs w:val="16"/>
              </w:rPr>
              <w:t>. These categories include</w:t>
            </w:r>
            <w:r w:rsidR="004C2F9D" w:rsidRPr="00BB165A">
              <w:rPr>
                <w:sz w:val="16"/>
                <w:szCs w:val="16"/>
              </w:rPr>
              <w:t xml:space="preserve"> </w:t>
            </w:r>
            <w:r w:rsidRPr="00BB165A">
              <w:rPr>
                <w:sz w:val="16"/>
                <w:szCs w:val="16"/>
              </w:rPr>
              <w:t>financial incentives and support, staff costs and non-staff costs. Within each of these three categories are specific line items</w:t>
            </w:r>
            <w:r w:rsidR="009463D7" w:rsidRPr="00BB165A">
              <w:rPr>
                <w:sz w:val="16"/>
                <w:szCs w:val="16"/>
              </w:rPr>
              <w:t xml:space="preserve"> </w:t>
            </w:r>
            <w:r w:rsidR="006D2C92" w:rsidRPr="00BB165A">
              <w:rPr>
                <w:sz w:val="16"/>
                <w:szCs w:val="16"/>
              </w:rPr>
              <w:t>designed to identify the different potential areas where COVID-19 has impacted university operations.</w:t>
            </w:r>
          </w:p>
        </w:tc>
      </w:tr>
      <w:tr w:rsidR="00A033F5" w:rsidRPr="008B3BBC" w14:paraId="3B67A400" w14:textId="77777777" w:rsidTr="0011747A">
        <w:tc>
          <w:tcPr>
            <w:tcW w:w="2552" w:type="dxa"/>
          </w:tcPr>
          <w:p w14:paraId="66428400" w14:textId="07426013" w:rsidR="00A033F5" w:rsidRPr="00BB165A" w:rsidDel="004D4F20" w:rsidRDefault="00DD7048" w:rsidP="0027500A">
            <w:pPr>
              <w:ind w:right="140"/>
              <w:rPr>
                <w:b/>
                <w:sz w:val="16"/>
                <w:szCs w:val="16"/>
              </w:rPr>
            </w:pPr>
            <w:r w:rsidRPr="00BB165A">
              <w:rPr>
                <w:b/>
                <w:sz w:val="16"/>
                <w:szCs w:val="16"/>
              </w:rPr>
              <w:t xml:space="preserve">Providing opportunities to </w:t>
            </w:r>
            <w:r w:rsidR="00C531C4" w:rsidRPr="00BB165A">
              <w:rPr>
                <w:b/>
                <w:sz w:val="16"/>
                <w:szCs w:val="16"/>
              </w:rPr>
              <w:t xml:space="preserve">qualitatively describe </w:t>
            </w:r>
            <w:r w:rsidR="002E1936" w:rsidRPr="00BB165A">
              <w:rPr>
                <w:b/>
                <w:sz w:val="16"/>
                <w:szCs w:val="16"/>
              </w:rPr>
              <w:t xml:space="preserve">the impact of COVID-19 </w:t>
            </w:r>
          </w:p>
        </w:tc>
        <w:tc>
          <w:tcPr>
            <w:tcW w:w="5812" w:type="dxa"/>
          </w:tcPr>
          <w:p w14:paraId="20CEDFAD" w14:textId="174F8994" w:rsidR="00A033F5" w:rsidRPr="00BB165A" w:rsidRDefault="002E1936" w:rsidP="0027500A">
            <w:pPr>
              <w:rPr>
                <w:sz w:val="16"/>
                <w:szCs w:val="16"/>
              </w:rPr>
            </w:pPr>
            <w:r w:rsidRPr="00BB165A">
              <w:rPr>
                <w:sz w:val="16"/>
                <w:szCs w:val="16"/>
              </w:rPr>
              <w:t>In addition to the inclusion of an option</w:t>
            </w:r>
            <w:r w:rsidR="004C2F9D" w:rsidRPr="00BB165A">
              <w:rPr>
                <w:sz w:val="16"/>
                <w:szCs w:val="16"/>
              </w:rPr>
              <w:t>al</w:t>
            </w:r>
            <w:r w:rsidRPr="00BB165A">
              <w:rPr>
                <w:sz w:val="16"/>
                <w:szCs w:val="16"/>
              </w:rPr>
              <w:t xml:space="preserve"> COVID-19 measures tab, </w:t>
            </w:r>
            <w:r w:rsidR="00134745" w:rsidRPr="00BB165A">
              <w:rPr>
                <w:sz w:val="16"/>
                <w:szCs w:val="16"/>
              </w:rPr>
              <w:t xml:space="preserve">Universities had the option to qualitatively describe how COVID-19 may have affected teaching and scholarship costs in the </w:t>
            </w:r>
            <w:r w:rsidR="00696857" w:rsidRPr="00BB165A">
              <w:rPr>
                <w:sz w:val="16"/>
                <w:szCs w:val="16"/>
              </w:rPr>
              <w:t>S</w:t>
            </w:r>
            <w:r w:rsidR="00134745" w:rsidRPr="00BB165A">
              <w:rPr>
                <w:sz w:val="16"/>
                <w:szCs w:val="16"/>
              </w:rPr>
              <w:t xml:space="preserve">upporting </w:t>
            </w:r>
            <w:r w:rsidR="00696857" w:rsidRPr="00BB165A">
              <w:rPr>
                <w:sz w:val="16"/>
                <w:szCs w:val="16"/>
              </w:rPr>
              <w:t>S</w:t>
            </w:r>
            <w:r w:rsidR="00134745" w:rsidRPr="00BB165A">
              <w:rPr>
                <w:sz w:val="16"/>
                <w:szCs w:val="16"/>
              </w:rPr>
              <w:t xml:space="preserve">tatements. </w:t>
            </w:r>
            <w:r w:rsidR="00D12715" w:rsidRPr="00BB165A">
              <w:rPr>
                <w:sz w:val="16"/>
                <w:szCs w:val="16"/>
              </w:rPr>
              <w:t xml:space="preserve">Universities also had the opportunity to detail the impact of COVID-19 </w:t>
            </w:r>
            <w:r w:rsidR="00D26568" w:rsidRPr="00BB165A">
              <w:rPr>
                <w:sz w:val="16"/>
                <w:szCs w:val="16"/>
              </w:rPr>
              <w:t xml:space="preserve">on teaching and scholarship costs during one-on-one consultations with Deloitte. </w:t>
            </w:r>
          </w:p>
        </w:tc>
      </w:tr>
      <w:tr w:rsidR="0027500A" w:rsidRPr="008B3BBC" w14:paraId="79D17863" w14:textId="77777777" w:rsidTr="0011747A">
        <w:tc>
          <w:tcPr>
            <w:tcW w:w="2552" w:type="dxa"/>
          </w:tcPr>
          <w:p w14:paraId="31E6C67F" w14:textId="71F34CD8" w:rsidR="0027500A" w:rsidRPr="00BB165A" w:rsidRDefault="004D4F20" w:rsidP="0027500A">
            <w:pPr>
              <w:ind w:right="140"/>
              <w:rPr>
                <w:b/>
                <w:sz w:val="16"/>
                <w:szCs w:val="16"/>
              </w:rPr>
            </w:pPr>
            <w:r w:rsidRPr="00BB165A">
              <w:rPr>
                <w:b/>
                <w:sz w:val="16"/>
                <w:szCs w:val="16"/>
              </w:rPr>
              <w:t>Inclusion of undergraduate certificates</w:t>
            </w:r>
            <w:r w:rsidR="006D2C92" w:rsidRPr="00BB165A">
              <w:rPr>
                <w:b/>
                <w:sz w:val="16"/>
                <w:szCs w:val="16"/>
              </w:rPr>
              <w:t xml:space="preserve"> </w:t>
            </w:r>
            <w:r w:rsidR="00620BD3" w:rsidRPr="00BB165A">
              <w:rPr>
                <w:b/>
                <w:sz w:val="16"/>
                <w:szCs w:val="16"/>
              </w:rPr>
              <w:t xml:space="preserve">as in scope for the 2022 </w:t>
            </w:r>
            <w:r w:rsidR="006D2C92" w:rsidRPr="00BB165A">
              <w:rPr>
                <w:b/>
                <w:sz w:val="16"/>
                <w:szCs w:val="16"/>
              </w:rPr>
              <w:t>data collection</w:t>
            </w:r>
            <w:r w:rsidRPr="00BB165A">
              <w:rPr>
                <w:b/>
                <w:sz w:val="16"/>
                <w:szCs w:val="16"/>
              </w:rPr>
              <w:t xml:space="preserve"> </w:t>
            </w:r>
            <w:r w:rsidR="00620BD3" w:rsidRPr="00BB165A">
              <w:rPr>
                <w:b/>
                <w:sz w:val="16"/>
                <w:szCs w:val="16"/>
              </w:rPr>
              <w:t>exercise</w:t>
            </w:r>
          </w:p>
        </w:tc>
        <w:tc>
          <w:tcPr>
            <w:tcW w:w="5812" w:type="dxa"/>
          </w:tcPr>
          <w:p w14:paraId="7D59D1C5" w14:textId="72B18135" w:rsidR="0027500A" w:rsidRPr="00BB165A" w:rsidRDefault="008666F9" w:rsidP="0027500A">
            <w:pPr>
              <w:rPr>
                <w:sz w:val="16"/>
                <w:szCs w:val="16"/>
              </w:rPr>
            </w:pPr>
            <w:r w:rsidRPr="00BB165A">
              <w:rPr>
                <w:sz w:val="16"/>
                <w:szCs w:val="16"/>
              </w:rPr>
              <w:t>Students enrolled in Undergraduate Certificate programs are included as in-scope EFTSL in 2020</w:t>
            </w:r>
            <w:r w:rsidR="001F4491" w:rsidRPr="00BB165A">
              <w:rPr>
                <w:sz w:val="16"/>
                <w:szCs w:val="16"/>
              </w:rPr>
              <w:t xml:space="preserve">. </w:t>
            </w:r>
            <w:r w:rsidR="004B31B0" w:rsidRPr="00BB165A">
              <w:rPr>
                <w:sz w:val="16"/>
                <w:szCs w:val="16"/>
              </w:rPr>
              <w:t xml:space="preserve">Students enrolled in </w:t>
            </w:r>
            <w:r w:rsidR="00B43784" w:rsidRPr="00BB165A">
              <w:rPr>
                <w:sz w:val="16"/>
                <w:szCs w:val="16"/>
              </w:rPr>
              <w:t>Undergraduate</w:t>
            </w:r>
            <w:r w:rsidR="004B31B0" w:rsidRPr="00BB165A">
              <w:rPr>
                <w:sz w:val="16"/>
                <w:szCs w:val="16"/>
              </w:rPr>
              <w:t xml:space="preserve"> Certificates are captured as part of the </w:t>
            </w:r>
            <w:r w:rsidR="00170588" w:rsidRPr="00BB165A">
              <w:rPr>
                <w:sz w:val="16"/>
                <w:szCs w:val="16"/>
              </w:rPr>
              <w:t>sub-bachelor</w:t>
            </w:r>
            <w:r w:rsidR="004B31B0" w:rsidRPr="00BB165A">
              <w:rPr>
                <w:sz w:val="16"/>
                <w:szCs w:val="16"/>
              </w:rPr>
              <w:t xml:space="preserve"> </w:t>
            </w:r>
            <w:r w:rsidR="00B43784" w:rsidRPr="00BB165A">
              <w:rPr>
                <w:sz w:val="16"/>
                <w:szCs w:val="16"/>
              </w:rPr>
              <w:t xml:space="preserve">level of education. </w:t>
            </w:r>
          </w:p>
        </w:tc>
      </w:tr>
      <w:tr w:rsidR="00A05B25" w:rsidRPr="008B3BBC" w14:paraId="7594780A" w14:textId="77777777" w:rsidTr="0011747A">
        <w:tc>
          <w:tcPr>
            <w:tcW w:w="2552" w:type="dxa"/>
          </w:tcPr>
          <w:p w14:paraId="7AEF3AA4" w14:textId="2635EE7D" w:rsidR="00A05B25" w:rsidRPr="00BB165A" w:rsidRDefault="00067F4A" w:rsidP="0027500A">
            <w:pPr>
              <w:ind w:right="140"/>
              <w:rPr>
                <w:b/>
                <w:sz w:val="16"/>
                <w:szCs w:val="16"/>
              </w:rPr>
            </w:pPr>
            <w:r w:rsidRPr="00BB165A">
              <w:rPr>
                <w:b/>
                <w:sz w:val="16"/>
                <w:szCs w:val="16"/>
              </w:rPr>
              <w:t xml:space="preserve">Improving </w:t>
            </w:r>
            <w:r w:rsidR="00DE61F2" w:rsidRPr="00BB165A">
              <w:rPr>
                <w:b/>
                <w:sz w:val="16"/>
                <w:szCs w:val="16"/>
              </w:rPr>
              <w:t>usability of the template</w:t>
            </w:r>
          </w:p>
        </w:tc>
        <w:tc>
          <w:tcPr>
            <w:tcW w:w="5812" w:type="dxa"/>
          </w:tcPr>
          <w:p w14:paraId="46A9A7BA" w14:textId="5F4D915D" w:rsidR="00A05B25" w:rsidRPr="00BB165A" w:rsidRDefault="00DE61F2" w:rsidP="0027500A">
            <w:pPr>
              <w:rPr>
                <w:sz w:val="16"/>
                <w:szCs w:val="16"/>
              </w:rPr>
            </w:pPr>
            <w:r w:rsidRPr="00BB165A">
              <w:rPr>
                <w:sz w:val="16"/>
                <w:szCs w:val="16"/>
              </w:rPr>
              <w:t xml:space="preserve">This included </w:t>
            </w:r>
            <w:r w:rsidR="0051254E" w:rsidRPr="00BB165A">
              <w:rPr>
                <w:sz w:val="16"/>
                <w:szCs w:val="16"/>
              </w:rPr>
              <w:t xml:space="preserve">providing greater clarity in labelling of </w:t>
            </w:r>
            <w:r w:rsidR="0013560E" w:rsidRPr="00BB165A">
              <w:rPr>
                <w:sz w:val="16"/>
                <w:szCs w:val="16"/>
              </w:rPr>
              <w:t>optional in-kind costs.</w:t>
            </w:r>
            <w:r w:rsidRPr="00BB165A">
              <w:rPr>
                <w:sz w:val="16"/>
                <w:szCs w:val="16"/>
              </w:rPr>
              <w:t xml:space="preserve"> </w:t>
            </w:r>
          </w:p>
        </w:tc>
      </w:tr>
    </w:tbl>
    <w:p w14:paraId="2E8F3257" w14:textId="77777777" w:rsidR="00776795" w:rsidRPr="00BB165A" w:rsidRDefault="00776795" w:rsidP="00776795"/>
    <w:tbl>
      <w:tblPr>
        <w:tblStyle w:val="TableGrid"/>
        <w:tblW w:w="0" w:type="auto"/>
        <w:shd w:val="clear" w:color="auto" w:fill="E7E6E6" w:themeFill="background2"/>
        <w:tblLook w:val="04A0" w:firstRow="1" w:lastRow="0" w:firstColumn="1" w:lastColumn="0" w:noHBand="0" w:noVBand="1"/>
      </w:tblPr>
      <w:tblGrid>
        <w:gridCol w:w="7513"/>
      </w:tblGrid>
      <w:tr w:rsidR="00776795" w:rsidRPr="008B3BBC" w14:paraId="0A4872D0" w14:textId="77777777" w:rsidTr="0011747A">
        <w:trPr>
          <w:cnfStyle w:val="100000000000" w:firstRow="1" w:lastRow="0" w:firstColumn="0" w:lastColumn="0" w:oddVBand="0" w:evenVBand="0" w:oddHBand="0" w:evenHBand="0" w:firstRowFirstColumn="0" w:firstRowLastColumn="0" w:lastRowFirstColumn="0" w:lastRowLastColumn="0"/>
        </w:trPr>
        <w:tc>
          <w:tcPr>
            <w:tcW w:w="7513" w:type="dxa"/>
            <w:shd w:val="clear" w:color="auto" w:fill="E7E6E6" w:themeFill="background2"/>
          </w:tcPr>
          <w:p w14:paraId="468AF71E" w14:textId="77777777" w:rsidR="00776795" w:rsidRPr="00BB165A" w:rsidRDefault="00776795" w:rsidP="00776795">
            <w:pPr>
              <w:ind w:left="142"/>
              <w:rPr>
                <w:b/>
                <w:sz w:val="16"/>
              </w:rPr>
            </w:pPr>
            <w:r w:rsidRPr="00BB165A">
              <w:rPr>
                <w:b/>
                <w:sz w:val="16"/>
              </w:rPr>
              <w:t xml:space="preserve">Box 1.1: University sector engagement </w:t>
            </w:r>
          </w:p>
          <w:p w14:paraId="5C3706A0" w14:textId="7D554A9C" w:rsidR="00776795" w:rsidRPr="00BB165A" w:rsidRDefault="00776795" w:rsidP="00776795">
            <w:pPr>
              <w:ind w:left="142"/>
              <w:rPr>
                <w:sz w:val="16"/>
              </w:rPr>
            </w:pPr>
            <w:r w:rsidRPr="00BB165A">
              <w:rPr>
                <w:sz w:val="16"/>
              </w:rPr>
              <w:t xml:space="preserve">The </w:t>
            </w:r>
            <w:r w:rsidR="00AD3D66" w:rsidRPr="00BB165A">
              <w:rPr>
                <w:sz w:val="16"/>
              </w:rPr>
              <w:t xml:space="preserve">development of the </w:t>
            </w:r>
            <w:r w:rsidR="00AA1118" w:rsidRPr="00BB165A">
              <w:rPr>
                <w:sz w:val="16"/>
              </w:rPr>
              <w:t xml:space="preserve">TCW </w:t>
            </w:r>
            <w:r w:rsidR="00AD3D66" w:rsidRPr="00BB165A">
              <w:rPr>
                <w:sz w:val="16"/>
              </w:rPr>
              <w:t xml:space="preserve">and associated data collection </w:t>
            </w:r>
            <w:r w:rsidR="007A2756" w:rsidRPr="00BB165A">
              <w:rPr>
                <w:sz w:val="16"/>
              </w:rPr>
              <w:t>Guidelines</w:t>
            </w:r>
            <w:r w:rsidRPr="00BB165A">
              <w:rPr>
                <w:sz w:val="16"/>
              </w:rPr>
              <w:t xml:space="preserve"> for this exercise involved significant engagement and collaboration with the sector, including key university stakeholders and the peak body Universities Australia (UA), as well as the Department.</w:t>
            </w:r>
          </w:p>
          <w:p w14:paraId="460601F7" w14:textId="72EEA0BE" w:rsidR="00776795" w:rsidRPr="00BB165A" w:rsidRDefault="00776795" w:rsidP="002960C6">
            <w:pPr>
              <w:ind w:left="142"/>
              <w:rPr>
                <w:sz w:val="16"/>
              </w:rPr>
            </w:pPr>
            <w:r w:rsidRPr="00BB165A">
              <w:rPr>
                <w:sz w:val="16"/>
              </w:rPr>
              <w:t xml:space="preserve">Alongside ongoing communications, this sector engagement included a UA </w:t>
            </w:r>
            <w:r w:rsidR="002960C6" w:rsidRPr="00BB165A">
              <w:rPr>
                <w:sz w:val="16"/>
              </w:rPr>
              <w:t xml:space="preserve">Reference Group </w:t>
            </w:r>
            <w:r w:rsidRPr="00BB165A">
              <w:rPr>
                <w:sz w:val="16"/>
              </w:rPr>
              <w:t xml:space="preserve">(consisting of university representatives, representatives from UA, the Department, and Deloitte Access Economics), a </w:t>
            </w:r>
            <w:r w:rsidR="002960C6" w:rsidRPr="00BB165A">
              <w:rPr>
                <w:sz w:val="16"/>
              </w:rPr>
              <w:t>T</w:t>
            </w:r>
            <w:r w:rsidRPr="00BB165A">
              <w:rPr>
                <w:sz w:val="16"/>
              </w:rPr>
              <w:t xml:space="preserve">echnical </w:t>
            </w:r>
            <w:r w:rsidR="002960C6" w:rsidRPr="00BB165A">
              <w:rPr>
                <w:sz w:val="16"/>
              </w:rPr>
              <w:t>Working Group</w:t>
            </w:r>
            <w:r w:rsidRPr="00BB165A">
              <w:rPr>
                <w:sz w:val="16"/>
              </w:rPr>
              <w:t xml:space="preserve">, and a </w:t>
            </w:r>
            <w:r w:rsidR="000E1B85" w:rsidRPr="00BB165A">
              <w:rPr>
                <w:sz w:val="16"/>
              </w:rPr>
              <w:t xml:space="preserve">forum to introduce new universities </w:t>
            </w:r>
            <w:r w:rsidRPr="00BB165A">
              <w:rPr>
                <w:sz w:val="16"/>
              </w:rPr>
              <w:t xml:space="preserve">to this exercise. </w:t>
            </w:r>
            <w:r w:rsidR="002960C6" w:rsidRPr="00BB165A">
              <w:rPr>
                <w:sz w:val="16"/>
              </w:rPr>
              <w:t>The Technical Working Group provided a</w:t>
            </w:r>
            <w:r w:rsidR="00673FF2">
              <w:rPr>
                <w:sz w:val="16"/>
              </w:rPr>
              <w:t>n avenue</w:t>
            </w:r>
            <w:r w:rsidR="002960C6" w:rsidRPr="00BB165A">
              <w:rPr>
                <w:sz w:val="16"/>
              </w:rPr>
              <w:t xml:space="preserve"> for discussing and resolving issues associated with the definition, specification and measurement of certain activities and costs; while the Reference Group served as the ultimate forum for strategic decision making. </w:t>
            </w:r>
          </w:p>
          <w:p w14:paraId="6F863266" w14:textId="156B788E" w:rsidR="00AD3D66" w:rsidRPr="00BB165A" w:rsidRDefault="00AD3D66" w:rsidP="002960C6">
            <w:pPr>
              <w:ind w:left="142"/>
              <w:rPr>
                <w:sz w:val="16"/>
              </w:rPr>
            </w:pPr>
            <w:r w:rsidRPr="00BB165A">
              <w:rPr>
                <w:sz w:val="16"/>
              </w:rPr>
              <w:t xml:space="preserve">All universities were issued with a detailed set of data collection </w:t>
            </w:r>
            <w:r w:rsidR="007A2756" w:rsidRPr="00BB165A">
              <w:rPr>
                <w:sz w:val="16"/>
              </w:rPr>
              <w:t>Guidelines</w:t>
            </w:r>
            <w:r w:rsidRPr="00BB165A">
              <w:rPr>
                <w:sz w:val="16"/>
              </w:rPr>
              <w:t xml:space="preserve"> to ensure that the Transparent Costing Worksheet was filled out consistently. Consultations were also held with all universities to ensure a common approach was undertaken to capturing the costs of teaching and scholarship across the sector.</w:t>
            </w:r>
          </w:p>
        </w:tc>
      </w:tr>
    </w:tbl>
    <w:p w14:paraId="5AF2FFB8" w14:textId="75607080" w:rsidR="0098636B" w:rsidRPr="00BB165A" w:rsidRDefault="00776795" w:rsidP="00776795">
      <w:pPr>
        <w:pStyle w:val="Heading2"/>
      </w:pPr>
      <w:bookmarkStart w:id="232" w:name="_Toc20246004"/>
      <w:bookmarkStart w:id="233" w:name="_Toc105776183"/>
      <w:r w:rsidRPr="00BB165A">
        <w:t>University sampl</w:t>
      </w:r>
      <w:bookmarkEnd w:id="232"/>
      <w:r w:rsidR="003A3902" w:rsidRPr="00BB165A">
        <w:t>e</w:t>
      </w:r>
      <w:bookmarkEnd w:id="233"/>
      <w:r w:rsidR="003A3902" w:rsidRPr="00BB165A">
        <w:t xml:space="preserve"> </w:t>
      </w:r>
    </w:p>
    <w:p w14:paraId="30D0B558" w14:textId="61E55970" w:rsidR="00647A99" w:rsidRPr="00BB165A" w:rsidRDefault="00F92746" w:rsidP="0026113C">
      <w:r w:rsidRPr="00DB27E1">
        <w:t>T</w:t>
      </w:r>
      <w:r w:rsidR="009314D1" w:rsidRPr="00D02C5F">
        <w:t xml:space="preserve">he 2022 study now includes </w:t>
      </w:r>
      <w:r w:rsidR="00176AD8" w:rsidRPr="00C52836">
        <w:t xml:space="preserve">all 37 Table A </w:t>
      </w:r>
      <w:r w:rsidR="00B80106">
        <w:t>u</w:t>
      </w:r>
      <w:r w:rsidR="00D40252" w:rsidRPr="00C52836">
        <w:t>niversities</w:t>
      </w:r>
      <w:r w:rsidR="00176AD8" w:rsidRPr="00C52836">
        <w:t xml:space="preserve">. </w:t>
      </w:r>
      <w:r w:rsidR="00D40252" w:rsidRPr="00C52836">
        <w:fldChar w:fldCharType="begin"/>
      </w:r>
      <w:r w:rsidR="00D40252" w:rsidRPr="00C52836">
        <w:instrText xml:space="preserve"> REF _Ref103248968 \r \h </w:instrText>
      </w:r>
      <w:r w:rsidR="00B80106" w:rsidRPr="00B80106">
        <w:instrText xml:space="preserve"> </w:instrText>
      </w:r>
      <w:r w:rsidR="00B80106">
        <w:instrText xml:space="preserve">\* MERGEFORMAT </w:instrText>
      </w:r>
      <w:r w:rsidR="00D40252" w:rsidRPr="00C52836">
        <w:fldChar w:fldCharType="separate"/>
      </w:r>
      <w:r w:rsidR="00E83FB1">
        <w:t>Table 1.2</w:t>
      </w:r>
      <w:r w:rsidR="00D40252" w:rsidRPr="00C52836">
        <w:fldChar w:fldCharType="end"/>
      </w:r>
      <w:r w:rsidR="00D40252" w:rsidRPr="00C52836">
        <w:t xml:space="preserve"> outlines un</w:t>
      </w:r>
      <w:r w:rsidR="00EF699A" w:rsidRPr="00C52836">
        <w:t xml:space="preserve">iversity participation over time. </w:t>
      </w:r>
    </w:p>
    <w:p w14:paraId="77E08B6B" w14:textId="06012218" w:rsidR="00776795" w:rsidRPr="00BB165A" w:rsidRDefault="00776795" w:rsidP="00776795">
      <w:pPr>
        <w:pStyle w:val="CaptionTable"/>
      </w:pPr>
      <w:bookmarkStart w:id="234" w:name="_Ref103248968"/>
      <w:bookmarkStart w:id="235" w:name="_Toc105776555"/>
      <w:r w:rsidRPr="00BB165A" w:rsidDel="00E20B0A">
        <w:t>:</w:t>
      </w:r>
      <w:bookmarkStart w:id="236" w:name="_Ref534705713"/>
      <w:bookmarkStart w:id="237" w:name="_Toc20245924"/>
      <w:r w:rsidRPr="00BB165A">
        <w:t xml:space="preserve"> </w:t>
      </w:r>
      <w:r w:rsidR="00326F95" w:rsidRPr="00BB165A">
        <w:t>P</w:t>
      </w:r>
      <w:r w:rsidRPr="00BB165A">
        <w:t>articipation by universities</w:t>
      </w:r>
      <w:bookmarkEnd w:id="234"/>
      <w:bookmarkEnd w:id="235"/>
      <w:bookmarkEnd w:id="236"/>
      <w:bookmarkEnd w:id="237"/>
      <w:r w:rsidRPr="00BB165A">
        <w:t xml:space="preserve"> </w:t>
      </w:r>
    </w:p>
    <w:tbl>
      <w:tblPr>
        <w:tblStyle w:val="Deloittetable"/>
        <w:tblW w:w="9781" w:type="dxa"/>
        <w:tblLook w:val="04A0" w:firstRow="1" w:lastRow="0" w:firstColumn="1" w:lastColumn="0" w:noHBand="0" w:noVBand="1"/>
      </w:tblPr>
      <w:tblGrid>
        <w:gridCol w:w="2445"/>
        <w:gridCol w:w="2445"/>
        <w:gridCol w:w="2445"/>
        <w:gridCol w:w="2446"/>
      </w:tblGrid>
      <w:tr w:rsidR="00776795" w:rsidRPr="000D73D2" w14:paraId="28845325" w14:textId="77777777" w:rsidTr="00EB4550">
        <w:trPr>
          <w:cnfStyle w:val="100000000000" w:firstRow="1" w:lastRow="0" w:firstColumn="0" w:lastColumn="0" w:oddVBand="0" w:evenVBand="0" w:oddHBand="0" w:evenHBand="0" w:firstRowFirstColumn="0" w:firstRowLastColumn="0" w:lastRowFirstColumn="0" w:lastRowLastColumn="0"/>
        </w:trPr>
        <w:tc>
          <w:tcPr>
            <w:tcW w:w="2445" w:type="dxa"/>
          </w:tcPr>
          <w:p w14:paraId="7C5180BA" w14:textId="291050DC" w:rsidR="00776795" w:rsidRPr="00BB165A" w:rsidRDefault="00776795" w:rsidP="00CE7277">
            <w:pPr>
              <w:rPr>
                <w:b/>
                <w:sz w:val="16"/>
              </w:rPr>
            </w:pPr>
            <w:r w:rsidRPr="00BB165A">
              <w:rPr>
                <w:b/>
                <w:sz w:val="16"/>
              </w:rPr>
              <w:t>2016</w:t>
            </w:r>
            <w:r w:rsidRPr="00BB165A">
              <w:rPr>
                <w:b/>
                <w:sz w:val="16"/>
              </w:rPr>
              <w:br/>
            </w:r>
            <w:r w:rsidR="00E20B0A" w:rsidRPr="00BB165A">
              <w:rPr>
                <w:b/>
                <w:i/>
                <w:sz w:val="16"/>
              </w:rPr>
              <w:t xml:space="preserve">Fourth </w:t>
            </w:r>
            <w:r w:rsidR="00CE7277" w:rsidRPr="00BB165A">
              <w:rPr>
                <w:b/>
                <w:i/>
                <w:sz w:val="16"/>
              </w:rPr>
              <w:t>year of participation in this study</w:t>
            </w:r>
          </w:p>
        </w:tc>
        <w:tc>
          <w:tcPr>
            <w:tcW w:w="2445" w:type="dxa"/>
          </w:tcPr>
          <w:p w14:paraId="5DC45F52" w14:textId="5FF8610B" w:rsidR="00776795" w:rsidRPr="00BB165A" w:rsidRDefault="00776795" w:rsidP="00CE7277">
            <w:pPr>
              <w:rPr>
                <w:b/>
                <w:sz w:val="16"/>
              </w:rPr>
            </w:pPr>
            <w:r w:rsidRPr="00BB165A">
              <w:rPr>
                <w:b/>
                <w:sz w:val="16"/>
              </w:rPr>
              <w:t xml:space="preserve">2018 </w:t>
            </w:r>
            <w:r w:rsidRPr="00BB165A">
              <w:rPr>
                <w:b/>
                <w:sz w:val="16"/>
              </w:rPr>
              <w:br/>
            </w:r>
            <w:r w:rsidR="00E20B0A" w:rsidRPr="00BB165A">
              <w:rPr>
                <w:b/>
                <w:i/>
                <w:sz w:val="16"/>
              </w:rPr>
              <w:t>Third</w:t>
            </w:r>
            <w:r w:rsidR="005757C4" w:rsidRPr="00BB165A">
              <w:rPr>
                <w:b/>
                <w:i/>
                <w:sz w:val="16"/>
              </w:rPr>
              <w:t xml:space="preserve"> </w:t>
            </w:r>
            <w:r w:rsidR="00CE7277" w:rsidRPr="00BB165A">
              <w:rPr>
                <w:b/>
                <w:i/>
                <w:sz w:val="16"/>
              </w:rPr>
              <w:t>year of participation in this study</w:t>
            </w:r>
          </w:p>
        </w:tc>
        <w:tc>
          <w:tcPr>
            <w:tcW w:w="2445" w:type="dxa"/>
          </w:tcPr>
          <w:p w14:paraId="5189C174" w14:textId="6F04DFF3" w:rsidR="00776795" w:rsidRPr="00BB165A" w:rsidRDefault="00776795" w:rsidP="00776795">
            <w:pPr>
              <w:rPr>
                <w:b/>
                <w:sz w:val="16"/>
              </w:rPr>
            </w:pPr>
            <w:r w:rsidRPr="00BB165A">
              <w:rPr>
                <w:b/>
                <w:sz w:val="16"/>
              </w:rPr>
              <w:t xml:space="preserve">2019 </w:t>
            </w:r>
            <w:r w:rsidRPr="00BB165A">
              <w:rPr>
                <w:b/>
                <w:sz w:val="16"/>
              </w:rPr>
              <w:br/>
            </w:r>
            <w:r w:rsidR="00E20B0A" w:rsidRPr="00BB165A">
              <w:rPr>
                <w:b/>
                <w:i/>
                <w:sz w:val="16"/>
              </w:rPr>
              <w:t xml:space="preserve"> Second year of participation in this study </w:t>
            </w:r>
          </w:p>
        </w:tc>
        <w:tc>
          <w:tcPr>
            <w:tcW w:w="2446" w:type="dxa"/>
          </w:tcPr>
          <w:p w14:paraId="2CCF51DD" w14:textId="69EEA8C8" w:rsidR="00776795" w:rsidRPr="00BB165A" w:rsidRDefault="00776795" w:rsidP="00776795">
            <w:pPr>
              <w:rPr>
                <w:b/>
                <w:sz w:val="16"/>
              </w:rPr>
            </w:pPr>
            <w:r w:rsidRPr="00BB165A">
              <w:rPr>
                <w:b/>
                <w:sz w:val="16"/>
              </w:rPr>
              <w:t>202</w:t>
            </w:r>
            <w:r w:rsidR="00E20B0A" w:rsidRPr="00BB165A">
              <w:rPr>
                <w:b/>
                <w:sz w:val="16"/>
              </w:rPr>
              <w:t>2</w:t>
            </w:r>
            <w:r w:rsidRPr="00BB165A">
              <w:rPr>
                <w:b/>
                <w:sz w:val="16"/>
              </w:rPr>
              <w:br/>
            </w:r>
            <w:r w:rsidR="00E20B0A" w:rsidRPr="00BB165A">
              <w:rPr>
                <w:b/>
                <w:i/>
                <w:sz w:val="16"/>
              </w:rPr>
              <w:t xml:space="preserve">New to this study </w:t>
            </w:r>
          </w:p>
        </w:tc>
      </w:tr>
      <w:tr w:rsidR="00776795" w:rsidRPr="000D73D2" w14:paraId="7EDB9830" w14:textId="77777777" w:rsidTr="00EB4550">
        <w:trPr>
          <w:trHeight w:val="227"/>
        </w:trPr>
        <w:tc>
          <w:tcPr>
            <w:tcW w:w="2445" w:type="dxa"/>
          </w:tcPr>
          <w:p w14:paraId="77766D55" w14:textId="77777777" w:rsidR="00776795" w:rsidRPr="00BB165A" w:rsidRDefault="00776795" w:rsidP="007B09DB">
            <w:pPr>
              <w:pStyle w:val="ListNumber"/>
              <w:numPr>
                <w:ilvl w:val="0"/>
                <w:numId w:val="22"/>
              </w:numPr>
              <w:rPr>
                <w:sz w:val="14"/>
                <w:szCs w:val="14"/>
              </w:rPr>
            </w:pPr>
            <w:r w:rsidRPr="00BB165A">
              <w:rPr>
                <w:sz w:val="14"/>
                <w:szCs w:val="14"/>
              </w:rPr>
              <w:t>Australian Catholic University</w:t>
            </w:r>
          </w:p>
          <w:p w14:paraId="154D4D3E" w14:textId="77777777" w:rsidR="00776795" w:rsidRPr="00BB165A" w:rsidRDefault="00776795" w:rsidP="007B09DB">
            <w:pPr>
              <w:pStyle w:val="ListNumber"/>
              <w:numPr>
                <w:ilvl w:val="0"/>
                <w:numId w:val="15"/>
              </w:numPr>
              <w:rPr>
                <w:sz w:val="14"/>
                <w:szCs w:val="14"/>
              </w:rPr>
            </w:pPr>
            <w:r w:rsidRPr="00BB165A">
              <w:rPr>
                <w:sz w:val="14"/>
                <w:szCs w:val="14"/>
              </w:rPr>
              <w:t>Charles Sturt University</w:t>
            </w:r>
          </w:p>
          <w:p w14:paraId="519904A3" w14:textId="77777777" w:rsidR="00776795" w:rsidRPr="00BB165A" w:rsidRDefault="00776795" w:rsidP="007B09DB">
            <w:pPr>
              <w:pStyle w:val="ListNumber"/>
              <w:numPr>
                <w:ilvl w:val="0"/>
                <w:numId w:val="15"/>
              </w:numPr>
              <w:rPr>
                <w:sz w:val="14"/>
                <w:szCs w:val="14"/>
              </w:rPr>
            </w:pPr>
            <w:r w:rsidRPr="00BB165A">
              <w:rPr>
                <w:sz w:val="14"/>
                <w:szCs w:val="14"/>
              </w:rPr>
              <w:t>Deakin University</w:t>
            </w:r>
          </w:p>
          <w:p w14:paraId="7653B522" w14:textId="77777777" w:rsidR="00776795" w:rsidRPr="00BB165A" w:rsidRDefault="00776795" w:rsidP="007B09DB">
            <w:pPr>
              <w:pStyle w:val="ListNumber"/>
              <w:numPr>
                <w:ilvl w:val="0"/>
                <w:numId w:val="15"/>
              </w:numPr>
              <w:rPr>
                <w:sz w:val="14"/>
                <w:szCs w:val="14"/>
              </w:rPr>
            </w:pPr>
            <w:r w:rsidRPr="00BB165A">
              <w:rPr>
                <w:sz w:val="14"/>
                <w:szCs w:val="14"/>
              </w:rPr>
              <w:t>Griffith University</w:t>
            </w:r>
          </w:p>
          <w:p w14:paraId="0458C3FA" w14:textId="77777777" w:rsidR="00776795" w:rsidRPr="00BB165A" w:rsidRDefault="00776795" w:rsidP="007B09DB">
            <w:pPr>
              <w:pStyle w:val="ListNumber"/>
              <w:numPr>
                <w:ilvl w:val="0"/>
                <w:numId w:val="15"/>
              </w:numPr>
              <w:rPr>
                <w:sz w:val="14"/>
                <w:szCs w:val="14"/>
              </w:rPr>
            </w:pPr>
            <w:r w:rsidRPr="00BB165A">
              <w:rPr>
                <w:sz w:val="14"/>
                <w:szCs w:val="14"/>
              </w:rPr>
              <w:t>James Cook University</w:t>
            </w:r>
          </w:p>
          <w:p w14:paraId="5C631394" w14:textId="77777777" w:rsidR="00776795" w:rsidRPr="00BB165A" w:rsidRDefault="00776795" w:rsidP="007B09DB">
            <w:pPr>
              <w:pStyle w:val="ListNumber"/>
              <w:numPr>
                <w:ilvl w:val="0"/>
                <w:numId w:val="15"/>
              </w:numPr>
              <w:rPr>
                <w:sz w:val="14"/>
                <w:szCs w:val="14"/>
              </w:rPr>
            </w:pPr>
            <w:r w:rsidRPr="00BB165A">
              <w:rPr>
                <w:sz w:val="14"/>
                <w:szCs w:val="14"/>
              </w:rPr>
              <w:t>Monash University</w:t>
            </w:r>
          </w:p>
          <w:p w14:paraId="5FF2F2B9" w14:textId="77777777" w:rsidR="00776795" w:rsidRPr="00BB165A" w:rsidRDefault="00776795" w:rsidP="007B09DB">
            <w:pPr>
              <w:pStyle w:val="ListNumber"/>
              <w:numPr>
                <w:ilvl w:val="0"/>
                <w:numId w:val="15"/>
              </w:numPr>
              <w:rPr>
                <w:sz w:val="14"/>
                <w:szCs w:val="14"/>
              </w:rPr>
            </w:pPr>
            <w:r w:rsidRPr="00BB165A">
              <w:rPr>
                <w:sz w:val="14"/>
                <w:szCs w:val="14"/>
              </w:rPr>
              <w:t>Queensland University of Technology</w:t>
            </w:r>
          </w:p>
          <w:p w14:paraId="06569ADF" w14:textId="77777777" w:rsidR="00776795" w:rsidRPr="00BB165A" w:rsidRDefault="00776795" w:rsidP="007B09DB">
            <w:pPr>
              <w:pStyle w:val="ListNumber"/>
              <w:numPr>
                <w:ilvl w:val="0"/>
                <w:numId w:val="15"/>
              </w:numPr>
              <w:rPr>
                <w:sz w:val="14"/>
                <w:szCs w:val="14"/>
              </w:rPr>
            </w:pPr>
            <w:r w:rsidRPr="00BB165A">
              <w:rPr>
                <w:sz w:val="14"/>
                <w:szCs w:val="14"/>
              </w:rPr>
              <w:t>Southern Cross University</w:t>
            </w:r>
          </w:p>
          <w:p w14:paraId="4380138F" w14:textId="77777777" w:rsidR="00776795" w:rsidRPr="00BB165A" w:rsidRDefault="00776795" w:rsidP="007B09DB">
            <w:pPr>
              <w:pStyle w:val="ListNumber"/>
              <w:numPr>
                <w:ilvl w:val="0"/>
                <w:numId w:val="15"/>
              </w:numPr>
              <w:rPr>
                <w:sz w:val="14"/>
                <w:szCs w:val="14"/>
              </w:rPr>
            </w:pPr>
            <w:r w:rsidRPr="00BB165A">
              <w:rPr>
                <w:sz w:val="14"/>
                <w:szCs w:val="14"/>
              </w:rPr>
              <w:t>The University of Melbourne</w:t>
            </w:r>
          </w:p>
          <w:p w14:paraId="237B37C8" w14:textId="77777777" w:rsidR="00776795" w:rsidRPr="00BB165A" w:rsidRDefault="00776795" w:rsidP="007B09DB">
            <w:pPr>
              <w:pStyle w:val="ListNumber"/>
              <w:numPr>
                <w:ilvl w:val="0"/>
                <w:numId w:val="15"/>
              </w:numPr>
              <w:rPr>
                <w:sz w:val="14"/>
                <w:szCs w:val="14"/>
              </w:rPr>
            </w:pPr>
            <w:r w:rsidRPr="00BB165A">
              <w:rPr>
                <w:sz w:val="14"/>
                <w:szCs w:val="14"/>
              </w:rPr>
              <w:t>The University of New England</w:t>
            </w:r>
          </w:p>
          <w:p w14:paraId="4917BD89" w14:textId="77777777" w:rsidR="00776795" w:rsidRPr="00BB165A" w:rsidRDefault="00776795" w:rsidP="007B09DB">
            <w:pPr>
              <w:pStyle w:val="ListNumber"/>
              <w:numPr>
                <w:ilvl w:val="0"/>
                <w:numId w:val="15"/>
              </w:numPr>
              <w:rPr>
                <w:sz w:val="14"/>
                <w:szCs w:val="14"/>
              </w:rPr>
            </w:pPr>
            <w:r w:rsidRPr="00BB165A">
              <w:rPr>
                <w:sz w:val="14"/>
                <w:szCs w:val="14"/>
              </w:rPr>
              <w:t>The University of Newcastle</w:t>
            </w:r>
          </w:p>
          <w:p w14:paraId="2ECF0E5B" w14:textId="77777777" w:rsidR="00776795" w:rsidRPr="00BB165A" w:rsidRDefault="00776795" w:rsidP="007B09DB">
            <w:pPr>
              <w:pStyle w:val="ListNumber"/>
              <w:numPr>
                <w:ilvl w:val="0"/>
                <w:numId w:val="15"/>
              </w:numPr>
              <w:rPr>
                <w:sz w:val="14"/>
                <w:szCs w:val="14"/>
              </w:rPr>
            </w:pPr>
            <w:r w:rsidRPr="00BB165A">
              <w:rPr>
                <w:sz w:val="14"/>
                <w:szCs w:val="14"/>
              </w:rPr>
              <w:t>The University of Queensland</w:t>
            </w:r>
          </w:p>
          <w:p w14:paraId="58668DE0" w14:textId="77777777" w:rsidR="00776795" w:rsidRPr="00BB165A" w:rsidRDefault="00776795" w:rsidP="007B09DB">
            <w:pPr>
              <w:pStyle w:val="ListNumber"/>
              <w:numPr>
                <w:ilvl w:val="0"/>
                <w:numId w:val="15"/>
              </w:numPr>
              <w:rPr>
                <w:sz w:val="14"/>
                <w:szCs w:val="14"/>
              </w:rPr>
            </w:pPr>
            <w:r w:rsidRPr="00BB165A">
              <w:rPr>
                <w:sz w:val="14"/>
                <w:szCs w:val="14"/>
              </w:rPr>
              <w:t>The University of Wollongong</w:t>
            </w:r>
          </w:p>
          <w:p w14:paraId="715DBBE4" w14:textId="77777777" w:rsidR="00776795" w:rsidRPr="00BB165A" w:rsidRDefault="00776795" w:rsidP="007B09DB">
            <w:pPr>
              <w:pStyle w:val="ListNumber"/>
              <w:numPr>
                <w:ilvl w:val="0"/>
                <w:numId w:val="15"/>
              </w:numPr>
              <w:rPr>
                <w:sz w:val="14"/>
                <w:szCs w:val="14"/>
              </w:rPr>
            </w:pPr>
            <w:r w:rsidRPr="00BB165A">
              <w:rPr>
                <w:sz w:val="14"/>
                <w:szCs w:val="14"/>
              </w:rPr>
              <w:t>University of Southern Queensland</w:t>
            </w:r>
          </w:p>
          <w:p w14:paraId="33FDFAC9" w14:textId="77777777" w:rsidR="00776795" w:rsidRPr="00BB165A" w:rsidRDefault="00776795" w:rsidP="007B09DB">
            <w:pPr>
              <w:pStyle w:val="ListNumber"/>
              <w:numPr>
                <w:ilvl w:val="0"/>
                <w:numId w:val="15"/>
              </w:numPr>
              <w:rPr>
                <w:sz w:val="14"/>
                <w:szCs w:val="14"/>
              </w:rPr>
            </w:pPr>
            <w:r w:rsidRPr="00BB165A">
              <w:rPr>
                <w:sz w:val="14"/>
                <w:szCs w:val="14"/>
              </w:rPr>
              <w:t>University of Sydney</w:t>
            </w:r>
          </w:p>
          <w:p w14:paraId="318ACCA8" w14:textId="77777777" w:rsidR="00776795" w:rsidRPr="00BB165A" w:rsidRDefault="00776795" w:rsidP="007B09DB">
            <w:pPr>
              <w:pStyle w:val="ListNumber"/>
              <w:numPr>
                <w:ilvl w:val="0"/>
                <w:numId w:val="15"/>
              </w:numPr>
              <w:rPr>
                <w:sz w:val="14"/>
                <w:szCs w:val="14"/>
              </w:rPr>
            </w:pPr>
            <w:r w:rsidRPr="00BB165A">
              <w:rPr>
                <w:sz w:val="14"/>
                <w:szCs w:val="14"/>
              </w:rPr>
              <w:t>University of the Sunshine Coast</w:t>
            </w:r>
          </w:p>
          <w:p w14:paraId="34DA287E" w14:textId="77777777" w:rsidR="00776795" w:rsidRPr="00BB165A" w:rsidRDefault="00776795" w:rsidP="007B09DB">
            <w:pPr>
              <w:pStyle w:val="ListNumber"/>
              <w:numPr>
                <w:ilvl w:val="0"/>
                <w:numId w:val="15"/>
              </w:numPr>
              <w:rPr>
                <w:sz w:val="14"/>
                <w:szCs w:val="14"/>
              </w:rPr>
            </w:pPr>
            <w:r w:rsidRPr="00BB165A">
              <w:rPr>
                <w:sz w:val="14"/>
                <w:szCs w:val="14"/>
              </w:rPr>
              <w:t>Victoria University</w:t>
            </w:r>
          </w:p>
        </w:tc>
        <w:tc>
          <w:tcPr>
            <w:tcW w:w="2445" w:type="dxa"/>
          </w:tcPr>
          <w:p w14:paraId="30502CFC" w14:textId="77777777" w:rsidR="00776795" w:rsidRPr="00BB165A" w:rsidRDefault="00776795" w:rsidP="007B09DB">
            <w:pPr>
              <w:pStyle w:val="ListNumber"/>
              <w:numPr>
                <w:ilvl w:val="0"/>
                <w:numId w:val="15"/>
              </w:numPr>
              <w:ind w:right="143"/>
              <w:rPr>
                <w:sz w:val="14"/>
                <w:szCs w:val="14"/>
              </w:rPr>
            </w:pPr>
            <w:r w:rsidRPr="00BB165A">
              <w:rPr>
                <w:sz w:val="14"/>
                <w:szCs w:val="14"/>
              </w:rPr>
              <w:t>Charles Darwin University</w:t>
            </w:r>
          </w:p>
          <w:p w14:paraId="0EDA96C4" w14:textId="77777777" w:rsidR="00776795" w:rsidRPr="00BB165A" w:rsidRDefault="00C5750A" w:rsidP="007B09DB">
            <w:pPr>
              <w:pStyle w:val="ListNumber"/>
              <w:numPr>
                <w:ilvl w:val="0"/>
                <w:numId w:val="15"/>
              </w:numPr>
              <w:ind w:right="143"/>
              <w:rPr>
                <w:sz w:val="14"/>
                <w:szCs w:val="14"/>
              </w:rPr>
            </w:pPr>
            <w:r w:rsidRPr="00BB165A">
              <w:rPr>
                <w:sz w:val="14"/>
                <w:szCs w:val="14"/>
              </w:rPr>
              <w:t>Curtin University</w:t>
            </w:r>
          </w:p>
          <w:p w14:paraId="72D6A129" w14:textId="77777777" w:rsidR="00776795" w:rsidRPr="00BB165A" w:rsidRDefault="00776795" w:rsidP="007B09DB">
            <w:pPr>
              <w:pStyle w:val="ListNumber"/>
              <w:numPr>
                <w:ilvl w:val="0"/>
                <w:numId w:val="15"/>
              </w:numPr>
              <w:ind w:right="143"/>
              <w:rPr>
                <w:sz w:val="14"/>
                <w:szCs w:val="14"/>
              </w:rPr>
            </w:pPr>
            <w:r w:rsidRPr="00BB165A">
              <w:rPr>
                <w:sz w:val="14"/>
                <w:szCs w:val="14"/>
              </w:rPr>
              <w:t>Federation University Australia</w:t>
            </w:r>
          </w:p>
          <w:p w14:paraId="2EF1986F" w14:textId="77777777" w:rsidR="00776795" w:rsidRPr="00BB165A" w:rsidRDefault="00776795" w:rsidP="007B09DB">
            <w:pPr>
              <w:pStyle w:val="ListNumber"/>
              <w:numPr>
                <w:ilvl w:val="0"/>
                <w:numId w:val="15"/>
              </w:numPr>
              <w:ind w:right="143"/>
              <w:rPr>
                <w:sz w:val="14"/>
                <w:szCs w:val="14"/>
              </w:rPr>
            </w:pPr>
            <w:r w:rsidRPr="00BB165A">
              <w:rPr>
                <w:sz w:val="14"/>
                <w:szCs w:val="14"/>
              </w:rPr>
              <w:t>Flinders University</w:t>
            </w:r>
          </w:p>
          <w:p w14:paraId="05719B97" w14:textId="77777777" w:rsidR="00776795" w:rsidRPr="00BB165A" w:rsidRDefault="00776795" w:rsidP="007B09DB">
            <w:pPr>
              <w:pStyle w:val="ListNumber"/>
              <w:numPr>
                <w:ilvl w:val="0"/>
                <w:numId w:val="15"/>
              </w:numPr>
              <w:ind w:right="143"/>
              <w:rPr>
                <w:sz w:val="14"/>
                <w:szCs w:val="14"/>
              </w:rPr>
            </w:pPr>
            <w:r w:rsidRPr="00BB165A">
              <w:rPr>
                <w:sz w:val="14"/>
                <w:szCs w:val="14"/>
              </w:rPr>
              <w:t>University of Canberra</w:t>
            </w:r>
          </w:p>
          <w:p w14:paraId="726AAB59" w14:textId="77777777" w:rsidR="00776795" w:rsidRPr="00BB165A" w:rsidRDefault="00776795" w:rsidP="007B09DB">
            <w:pPr>
              <w:pStyle w:val="ListNumber"/>
              <w:numPr>
                <w:ilvl w:val="0"/>
                <w:numId w:val="15"/>
              </w:numPr>
              <w:ind w:right="143"/>
              <w:rPr>
                <w:sz w:val="14"/>
                <w:szCs w:val="14"/>
              </w:rPr>
            </w:pPr>
            <w:r w:rsidRPr="00BB165A">
              <w:rPr>
                <w:sz w:val="14"/>
                <w:szCs w:val="14"/>
              </w:rPr>
              <w:t>University of South Australia</w:t>
            </w:r>
          </w:p>
          <w:p w14:paraId="013C57B8" w14:textId="77777777" w:rsidR="00776795" w:rsidRPr="00BB165A" w:rsidRDefault="00776795" w:rsidP="007B09DB">
            <w:pPr>
              <w:pStyle w:val="ListNumber"/>
              <w:numPr>
                <w:ilvl w:val="0"/>
                <w:numId w:val="15"/>
              </w:numPr>
              <w:ind w:right="143"/>
              <w:rPr>
                <w:sz w:val="14"/>
                <w:szCs w:val="14"/>
              </w:rPr>
            </w:pPr>
            <w:r w:rsidRPr="00BB165A">
              <w:rPr>
                <w:sz w:val="14"/>
                <w:szCs w:val="14"/>
              </w:rPr>
              <w:t>University of Tasmania</w:t>
            </w:r>
          </w:p>
          <w:p w14:paraId="02FDCDFE" w14:textId="77777777" w:rsidR="00776795" w:rsidRPr="00BB165A" w:rsidRDefault="00776795" w:rsidP="007B09DB">
            <w:pPr>
              <w:pStyle w:val="ListNumber"/>
              <w:numPr>
                <w:ilvl w:val="0"/>
                <w:numId w:val="15"/>
              </w:numPr>
              <w:ind w:right="143"/>
              <w:rPr>
                <w:sz w:val="14"/>
                <w:szCs w:val="14"/>
              </w:rPr>
            </w:pPr>
            <w:r w:rsidRPr="00BB165A">
              <w:rPr>
                <w:sz w:val="14"/>
                <w:szCs w:val="14"/>
              </w:rPr>
              <w:t>The University of Western Australia</w:t>
            </w:r>
          </w:p>
        </w:tc>
        <w:tc>
          <w:tcPr>
            <w:tcW w:w="2445" w:type="dxa"/>
          </w:tcPr>
          <w:p w14:paraId="5DD439D4" w14:textId="77777777" w:rsidR="00776795" w:rsidRPr="00BB165A" w:rsidRDefault="00776795" w:rsidP="007B09DB">
            <w:pPr>
              <w:pStyle w:val="ListNumber"/>
              <w:numPr>
                <w:ilvl w:val="0"/>
                <w:numId w:val="15"/>
              </w:numPr>
              <w:rPr>
                <w:sz w:val="14"/>
                <w:szCs w:val="14"/>
              </w:rPr>
            </w:pPr>
            <w:r w:rsidRPr="00BB165A">
              <w:rPr>
                <w:sz w:val="14"/>
                <w:szCs w:val="14"/>
              </w:rPr>
              <w:t>Central Queensland University</w:t>
            </w:r>
          </w:p>
          <w:p w14:paraId="31BB53F7" w14:textId="77777777" w:rsidR="00776795" w:rsidRPr="00BB165A" w:rsidRDefault="00776795" w:rsidP="007B09DB">
            <w:pPr>
              <w:pStyle w:val="ListNumber"/>
              <w:numPr>
                <w:ilvl w:val="0"/>
                <w:numId w:val="15"/>
              </w:numPr>
              <w:rPr>
                <w:sz w:val="14"/>
                <w:szCs w:val="14"/>
              </w:rPr>
            </w:pPr>
            <w:r w:rsidRPr="00BB165A">
              <w:rPr>
                <w:sz w:val="14"/>
                <w:szCs w:val="14"/>
              </w:rPr>
              <w:t>Edith Cowan University</w:t>
            </w:r>
          </w:p>
          <w:p w14:paraId="7A910311" w14:textId="77777777" w:rsidR="00776795" w:rsidRPr="00BB165A" w:rsidRDefault="00776795" w:rsidP="007B09DB">
            <w:pPr>
              <w:pStyle w:val="ListNumber"/>
              <w:numPr>
                <w:ilvl w:val="0"/>
                <w:numId w:val="15"/>
              </w:numPr>
              <w:rPr>
                <w:sz w:val="14"/>
                <w:szCs w:val="14"/>
              </w:rPr>
            </w:pPr>
            <w:r w:rsidRPr="00BB165A">
              <w:rPr>
                <w:sz w:val="14"/>
                <w:szCs w:val="14"/>
              </w:rPr>
              <w:t>Murdoch University</w:t>
            </w:r>
          </w:p>
          <w:p w14:paraId="282FA94D" w14:textId="77777777" w:rsidR="00776795" w:rsidRPr="00BB165A" w:rsidRDefault="00776795" w:rsidP="007B09DB">
            <w:pPr>
              <w:pStyle w:val="ListNumber"/>
              <w:numPr>
                <w:ilvl w:val="0"/>
                <w:numId w:val="15"/>
              </w:numPr>
              <w:rPr>
                <w:sz w:val="14"/>
                <w:szCs w:val="14"/>
              </w:rPr>
            </w:pPr>
            <w:r w:rsidRPr="00BB165A">
              <w:rPr>
                <w:sz w:val="14"/>
                <w:szCs w:val="14"/>
              </w:rPr>
              <w:t>RMIT University</w:t>
            </w:r>
          </w:p>
          <w:p w14:paraId="477EA7D8" w14:textId="77777777" w:rsidR="00776795" w:rsidRPr="00BB165A" w:rsidRDefault="00776795" w:rsidP="007B09DB">
            <w:pPr>
              <w:pStyle w:val="ListNumber"/>
              <w:numPr>
                <w:ilvl w:val="0"/>
                <w:numId w:val="15"/>
              </w:numPr>
              <w:rPr>
                <w:sz w:val="14"/>
                <w:szCs w:val="14"/>
              </w:rPr>
            </w:pPr>
            <w:r w:rsidRPr="00BB165A">
              <w:rPr>
                <w:sz w:val="14"/>
                <w:szCs w:val="14"/>
              </w:rPr>
              <w:t>Swinburne University of Technology</w:t>
            </w:r>
          </w:p>
          <w:p w14:paraId="60F9DE23" w14:textId="77777777" w:rsidR="00776795" w:rsidRPr="00BB165A" w:rsidRDefault="00776795" w:rsidP="007B09DB">
            <w:pPr>
              <w:pStyle w:val="ListNumber"/>
              <w:numPr>
                <w:ilvl w:val="0"/>
                <w:numId w:val="15"/>
              </w:numPr>
              <w:rPr>
                <w:sz w:val="14"/>
                <w:szCs w:val="14"/>
              </w:rPr>
            </w:pPr>
            <w:r w:rsidRPr="00BB165A">
              <w:rPr>
                <w:sz w:val="14"/>
                <w:szCs w:val="14"/>
              </w:rPr>
              <w:t>The Australian National University</w:t>
            </w:r>
          </w:p>
          <w:p w14:paraId="6CCBC84B" w14:textId="77777777" w:rsidR="00776795" w:rsidRPr="00BB165A" w:rsidRDefault="00776795" w:rsidP="007B09DB">
            <w:pPr>
              <w:pStyle w:val="ListNumber"/>
              <w:numPr>
                <w:ilvl w:val="0"/>
                <w:numId w:val="15"/>
              </w:numPr>
              <w:rPr>
                <w:sz w:val="14"/>
                <w:szCs w:val="14"/>
              </w:rPr>
            </w:pPr>
            <w:r w:rsidRPr="00BB165A">
              <w:rPr>
                <w:sz w:val="14"/>
                <w:szCs w:val="14"/>
              </w:rPr>
              <w:t>The University of Adelaide</w:t>
            </w:r>
          </w:p>
        </w:tc>
        <w:tc>
          <w:tcPr>
            <w:tcW w:w="2446" w:type="dxa"/>
          </w:tcPr>
          <w:p w14:paraId="60CFCE72" w14:textId="77777777" w:rsidR="00FE40A8" w:rsidRPr="00BB165A" w:rsidRDefault="00FE40A8" w:rsidP="007B09DB">
            <w:pPr>
              <w:pStyle w:val="ListNumber"/>
              <w:numPr>
                <w:ilvl w:val="0"/>
                <w:numId w:val="15"/>
              </w:numPr>
              <w:rPr>
                <w:sz w:val="14"/>
                <w:szCs w:val="14"/>
              </w:rPr>
            </w:pPr>
            <w:r w:rsidRPr="00BB165A">
              <w:rPr>
                <w:sz w:val="14"/>
                <w:szCs w:val="14"/>
              </w:rPr>
              <w:t>La Trobe University</w:t>
            </w:r>
          </w:p>
          <w:p w14:paraId="1F2FC628" w14:textId="77777777" w:rsidR="00776795" w:rsidRPr="00BB165A" w:rsidRDefault="00776795" w:rsidP="007B09DB">
            <w:pPr>
              <w:pStyle w:val="ListNumber"/>
              <w:numPr>
                <w:ilvl w:val="0"/>
                <w:numId w:val="15"/>
              </w:numPr>
              <w:rPr>
                <w:sz w:val="14"/>
                <w:szCs w:val="14"/>
              </w:rPr>
            </w:pPr>
            <w:r w:rsidRPr="00BB165A">
              <w:rPr>
                <w:sz w:val="14"/>
                <w:szCs w:val="14"/>
              </w:rPr>
              <w:t>Macquarie University</w:t>
            </w:r>
          </w:p>
          <w:p w14:paraId="06D19EBD" w14:textId="77777777" w:rsidR="00776795" w:rsidRPr="00BB165A" w:rsidRDefault="00776795" w:rsidP="007B09DB">
            <w:pPr>
              <w:pStyle w:val="ListNumber"/>
              <w:numPr>
                <w:ilvl w:val="0"/>
                <w:numId w:val="15"/>
              </w:numPr>
              <w:rPr>
                <w:sz w:val="14"/>
                <w:szCs w:val="14"/>
              </w:rPr>
            </w:pPr>
            <w:r w:rsidRPr="00BB165A">
              <w:rPr>
                <w:sz w:val="14"/>
                <w:szCs w:val="14"/>
              </w:rPr>
              <w:t>The University of New South Wales</w:t>
            </w:r>
          </w:p>
          <w:p w14:paraId="32C36099" w14:textId="77777777" w:rsidR="00776795" w:rsidRPr="00BB165A" w:rsidRDefault="00776795" w:rsidP="007B09DB">
            <w:pPr>
              <w:pStyle w:val="ListNumber"/>
              <w:numPr>
                <w:ilvl w:val="0"/>
                <w:numId w:val="15"/>
              </w:numPr>
              <w:rPr>
                <w:sz w:val="14"/>
                <w:szCs w:val="14"/>
              </w:rPr>
            </w:pPr>
            <w:r w:rsidRPr="00BB165A">
              <w:rPr>
                <w:sz w:val="14"/>
                <w:szCs w:val="14"/>
              </w:rPr>
              <w:t>University of Technology Sydney</w:t>
            </w:r>
          </w:p>
          <w:p w14:paraId="0C5DA04E" w14:textId="77777777" w:rsidR="00776795" w:rsidRPr="00BB165A" w:rsidRDefault="00776795" w:rsidP="007B09DB">
            <w:pPr>
              <w:pStyle w:val="ListNumber"/>
              <w:numPr>
                <w:ilvl w:val="0"/>
                <w:numId w:val="15"/>
              </w:numPr>
              <w:rPr>
                <w:sz w:val="14"/>
                <w:szCs w:val="14"/>
              </w:rPr>
            </w:pPr>
            <w:r w:rsidRPr="00BB165A">
              <w:rPr>
                <w:sz w:val="14"/>
                <w:szCs w:val="14"/>
              </w:rPr>
              <w:t>Western Sydney University</w:t>
            </w:r>
          </w:p>
        </w:tc>
      </w:tr>
    </w:tbl>
    <w:p w14:paraId="496A710F" w14:textId="2357370A" w:rsidR="00776795" w:rsidRPr="00BB165A" w:rsidRDefault="00996117" w:rsidP="00416131">
      <w:pPr>
        <w:pStyle w:val="Source"/>
        <w:keepNext/>
      </w:pPr>
      <w:r>
        <w:t xml:space="preserve">Note: The University of Notre Dame is not included as it was made a Table A university in 2021. </w:t>
      </w:r>
    </w:p>
    <w:p w14:paraId="624225C8" w14:textId="38901027" w:rsidR="00776795" w:rsidRPr="00BB165A" w:rsidRDefault="00776795" w:rsidP="00776795">
      <w:pPr>
        <w:pStyle w:val="Heading2"/>
      </w:pPr>
      <w:bookmarkStart w:id="238" w:name="_Toc534713862"/>
      <w:bookmarkStart w:id="239" w:name="_Toc534713863"/>
      <w:bookmarkStart w:id="240" w:name="_Toc534713864"/>
      <w:bookmarkStart w:id="241" w:name="_Toc534713865"/>
      <w:bookmarkStart w:id="242" w:name="_Toc534713866"/>
      <w:bookmarkStart w:id="243" w:name="_Toc534713867"/>
      <w:bookmarkStart w:id="244" w:name="_Toc534713868"/>
      <w:bookmarkStart w:id="245" w:name="_Toc534713869"/>
      <w:bookmarkStart w:id="246" w:name="_Toc534713870"/>
      <w:bookmarkStart w:id="247" w:name="_Toc534713871"/>
      <w:bookmarkStart w:id="248" w:name="_Toc533173866"/>
      <w:bookmarkStart w:id="249" w:name="_Toc533173867"/>
      <w:bookmarkStart w:id="250" w:name="_Toc532209775"/>
      <w:bookmarkStart w:id="251" w:name="_Toc532245565"/>
      <w:bookmarkStart w:id="252" w:name="_Toc532376094"/>
      <w:bookmarkStart w:id="253" w:name="_Toc532209776"/>
      <w:bookmarkStart w:id="254" w:name="_Toc532245566"/>
      <w:bookmarkStart w:id="255" w:name="_Toc532376095"/>
      <w:bookmarkStart w:id="256" w:name="_Toc532209777"/>
      <w:bookmarkStart w:id="257" w:name="_Toc532245567"/>
      <w:bookmarkStart w:id="258" w:name="_Toc532376096"/>
      <w:bookmarkStart w:id="259" w:name="_Toc24542216"/>
      <w:bookmarkStart w:id="260" w:name="_Toc24624480"/>
      <w:bookmarkStart w:id="261" w:name="_Toc24542217"/>
      <w:bookmarkStart w:id="262" w:name="_Toc24547577"/>
      <w:bookmarkStart w:id="263" w:name="_Toc24624481"/>
      <w:bookmarkStart w:id="264" w:name="_Toc24542357"/>
      <w:bookmarkStart w:id="265" w:name="_Toc24547697"/>
      <w:bookmarkStart w:id="266" w:name="_Toc24624621"/>
      <w:bookmarkStart w:id="267" w:name="_Toc24547817"/>
      <w:bookmarkStart w:id="268" w:name="_Toc24624761"/>
      <w:bookmarkStart w:id="269" w:name="_Toc24547937"/>
      <w:bookmarkStart w:id="270" w:name="_Toc24624901"/>
      <w:bookmarkStart w:id="271" w:name="_Toc24542497"/>
      <w:bookmarkStart w:id="272" w:name="_Toc24625041"/>
      <w:bookmarkStart w:id="273" w:name="_Toc105776184"/>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Pr="00BB165A">
        <w:t>Trends in higher education delivery</w:t>
      </w:r>
      <w:bookmarkEnd w:id="273"/>
    </w:p>
    <w:p w14:paraId="643CC0AC" w14:textId="1510F876" w:rsidR="00A21154" w:rsidRPr="00BB165A" w:rsidRDefault="00865B4A" w:rsidP="00A21154">
      <w:r w:rsidRPr="00BB165A">
        <w:t xml:space="preserve">COVID-19 had a </w:t>
      </w:r>
      <w:r w:rsidR="00BA7A36">
        <w:t>notable</w:t>
      </w:r>
      <w:r w:rsidRPr="00BB165A">
        <w:t xml:space="preserve"> impact on </w:t>
      </w:r>
      <w:r w:rsidR="000E4CC7" w:rsidRPr="00BB165A">
        <w:t>Australia’s higher education sector</w:t>
      </w:r>
      <w:r w:rsidR="00956A50" w:rsidRPr="00BB165A">
        <w:t xml:space="preserve">, </w:t>
      </w:r>
      <w:r w:rsidR="00F33CB3" w:rsidRPr="00BB165A">
        <w:t xml:space="preserve">which is highly reliant on international students for its revenue. </w:t>
      </w:r>
      <w:r w:rsidR="00D438A7">
        <w:t xml:space="preserve">Total revenue from continuing operations fell 5.1% </w:t>
      </w:r>
      <w:r w:rsidR="00D0545B">
        <w:t>in 2020</w:t>
      </w:r>
      <w:r w:rsidR="009876E0" w:rsidRPr="00BB165A">
        <w:t>.</w:t>
      </w:r>
      <w:r w:rsidR="00201ACA" w:rsidRPr="00BB165A">
        <w:t xml:space="preserve"> </w:t>
      </w:r>
      <w:r w:rsidR="00F90ECD" w:rsidRPr="00BB165A">
        <w:t>As such, u</w:t>
      </w:r>
      <w:r w:rsidR="00352706" w:rsidRPr="00BB165A">
        <w:t xml:space="preserve">niversities adopted a variety of cost-saving measures </w:t>
      </w:r>
      <w:r w:rsidR="00453756" w:rsidRPr="00BB165A">
        <w:t xml:space="preserve">in 2020 </w:t>
      </w:r>
      <w:r w:rsidR="00352706" w:rsidRPr="00BB165A">
        <w:t xml:space="preserve">to mitigate the </w:t>
      </w:r>
      <w:r w:rsidR="00453756" w:rsidRPr="00BB165A">
        <w:t xml:space="preserve">impact of </w:t>
      </w:r>
      <w:r w:rsidR="00C81E53" w:rsidRPr="00BB165A">
        <w:t xml:space="preserve">the </w:t>
      </w:r>
      <w:r w:rsidR="00352706" w:rsidRPr="00BB165A">
        <w:t>l</w:t>
      </w:r>
      <w:r w:rsidR="00201ACA" w:rsidRPr="00BB165A">
        <w:t xml:space="preserve">oss of international students, economic uncertainty, and </w:t>
      </w:r>
      <w:r w:rsidR="001F3CDF" w:rsidRPr="00BB165A">
        <w:t xml:space="preserve">COVID-19 </w:t>
      </w:r>
      <w:r w:rsidR="00201ACA" w:rsidRPr="00BB165A">
        <w:t>lockdowns</w:t>
      </w:r>
      <w:r w:rsidR="00C81E53" w:rsidRPr="00BB165A">
        <w:t xml:space="preserve">. </w:t>
      </w:r>
      <w:r w:rsidR="004339AB">
        <w:t>The</w:t>
      </w:r>
      <w:r w:rsidR="001C687D">
        <w:t xml:space="preserve"> </w:t>
      </w:r>
      <w:r w:rsidR="00150B70" w:rsidRPr="00BB165A">
        <w:t xml:space="preserve">impact of COVID-19 on university expenditure can be grouped into three broad categories: </w:t>
      </w:r>
    </w:p>
    <w:p w14:paraId="6A1126CB" w14:textId="77777777" w:rsidR="00150B70" w:rsidRPr="00BB165A" w:rsidRDefault="00150B70" w:rsidP="00046245">
      <w:pPr>
        <w:pStyle w:val="ListBullet"/>
      </w:pPr>
      <w:r w:rsidRPr="00BB165A">
        <w:t>Financial incentives and support for students including scholarships, bursaries and stipends, hardship payments and tuition fee discounts</w:t>
      </w:r>
    </w:p>
    <w:p w14:paraId="5682B7EB" w14:textId="271DC602" w:rsidR="00150B70" w:rsidRPr="00BB165A" w:rsidRDefault="00150B70" w:rsidP="00046245">
      <w:pPr>
        <w:pStyle w:val="ListBullet"/>
      </w:pPr>
      <w:r w:rsidRPr="00BB165A">
        <w:t>Management of staff costs including redundancy costs, deferral of salary increases, leave and balance sheet provisions, temporary salary cuts and temporary payroll tax exemption</w:t>
      </w:r>
      <w:r w:rsidR="00056388" w:rsidRPr="00BB165A">
        <w:t>s, and,</w:t>
      </w:r>
    </w:p>
    <w:p w14:paraId="5C7978C7" w14:textId="27B61CFA" w:rsidR="00150B70" w:rsidRPr="00BB165A" w:rsidRDefault="00150B70" w:rsidP="00046245">
      <w:pPr>
        <w:pStyle w:val="ListBullet"/>
      </w:pPr>
      <w:r w:rsidRPr="00BB165A">
        <w:t>Management of non-staff costs including higher IT investment and COVID-related cleaning and consumables; lower spending on travel, conferences, and events; and deferred spending on maintenance and capital projects.</w:t>
      </w:r>
    </w:p>
    <w:p w14:paraId="47FB6148" w14:textId="77777777" w:rsidR="004404A5" w:rsidRPr="00BB165A" w:rsidRDefault="004404A5" w:rsidP="004404A5">
      <w:pPr>
        <w:pStyle w:val="ListBullet"/>
        <w:numPr>
          <w:ilvl w:val="0"/>
          <w:numId w:val="0"/>
        </w:numPr>
      </w:pPr>
    </w:p>
    <w:p w14:paraId="2FDB6EBC" w14:textId="7716C745" w:rsidR="00C82911" w:rsidRDefault="008221B7" w:rsidP="002119C9">
      <w:pPr>
        <w:pStyle w:val="ListBullet"/>
        <w:numPr>
          <w:ilvl w:val="0"/>
          <w:numId w:val="0"/>
        </w:numPr>
        <w:contextualSpacing w:val="0"/>
      </w:pPr>
      <w:r w:rsidRPr="00BB165A">
        <w:t xml:space="preserve">A total of </w:t>
      </w:r>
      <w:r w:rsidR="004404A5" w:rsidRPr="00BB165A">
        <w:t xml:space="preserve">21 out of 37 universities experienced a decline in total higher education expenditure </w:t>
      </w:r>
      <w:r w:rsidR="00B6412B" w:rsidRPr="00BB165A">
        <w:t>in</w:t>
      </w:r>
      <w:r w:rsidR="004404A5" w:rsidRPr="00BB165A">
        <w:t xml:space="preserve"> 2020, in comparison to 1 out of 32 universities </w:t>
      </w:r>
      <w:r w:rsidR="00B6412B" w:rsidRPr="00BB165A">
        <w:t>in</w:t>
      </w:r>
      <w:r w:rsidR="004404A5" w:rsidRPr="00BB165A">
        <w:t xml:space="preserve"> 2019. </w:t>
      </w:r>
      <w:r w:rsidR="00454852" w:rsidRPr="00BB165A">
        <w:t>This was primarily due to measures introduced in response to COVID-19</w:t>
      </w:r>
      <w:r w:rsidR="00EB7C62" w:rsidRPr="00BB165A">
        <w:t xml:space="preserve">, with </w:t>
      </w:r>
      <w:r w:rsidR="00783C28">
        <w:t>average</w:t>
      </w:r>
      <w:r w:rsidR="00783C28" w:rsidRPr="00BB165A">
        <w:t xml:space="preserve"> </w:t>
      </w:r>
      <w:r w:rsidR="007E33D8" w:rsidRPr="00BB165A">
        <w:t xml:space="preserve">expenditure on teaching, scholarship, and all other university activities </w:t>
      </w:r>
      <w:r w:rsidR="00504F2E">
        <w:t>increasing</w:t>
      </w:r>
      <w:r w:rsidR="007E33D8" w:rsidRPr="00BB165A">
        <w:t xml:space="preserve"> by 0.2% </w:t>
      </w:r>
      <w:r w:rsidR="00B6412B" w:rsidRPr="00BB165A">
        <w:t>in</w:t>
      </w:r>
      <w:r w:rsidR="007E33D8" w:rsidRPr="00BB165A">
        <w:t xml:space="preserve"> 2020 across </w:t>
      </w:r>
      <w:r w:rsidR="00783C28">
        <w:t>all universities</w:t>
      </w:r>
      <w:r w:rsidR="00B3028C" w:rsidRPr="00BB165A">
        <w:t>.</w:t>
      </w:r>
      <w:r w:rsidR="00C82911">
        <w:t xml:space="preserve"> Cost per EFTSL increased</w:t>
      </w:r>
      <w:r w:rsidR="00F36474">
        <w:t xml:space="preserve"> by 0.2%</w:t>
      </w:r>
      <w:r w:rsidR="00C82911">
        <w:t xml:space="preserve"> </w:t>
      </w:r>
      <w:r w:rsidR="00F36474">
        <w:t xml:space="preserve">as the fall in </w:t>
      </w:r>
      <w:r w:rsidR="009571BC">
        <w:t xml:space="preserve">total </w:t>
      </w:r>
      <w:r w:rsidR="00F36474">
        <w:t xml:space="preserve">EFTSL in 2020 (0.9%) was larger than the decline in expenditure (0.7%). </w:t>
      </w:r>
    </w:p>
    <w:p w14:paraId="4B381FEA" w14:textId="43D2F43E" w:rsidR="00D53922" w:rsidRPr="00BB165A" w:rsidRDefault="00545118" w:rsidP="00C90127">
      <w:pPr>
        <w:pStyle w:val="ListBullet"/>
        <w:numPr>
          <w:ilvl w:val="0"/>
          <w:numId w:val="0"/>
        </w:numPr>
      </w:pPr>
      <w:r w:rsidRPr="00BB165A">
        <w:t xml:space="preserve">The largest </w:t>
      </w:r>
      <w:r w:rsidR="00321F4B" w:rsidRPr="00BB165A">
        <w:t>decrease</w:t>
      </w:r>
      <w:r w:rsidRPr="00BB165A">
        <w:t xml:space="preserve"> in expenditure over this period was </w:t>
      </w:r>
      <w:r w:rsidR="00321F4B" w:rsidRPr="00BB165A">
        <w:t>-</w:t>
      </w:r>
      <w:r w:rsidRPr="00BB165A">
        <w:t>10.1% and the largest increase in total higher education expenditure was 9.0%</w:t>
      </w:r>
      <w:r w:rsidR="00FC6C68" w:rsidRPr="00BB165A">
        <w:t xml:space="preserve"> (see </w:t>
      </w:r>
      <w:r w:rsidR="00FC6C68" w:rsidRPr="00BB165A">
        <w:fldChar w:fldCharType="begin"/>
      </w:r>
      <w:r w:rsidR="00FC6C68" w:rsidRPr="00BB165A">
        <w:instrText xml:space="preserve"> REF _Ref100318112 \r \h </w:instrText>
      </w:r>
      <w:r w:rsidR="00201D05" w:rsidRPr="00BB165A">
        <w:instrText xml:space="preserve"> \* MERGEFORMAT </w:instrText>
      </w:r>
      <w:r w:rsidR="00FC6C68" w:rsidRPr="00BB165A">
        <w:fldChar w:fldCharType="separate"/>
      </w:r>
      <w:r w:rsidR="00E83FB1">
        <w:t>Chart 1.1</w:t>
      </w:r>
      <w:r w:rsidR="00FC6C68" w:rsidRPr="00BB165A">
        <w:fldChar w:fldCharType="end"/>
      </w:r>
      <w:r w:rsidR="00FC6C68" w:rsidRPr="00BB165A">
        <w:t>)</w:t>
      </w:r>
      <w:r w:rsidRPr="00BB165A">
        <w:t xml:space="preserve">. </w:t>
      </w:r>
      <w:r w:rsidR="00605623">
        <w:t>The</w:t>
      </w:r>
      <w:r w:rsidR="004C352E">
        <w:t xml:space="preserve"> </w:t>
      </w:r>
      <w:r w:rsidR="00605623">
        <w:t xml:space="preserve">universities that saw relatively large increases in </w:t>
      </w:r>
      <w:r w:rsidR="00A867C8">
        <w:t xml:space="preserve">total higher education expenses in </w:t>
      </w:r>
      <w:r w:rsidR="00605623">
        <w:t xml:space="preserve">2020 </w:t>
      </w:r>
      <w:r w:rsidR="001D7677">
        <w:t xml:space="preserve">experienced </w:t>
      </w:r>
      <w:r w:rsidR="00282D29">
        <w:t xml:space="preserve">elevated </w:t>
      </w:r>
      <w:r w:rsidR="006E1B32">
        <w:t>growth in employee related expenses and on-costs</w:t>
      </w:r>
      <w:r w:rsidR="00282D29">
        <w:t xml:space="preserve">. </w:t>
      </w:r>
      <w:r w:rsidR="008B6C6F">
        <w:t xml:space="preserve">The five universities that experienced the fastest growth saw total higher education expenses increase </w:t>
      </w:r>
      <w:r w:rsidR="00F772C3">
        <w:t xml:space="preserve">by </w:t>
      </w:r>
      <w:r w:rsidR="008B6C6F">
        <w:t xml:space="preserve">7% on average in 2020 compared to a 12% increase in employee related expenses and on-costs. This </w:t>
      </w:r>
      <w:r w:rsidR="00044B9E">
        <w:t>is possibly related to the institution’s response to the COVID-19 pandemic via redundancy programs</w:t>
      </w:r>
      <w:r w:rsidR="00605623">
        <w:t>.</w:t>
      </w:r>
      <w:r w:rsidR="007A2C66">
        <w:t xml:space="preserve"> </w:t>
      </w:r>
      <w:r w:rsidR="00FC6C68" w:rsidRPr="00BB165A">
        <w:t xml:space="preserve">The </w:t>
      </w:r>
      <w:r w:rsidR="00201D05" w:rsidRPr="00BB165A">
        <w:t xml:space="preserve">impact of COVID-19, and measures introduced in response to COVID-19, is </w:t>
      </w:r>
      <w:r w:rsidR="004404A5" w:rsidRPr="00BB165A">
        <w:t>discussed in further detail in Section 3 of this report</w:t>
      </w:r>
      <w:r w:rsidR="00201D05" w:rsidRPr="00BB165A">
        <w:t>.</w:t>
      </w:r>
      <w:r w:rsidR="00D53922">
        <w:t xml:space="preserve"> </w:t>
      </w:r>
    </w:p>
    <w:p w14:paraId="4ADB3ACC" w14:textId="6ADBE12E" w:rsidR="00AC7179" w:rsidRPr="00BB165A" w:rsidRDefault="4DDFFBFD" w:rsidP="00A21154">
      <w:pPr>
        <w:pStyle w:val="CaptionChart"/>
      </w:pPr>
      <w:bookmarkStart w:id="274" w:name="_Ref100318112"/>
      <w:bookmarkStart w:id="275" w:name="_Ref105516497"/>
      <w:bookmarkStart w:id="276" w:name="_Toc105776341"/>
      <w:r>
        <w:t xml:space="preserve">: Percentage change in total higher education expenses (teaching, scholarship, and all other activities) </w:t>
      </w:r>
      <w:r w:rsidR="591C64FD">
        <w:t xml:space="preserve">by </w:t>
      </w:r>
      <w:bookmarkEnd w:id="274"/>
      <w:r w:rsidR="591C64FD">
        <w:t>university</w:t>
      </w:r>
      <w:bookmarkEnd w:id="275"/>
      <w:bookmarkEnd w:id="276"/>
    </w:p>
    <w:p w14:paraId="681A5EA3" w14:textId="0EF0D720" w:rsidR="00EC37B9" w:rsidRPr="00BB165A" w:rsidRDefault="00BD29BC" w:rsidP="00776795">
      <w:r w:rsidRPr="00BB165A">
        <w:rPr>
          <w:noProof/>
        </w:rPr>
        <w:drawing>
          <wp:inline distT="0" distB="0" distL="0" distR="0" wp14:anchorId="27E03DCA" wp14:editId="49EADF47">
            <wp:extent cx="5686425" cy="3590925"/>
            <wp:effectExtent l="0" t="0" r="0" b="0"/>
            <wp:docPr id="17" name="Chart 17" descr="Chart shows the percentage change in total higher education expenses (teaching, scholarship, and all other activities) by university. 2019 and 2020 are shown for each university in columns.">
              <a:extLst xmlns:a="http://schemas.openxmlformats.org/drawingml/2006/main">
                <a:ext uri="{FF2B5EF4-FFF2-40B4-BE49-F238E27FC236}">
                  <a16:creationId xmlns:a16="http://schemas.microsoft.com/office/drawing/2014/main" id="{8E34C275-8160-4D4E-AB0A-BB751595D5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C1553F" w14:textId="65A73B28" w:rsidR="00693D57" w:rsidRPr="00BB165A" w:rsidRDefault="00693D57" w:rsidP="00693D57">
      <w:pPr>
        <w:pStyle w:val="Source"/>
      </w:pPr>
      <w:r w:rsidRPr="00BB165A">
        <w:t xml:space="preserve">Source: Cth Department of Education data. </w:t>
      </w:r>
    </w:p>
    <w:p w14:paraId="56A78A67" w14:textId="77777777" w:rsidR="000B27F8" w:rsidRDefault="004E5E67" w:rsidP="00776795">
      <w:r w:rsidRPr="00BB165A">
        <w:t>Notwithstanding the impacts of COVID-19, demand for Australian higher education has been steadily increasing over recent years</w:t>
      </w:r>
      <w:r w:rsidR="008A4E95">
        <w:t xml:space="preserve"> with </w:t>
      </w:r>
      <w:r w:rsidR="00A172EB">
        <w:t xml:space="preserve">total </w:t>
      </w:r>
      <w:r w:rsidR="008A4E95">
        <w:t xml:space="preserve">EFTSL increasing </w:t>
      </w:r>
      <w:r w:rsidR="00EA1585">
        <w:t>year on year</w:t>
      </w:r>
      <w:r w:rsidR="00A172EB">
        <w:t>,</w:t>
      </w:r>
      <w:r w:rsidR="00EA1585">
        <w:t xml:space="preserve"> until 2020 where total EFTSL declined</w:t>
      </w:r>
      <w:r w:rsidRPr="00BB165A">
        <w:t xml:space="preserve">. </w:t>
      </w:r>
      <w:r w:rsidR="00A21154" w:rsidRPr="00BB165A">
        <w:fldChar w:fldCharType="begin"/>
      </w:r>
      <w:r w:rsidR="00A21154" w:rsidRPr="00BB165A">
        <w:instrText xml:space="preserve"> REF _Ref100132684 \r \h  \* MERGEFORMAT </w:instrText>
      </w:r>
      <w:r w:rsidR="00A21154" w:rsidRPr="00BB165A">
        <w:fldChar w:fldCharType="separate"/>
      </w:r>
      <w:r w:rsidR="00E83FB1">
        <w:t>Chart 1.2</w:t>
      </w:r>
      <w:r w:rsidR="00A21154" w:rsidRPr="00BB165A">
        <w:fldChar w:fldCharType="end"/>
      </w:r>
      <w:r w:rsidR="00A21154" w:rsidRPr="00BB165A">
        <w:t xml:space="preserve"> </w:t>
      </w:r>
      <w:r w:rsidRPr="00BB165A">
        <w:t xml:space="preserve">describes the growth in student enrolments across the sector by broad (2-digit) fields of education. </w:t>
      </w:r>
    </w:p>
    <w:p w14:paraId="228FE4E2" w14:textId="2DB4BAE9" w:rsidR="004E5E67" w:rsidRPr="00BB165A" w:rsidRDefault="004E5E67" w:rsidP="00776795">
      <w:r w:rsidRPr="00BB165A">
        <w:t>Fields of education such as</w:t>
      </w:r>
      <w:r w:rsidR="00604891" w:rsidRPr="00604891">
        <w:t xml:space="preserve"> </w:t>
      </w:r>
      <w:r w:rsidR="00604891" w:rsidRPr="00BB165A">
        <w:t>Food</w:t>
      </w:r>
      <w:r w:rsidR="00DB6F67">
        <w:t>,</w:t>
      </w:r>
      <w:r w:rsidR="00604891" w:rsidRPr="00BB165A">
        <w:t xml:space="preserve"> Hospitality</w:t>
      </w:r>
      <w:r w:rsidR="00DB6F67">
        <w:t>,</w:t>
      </w:r>
      <w:r w:rsidR="00604891" w:rsidRPr="00BB165A">
        <w:t xml:space="preserve"> and Personal Services</w:t>
      </w:r>
      <w:r w:rsidR="004605A0">
        <w:t>;</w:t>
      </w:r>
      <w:r w:rsidRPr="00BB165A">
        <w:t xml:space="preserve"> Information Technology</w:t>
      </w:r>
      <w:r w:rsidR="009D5E21">
        <w:t>;</w:t>
      </w:r>
      <w:r w:rsidR="00900A56" w:rsidRPr="00BB165A">
        <w:t xml:space="preserve"> </w:t>
      </w:r>
      <w:r w:rsidR="00604891">
        <w:t xml:space="preserve">and </w:t>
      </w:r>
      <w:r w:rsidR="00900A56" w:rsidRPr="00BB165A">
        <w:t>Architecture and Building</w:t>
      </w:r>
      <w:r w:rsidRPr="00BB165A">
        <w:t xml:space="preserve"> exhibit</w:t>
      </w:r>
      <w:r w:rsidR="00F34518" w:rsidRPr="00BB165A">
        <w:t>ed</w:t>
      </w:r>
      <w:r w:rsidRPr="00BB165A">
        <w:t xml:space="preserve"> the strongest growth between 201</w:t>
      </w:r>
      <w:r w:rsidR="00870521" w:rsidRPr="00BB165A">
        <w:t>5</w:t>
      </w:r>
      <w:r w:rsidR="00D46ECF" w:rsidRPr="00BB165A">
        <w:t xml:space="preserve"> and </w:t>
      </w:r>
      <w:r w:rsidR="00F04A98">
        <w:t>2019</w:t>
      </w:r>
      <w:r w:rsidR="00AD043A" w:rsidRPr="00BB165A">
        <w:t>, growing</w:t>
      </w:r>
      <w:r w:rsidR="00F34518" w:rsidRPr="00BB165A">
        <w:t xml:space="preserve"> by </w:t>
      </w:r>
      <w:r w:rsidR="00604891">
        <w:t>297</w:t>
      </w:r>
      <w:r w:rsidR="00213976" w:rsidRPr="00BB165A">
        <w:t>%</w:t>
      </w:r>
      <w:r w:rsidR="00900A56" w:rsidRPr="00BB165A">
        <w:t xml:space="preserve">, </w:t>
      </w:r>
      <w:r w:rsidR="00604891">
        <w:t>93</w:t>
      </w:r>
      <w:r w:rsidR="00900A56" w:rsidRPr="00BB165A">
        <w:t xml:space="preserve">%, and </w:t>
      </w:r>
      <w:r w:rsidR="00604891">
        <w:t>36</w:t>
      </w:r>
      <w:r w:rsidR="00900A56" w:rsidRPr="00BB165A">
        <w:t>% respectively.</w:t>
      </w:r>
      <w:r w:rsidRPr="00BB165A">
        <w:t xml:space="preserve"> </w:t>
      </w:r>
      <w:r w:rsidR="006B1EE9">
        <w:t xml:space="preserve">Education was the only field </w:t>
      </w:r>
      <w:r w:rsidR="00A50D31">
        <w:t>to decline over this period</w:t>
      </w:r>
      <w:r w:rsidR="00AD043A" w:rsidRPr="00BB165A">
        <w:t xml:space="preserve">, falling </w:t>
      </w:r>
      <w:r w:rsidR="00644CCD" w:rsidRPr="00BB165A">
        <w:t xml:space="preserve">by </w:t>
      </w:r>
      <w:r w:rsidR="00A50D31">
        <w:t>2%</w:t>
      </w:r>
      <w:r w:rsidR="00647A72" w:rsidRPr="00BB165A">
        <w:t xml:space="preserve">. </w:t>
      </w:r>
    </w:p>
    <w:p w14:paraId="4C8EA69C" w14:textId="10D65A14" w:rsidR="002A2B80" w:rsidRDefault="00572CD2" w:rsidP="00776795">
      <w:r w:rsidRPr="00BB165A">
        <w:t>While the impacts of COVID-19 w</w:t>
      </w:r>
      <w:r w:rsidR="00F5071F" w:rsidRPr="00BB165A">
        <w:t>ere spread across the</w:t>
      </w:r>
      <w:r w:rsidR="003C1B0A" w:rsidRPr="00BB165A">
        <w:t xml:space="preserve"> higher</w:t>
      </w:r>
      <w:r w:rsidR="00F5071F" w:rsidRPr="00BB165A">
        <w:t xml:space="preserve"> education sector</w:t>
      </w:r>
      <w:r w:rsidR="007A681F" w:rsidRPr="00BB165A">
        <w:t xml:space="preserve">, </w:t>
      </w:r>
      <w:r w:rsidR="00A71731">
        <w:t xml:space="preserve">the largest fall in </w:t>
      </w:r>
      <w:r w:rsidR="006A56B9" w:rsidRPr="00BB165A">
        <w:t>enrolments</w:t>
      </w:r>
      <w:r w:rsidR="007A681F" w:rsidRPr="00BB165A">
        <w:t xml:space="preserve"> </w:t>
      </w:r>
      <w:r w:rsidR="00A71731">
        <w:t>in 2020 was</w:t>
      </w:r>
      <w:r w:rsidR="00E8646E">
        <w:t xml:space="preserve"> </w:t>
      </w:r>
      <w:r w:rsidR="007A681F" w:rsidRPr="00BB165A">
        <w:t>in</w:t>
      </w:r>
      <w:r w:rsidR="00F5071F" w:rsidRPr="00BB165A">
        <w:t xml:space="preserve"> Food</w:t>
      </w:r>
      <w:r w:rsidR="004D586B">
        <w:t>,</w:t>
      </w:r>
      <w:r w:rsidR="00F5071F" w:rsidRPr="00BB165A">
        <w:t xml:space="preserve"> Hospitality</w:t>
      </w:r>
      <w:r w:rsidR="004D586B">
        <w:t>,</w:t>
      </w:r>
      <w:r w:rsidR="00F5071F" w:rsidRPr="00BB165A">
        <w:t xml:space="preserve"> and Personal Services </w:t>
      </w:r>
      <w:r w:rsidR="007867F8">
        <w:t xml:space="preserve">(87%) </w:t>
      </w:r>
      <w:r w:rsidR="00F5071F" w:rsidRPr="00BB165A">
        <w:t xml:space="preserve">and Management and Commerce </w:t>
      </w:r>
      <w:r w:rsidR="007867F8">
        <w:t>(10%)</w:t>
      </w:r>
      <w:r w:rsidR="007A681F" w:rsidRPr="00BB165A">
        <w:t xml:space="preserve">. </w:t>
      </w:r>
      <w:r w:rsidR="006B115E">
        <w:t xml:space="preserve">The large decline in </w:t>
      </w:r>
      <w:r w:rsidR="006B115E" w:rsidRPr="00BB165A">
        <w:t>Food Hospitality and Personal Services</w:t>
      </w:r>
      <w:r w:rsidR="000B3546">
        <w:t xml:space="preserve"> largely reflects the small number of EFTSL that study at Australian universities. </w:t>
      </w:r>
    </w:p>
    <w:p w14:paraId="0629B299" w14:textId="77777777" w:rsidR="00003E97" w:rsidRDefault="007A681F" w:rsidP="00776795">
      <w:r w:rsidRPr="00BB165A">
        <w:t xml:space="preserve">Other fields of education </w:t>
      </w:r>
      <w:r w:rsidR="006A56B9" w:rsidRPr="00BB165A">
        <w:t xml:space="preserve">that contracted significantly over this period include </w:t>
      </w:r>
      <w:r w:rsidR="006310D8" w:rsidRPr="00BB165A">
        <w:t xml:space="preserve">Natural and Physical Sciences (-8%), Creative Arts (-6%), and </w:t>
      </w:r>
      <w:r w:rsidR="00947C1B" w:rsidRPr="00BB165A">
        <w:t>Engineering and Related Technologies</w:t>
      </w:r>
      <w:r w:rsidR="00062FD5" w:rsidRPr="00BB165A">
        <w:t xml:space="preserve"> (</w:t>
      </w:r>
      <w:r w:rsidR="00B34181" w:rsidRPr="00BB165A">
        <w:t>-6%</w:t>
      </w:r>
      <w:r w:rsidR="00062FD5" w:rsidRPr="00BB165A">
        <w:t>)</w:t>
      </w:r>
      <w:r w:rsidR="00947C1B" w:rsidRPr="00BB165A">
        <w:t xml:space="preserve">. </w:t>
      </w:r>
      <w:r w:rsidR="00643826" w:rsidRPr="00BB165A">
        <w:t xml:space="preserve">Enrolments in </w:t>
      </w:r>
      <w:r w:rsidR="00947C1B" w:rsidRPr="00BB165A">
        <w:t xml:space="preserve">Agriculture, Environmental and Related </w:t>
      </w:r>
      <w:r w:rsidR="00AE5451" w:rsidRPr="00BB165A">
        <w:t>Studies</w:t>
      </w:r>
      <w:r w:rsidR="00DA7DC4" w:rsidRPr="00BB165A">
        <w:t xml:space="preserve"> exhibited the strongest growth </w:t>
      </w:r>
      <w:r w:rsidR="00E052CC" w:rsidRPr="00BB165A">
        <w:t>in 2020</w:t>
      </w:r>
      <w:r w:rsidR="00643826" w:rsidRPr="00BB165A">
        <w:t xml:space="preserve">, </w:t>
      </w:r>
      <w:r w:rsidR="00E052CC" w:rsidRPr="00BB165A">
        <w:t>increasing</w:t>
      </w:r>
      <w:r w:rsidR="00643826" w:rsidRPr="00BB165A">
        <w:t xml:space="preserve"> by 11%. Other fields </w:t>
      </w:r>
      <w:r w:rsidR="00BA0385" w:rsidRPr="00BB165A">
        <w:t>that also grew over this period include</w:t>
      </w:r>
      <w:r w:rsidR="00AE5451" w:rsidRPr="00BB165A">
        <w:t xml:space="preserve"> </w:t>
      </w:r>
      <w:r w:rsidR="009A51E9" w:rsidRPr="00BB165A">
        <w:t>Health</w:t>
      </w:r>
      <w:r w:rsidR="00BA0385" w:rsidRPr="00BB165A">
        <w:t xml:space="preserve"> (4%)</w:t>
      </w:r>
      <w:r w:rsidR="009A51E9" w:rsidRPr="00BB165A">
        <w:t xml:space="preserve">, </w:t>
      </w:r>
      <w:r w:rsidR="00774E14" w:rsidRPr="00BB165A">
        <w:t>Mixed Field Programs</w:t>
      </w:r>
      <w:r w:rsidR="00BA0385" w:rsidRPr="00BB165A">
        <w:t xml:space="preserve"> (2%)</w:t>
      </w:r>
      <w:r w:rsidR="00E57EA7" w:rsidRPr="00BB165A">
        <w:t>,</w:t>
      </w:r>
      <w:r w:rsidR="00AE5451" w:rsidRPr="00BB165A">
        <w:t xml:space="preserve"> and Architecture and Building </w:t>
      </w:r>
      <w:r w:rsidR="00BA0385" w:rsidRPr="00BB165A">
        <w:t xml:space="preserve">(1%). </w:t>
      </w:r>
      <w:r w:rsidR="00A62A86" w:rsidRPr="00BB165A">
        <w:t>G</w:t>
      </w:r>
      <w:r w:rsidR="009113D4" w:rsidRPr="00BB165A">
        <w:t>enerally</w:t>
      </w:r>
      <w:r w:rsidR="00A62A86" w:rsidRPr="00BB165A">
        <w:t>,</w:t>
      </w:r>
      <w:r w:rsidR="009113D4" w:rsidRPr="00BB165A">
        <w:t xml:space="preserve"> COVID-19 reduced the rate of growth </w:t>
      </w:r>
      <w:r w:rsidR="00A62A86" w:rsidRPr="00BB165A">
        <w:t xml:space="preserve">in student enrolments, even for those fields of education that experienced moderate positive growth </w:t>
      </w:r>
      <w:r w:rsidR="00E052CC" w:rsidRPr="00BB165A">
        <w:t>in 20</w:t>
      </w:r>
      <w:r w:rsidR="00A62A86" w:rsidRPr="00BB165A">
        <w:t>20</w:t>
      </w:r>
      <w:r w:rsidR="00A62A86" w:rsidRPr="00030AE2">
        <w:t>.</w:t>
      </w:r>
      <w:r w:rsidR="002A2B80" w:rsidRPr="00030AE2">
        <w:t xml:space="preserve"> </w:t>
      </w:r>
    </w:p>
    <w:p w14:paraId="70EA6E00" w14:textId="5F00C41A" w:rsidR="00AB5A2E" w:rsidRPr="00BB165A" w:rsidRDefault="002A2B80" w:rsidP="00776795">
      <w:r w:rsidRPr="00D1171B">
        <w:t>Overall EFTSL</w:t>
      </w:r>
      <w:r w:rsidR="000B46E6" w:rsidRPr="00D1171B">
        <w:rPr>
          <w:rStyle w:val="FootnoteReference"/>
        </w:rPr>
        <w:footnoteReference w:id="15"/>
      </w:r>
      <w:r w:rsidRPr="00D1171B">
        <w:t xml:space="preserve"> fell by </w:t>
      </w:r>
      <w:r w:rsidR="00CD5701" w:rsidRPr="00D1171B">
        <w:t>0.9</w:t>
      </w:r>
      <w:r w:rsidRPr="00D1171B">
        <w:t>% in 2020,</w:t>
      </w:r>
      <w:r w:rsidRPr="00030AE2">
        <w:t xml:space="preserve"> </w:t>
      </w:r>
      <w:r w:rsidR="00B55180" w:rsidRPr="00030AE2">
        <w:t>reflecting</w:t>
      </w:r>
      <w:r w:rsidR="00B55180">
        <w:t xml:space="preserve"> a </w:t>
      </w:r>
      <w:r w:rsidR="00CD5701">
        <w:t>7.8</w:t>
      </w:r>
      <w:r w:rsidR="00B55180">
        <w:t xml:space="preserve">% </w:t>
      </w:r>
      <w:r w:rsidR="00B526B8">
        <w:t xml:space="preserve">decrease </w:t>
      </w:r>
      <w:r w:rsidR="00B55180">
        <w:t>in overseas EFTSL</w:t>
      </w:r>
      <w:r w:rsidR="00D620BF">
        <w:rPr>
          <w:rStyle w:val="FootnoteReference"/>
        </w:rPr>
        <w:footnoteReference w:id="16"/>
      </w:r>
      <w:r w:rsidR="00B55180">
        <w:t xml:space="preserve"> </w:t>
      </w:r>
      <w:r w:rsidR="00AC7EB6">
        <w:t>(</w:t>
      </w:r>
      <w:r w:rsidR="00C62DD7">
        <w:t xml:space="preserve">from </w:t>
      </w:r>
      <w:r w:rsidR="00CD5701">
        <w:t>394,800</w:t>
      </w:r>
      <w:r w:rsidR="00994656">
        <w:t xml:space="preserve"> in 2019 to </w:t>
      </w:r>
      <w:r w:rsidR="00CD5701">
        <w:t>364,200</w:t>
      </w:r>
      <w:r w:rsidR="00994656">
        <w:t xml:space="preserve"> in 2020, or a fall of 30,</w:t>
      </w:r>
      <w:r w:rsidR="00CD5701">
        <w:t>6</w:t>
      </w:r>
      <w:r w:rsidR="0018430B">
        <w:t>00</w:t>
      </w:r>
      <w:r w:rsidR="00994656">
        <w:t xml:space="preserve">) </w:t>
      </w:r>
      <w:r w:rsidR="00B55180">
        <w:t xml:space="preserve">and </w:t>
      </w:r>
      <w:r w:rsidR="00DE15B5">
        <w:t xml:space="preserve">a </w:t>
      </w:r>
      <w:r w:rsidR="00224857">
        <w:t>2.</w:t>
      </w:r>
      <w:r w:rsidR="00CD5701">
        <w:t>6</w:t>
      </w:r>
      <w:r w:rsidR="00B55180">
        <w:t xml:space="preserve">% </w:t>
      </w:r>
      <w:r w:rsidR="00B526B8">
        <w:t xml:space="preserve">increase </w:t>
      </w:r>
      <w:r w:rsidR="00B55180">
        <w:t>in domestic EFTSL</w:t>
      </w:r>
      <w:r w:rsidR="00994656">
        <w:t xml:space="preserve"> (from</w:t>
      </w:r>
      <w:r w:rsidR="000943FD">
        <w:t xml:space="preserve"> 748,600</w:t>
      </w:r>
      <w:r w:rsidR="00994656">
        <w:t xml:space="preserve"> in 2019 to </w:t>
      </w:r>
      <w:r w:rsidR="000943FD">
        <w:t>768,400</w:t>
      </w:r>
      <w:r w:rsidR="006E0972">
        <w:t xml:space="preserve"> in 2020, o</w:t>
      </w:r>
      <w:r w:rsidR="00D620BF">
        <w:t xml:space="preserve">r a rise of </w:t>
      </w:r>
      <w:r w:rsidR="000943FD">
        <w:t>19,800</w:t>
      </w:r>
      <w:r w:rsidR="00D620BF">
        <w:t>)</w:t>
      </w:r>
      <w:r w:rsidR="00B55180">
        <w:t>.</w:t>
      </w:r>
      <w:r w:rsidR="00CF09EC">
        <w:t xml:space="preserve"> </w:t>
      </w:r>
      <w:r w:rsidR="00DE1F9C">
        <w:t xml:space="preserve">A subset of total EFTSL </w:t>
      </w:r>
      <w:r w:rsidR="008C71C9">
        <w:t>is</w:t>
      </w:r>
      <w:r w:rsidR="00DE1F9C">
        <w:t xml:space="preserve"> in-scope for this study</w:t>
      </w:r>
      <w:r w:rsidR="008C71C9">
        <w:t xml:space="preserve">. This subset </w:t>
      </w:r>
      <w:r w:rsidR="00DE1F9C">
        <w:t>excludes some enabling and non-award programs</w:t>
      </w:r>
      <w:r w:rsidR="00193D59">
        <w:t xml:space="preserve">, </w:t>
      </w:r>
      <w:r w:rsidR="00B46519">
        <w:t>higher degrees by research</w:t>
      </w:r>
      <w:r w:rsidR="00631825">
        <w:t xml:space="preserve">, as well as students enrolled at </w:t>
      </w:r>
      <w:r w:rsidR="00EE72E4">
        <w:t>overseas campuses of Australian universities</w:t>
      </w:r>
      <w:r w:rsidR="00B46519">
        <w:t>.</w:t>
      </w:r>
      <w:r w:rsidR="00B55180">
        <w:t xml:space="preserve"> </w:t>
      </w:r>
      <w:r w:rsidR="00003E97">
        <w:t>In-scope</w:t>
      </w:r>
      <w:r w:rsidR="00172B43">
        <w:t xml:space="preserve"> teaching and scholarship</w:t>
      </w:r>
      <w:r w:rsidR="00003E97">
        <w:t xml:space="preserve"> EFTSL</w:t>
      </w:r>
      <w:r w:rsidR="00771C0D">
        <w:t xml:space="preserve"> </w:t>
      </w:r>
      <w:r w:rsidR="00396D43">
        <w:t xml:space="preserve">fell by 1.4% in 2020, reflecting a </w:t>
      </w:r>
      <w:r w:rsidR="00172B43">
        <w:t>10.4% decrease in overseas EFTSL</w:t>
      </w:r>
      <w:r w:rsidR="003275DD">
        <w:t xml:space="preserve"> studying at an Australian campus (from </w:t>
      </w:r>
      <w:r w:rsidR="00153A96">
        <w:t>26</w:t>
      </w:r>
      <w:r w:rsidR="00A46F48">
        <w:t>1</w:t>
      </w:r>
      <w:r w:rsidR="00153A96">
        <w:t>,</w:t>
      </w:r>
      <w:r w:rsidR="00A46F48">
        <w:t>6</w:t>
      </w:r>
      <w:r w:rsidR="00153A96">
        <w:t>00</w:t>
      </w:r>
      <w:r w:rsidR="00A46F48">
        <w:t xml:space="preserve"> in 2019 to 234,500 in 2020, a fall of </w:t>
      </w:r>
      <w:r w:rsidR="003F265B">
        <w:t xml:space="preserve">27,100) and a 2.2% increase in domestic ESTSL studying at an Australian campus </w:t>
      </w:r>
      <w:r w:rsidR="003E5F6B">
        <w:t xml:space="preserve">(from 657,400 in 2019 to 671,700 in 2020, a </w:t>
      </w:r>
      <w:r w:rsidR="00873C61">
        <w:t>rise of 14,400).</w:t>
      </w:r>
    </w:p>
    <w:p w14:paraId="19527143" w14:textId="035133F6" w:rsidR="00322971" w:rsidRPr="00BB165A" w:rsidRDefault="00776795" w:rsidP="00992F47">
      <w:pPr>
        <w:pStyle w:val="CaptionChart"/>
      </w:pPr>
      <w:bookmarkStart w:id="277" w:name="_Ref534705873"/>
      <w:bookmarkStart w:id="278" w:name="_Toc20245952"/>
      <w:bookmarkStart w:id="279" w:name="_Ref100132684"/>
      <w:bookmarkStart w:id="280" w:name="_Toc105776342"/>
      <w:r w:rsidRPr="00BB165A">
        <w:t xml:space="preserve">: Student enrolments over time by </w:t>
      </w:r>
      <w:bookmarkEnd w:id="277"/>
      <w:bookmarkEnd w:id="278"/>
      <w:bookmarkEnd w:id="279"/>
      <w:r w:rsidR="00B70C2F">
        <w:t>FOE</w:t>
      </w:r>
      <w:r w:rsidR="00355033">
        <w:t xml:space="preserve"> (count)</w:t>
      </w:r>
      <w:bookmarkEnd w:id="280"/>
    </w:p>
    <w:p w14:paraId="1BFF7F73" w14:textId="678FF74E" w:rsidR="00776795" w:rsidRPr="00BB165A" w:rsidRDefault="00634C65" w:rsidP="000A6D7D">
      <w:r>
        <w:rPr>
          <w:noProof/>
        </w:rPr>
        <w:drawing>
          <wp:inline distT="0" distB="0" distL="0" distR="0" wp14:anchorId="45727101" wp14:editId="203F0833">
            <wp:extent cx="5760720" cy="3571875"/>
            <wp:effectExtent l="0" t="0" r="0" b="0"/>
            <wp:docPr id="40" name="Chart 40" descr="Chart shows student enrolments over time by FOE (count). Highest amount is in Management and Commerce. Data is presented for the years 2015 to 2020 in columns.">
              <a:extLst xmlns:a="http://schemas.openxmlformats.org/drawingml/2006/main">
                <a:ext uri="{FF2B5EF4-FFF2-40B4-BE49-F238E27FC236}">
                  <a16:creationId xmlns:a16="http://schemas.microsoft.com/office/drawing/2014/main" id="{00000000-0008-0000-2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3C931B9" w14:textId="615BEABE" w:rsidR="00776795" w:rsidRPr="00BB165A" w:rsidRDefault="00776795" w:rsidP="00776795">
      <w:pPr>
        <w:pStyle w:val="Source"/>
      </w:pPr>
      <w:r w:rsidRPr="00BB165A">
        <w:t xml:space="preserve">Source: Cth </w:t>
      </w:r>
      <w:r w:rsidR="007B54D9" w:rsidRPr="00BB165A">
        <w:t xml:space="preserve">Department of Education </w:t>
      </w:r>
      <w:r w:rsidRPr="00BB165A">
        <w:t>data. Note: Total enrolments including domestic and international</w:t>
      </w:r>
      <w:r w:rsidR="00BB4C45" w:rsidRPr="00BB165A">
        <w:t xml:space="preserve"> students</w:t>
      </w:r>
      <w:r w:rsidRPr="00BB165A">
        <w:t>, and all levels of education.</w:t>
      </w:r>
    </w:p>
    <w:p w14:paraId="74162E4E" w14:textId="7F0A4255" w:rsidR="00A62A86" w:rsidRPr="00BB165A" w:rsidRDefault="00A62A86" w:rsidP="00A62A86">
      <w:r w:rsidRPr="00BB165A">
        <w:t>Enrolments in each state and territory have experienced positive growth</w:t>
      </w:r>
      <w:r w:rsidR="00580801" w:rsidRPr="00BB165A">
        <w:t xml:space="preserve"> from 2015 to 20</w:t>
      </w:r>
      <w:r w:rsidR="00BC690E">
        <w:t>19</w:t>
      </w:r>
      <w:r w:rsidRPr="00BB165A">
        <w:t xml:space="preserve">, with </w:t>
      </w:r>
      <w:r w:rsidR="0019151D">
        <w:t xml:space="preserve">the </w:t>
      </w:r>
      <w:r w:rsidR="00A93972">
        <w:t xml:space="preserve">largest gains in the ACT (20%), </w:t>
      </w:r>
      <w:r w:rsidR="00DF5FEC">
        <w:t>South Australia (19%)</w:t>
      </w:r>
      <w:r w:rsidR="00E60900">
        <w:t xml:space="preserve"> and </w:t>
      </w:r>
      <w:r w:rsidR="00BC690E">
        <w:t>Victoria</w:t>
      </w:r>
      <w:r w:rsidR="00BC690E" w:rsidRPr="00BB165A">
        <w:t xml:space="preserve"> </w:t>
      </w:r>
      <w:r w:rsidR="00E60900">
        <w:t xml:space="preserve">(13%). </w:t>
      </w:r>
      <w:r w:rsidRPr="00BB165A">
        <w:t xml:space="preserve">Over this period, the slowest growth in enrolments </w:t>
      </w:r>
      <w:r w:rsidR="00416EC8">
        <w:t xml:space="preserve">was in New South Wales (3%), </w:t>
      </w:r>
      <w:r w:rsidR="00972E47">
        <w:t xml:space="preserve">Queensland (4%) and Tasmania (4%). </w:t>
      </w:r>
    </w:p>
    <w:p w14:paraId="11FB5349" w14:textId="095897B7" w:rsidR="00A62A86" w:rsidRPr="00BB165A" w:rsidRDefault="004B76F9" w:rsidP="00A62A86">
      <w:r>
        <w:t xml:space="preserve">In 2020, </w:t>
      </w:r>
      <w:r w:rsidR="0068329E" w:rsidRPr="00BB165A">
        <w:t>Tasmania</w:t>
      </w:r>
      <w:r w:rsidR="00067152" w:rsidRPr="00BB165A">
        <w:t xml:space="preserve">, South Australia </w:t>
      </w:r>
      <w:r w:rsidR="0068329E" w:rsidRPr="00BB165A">
        <w:t>and the Northern Territory experience</w:t>
      </w:r>
      <w:r w:rsidR="00170170" w:rsidRPr="00BB165A">
        <w:t>d</w:t>
      </w:r>
      <w:r w:rsidR="0068329E" w:rsidRPr="00BB165A">
        <w:t xml:space="preserve"> </w:t>
      </w:r>
      <w:r w:rsidR="00D272CB" w:rsidRPr="00BB165A">
        <w:t>higher-than-average</w:t>
      </w:r>
      <w:r w:rsidR="0068329E" w:rsidRPr="00BB165A">
        <w:t xml:space="preserve"> annual growth in enrolment</w:t>
      </w:r>
      <w:r w:rsidR="00CE4F70">
        <w:t>s</w:t>
      </w:r>
      <w:r w:rsidR="0068329E" w:rsidRPr="00BB165A">
        <w:t>,</w:t>
      </w:r>
      <w:r w:rsidR="00D272CB" w:rsidRPr="00BB165A">
        <w:t xml:space="preserve"> </w:t>
      </w:r>
      <w:r>
        <w:t xml:space="preserve">while </w:t>
      </w:r>
      <w:r w:rsidR="00D272CB" w:rsidRPr="00BB165A">
        <w:t xml:space="preserve">all other jurisdictions experienced a lower-than-average growth in enrolments. </w:t>
      </w:r>
      <w:r w:rsidR="001D269A" w:rsidRPr="00BB165A">
        <w:t xml:space="preserve">The </w:t>
      </w:r>
      <w:r w:rsidR="00A05BF8" w:rsidRPr="00BB165A">
        <w:t xml:space="preserve">ACT, Victoria, and Queensland were the only states and territories to have experienced a contraction in enrolments </w:t>
      </w:r>
      <w:r w:rsidR="0025173B" w:rsidRPr="00BB165A">
        <w:t>in</w:t>
      </w:r>
      <w:r w:rsidR="001D269A" w:rsidRPr="00BB165A">
        <w:t xml:space="preserve"> 20</w:t>
      </w:r>
      <w:r w:rsidR="00EE2C64" w:rsidRPr="00BB165A">
        <w:t>20</w:t>
      </w:r>
      <w:r w:rsidR="00A05BF8" w:rsidRPr="00BB165A">
        <w:t xml:space="preserve">, </w:t>
      </w:r>
      <w:r w:rsidR="00EE2C64" w:rsidRPr="00BB165A">
        <w:t xml:space="preserve">with </w:t>
      </w:r>
      <w:r w:rsidR="00A05BF8" w:rsidRPr="00BB165A">
        <w:t xml:space="preserve">enrolments </w:t>
      </w:r>
      <w:r w:rsidR="004427E9" w:rsidRPr="00BB165A">
        <w:t>decli</w:t>
      </w:r>
      <w:r w:rsidR="008B1EDC" w:rsidRPr="00BB165A">
        <w:t>ning</w:t>
      </w:r>
      <w:r w:rsidR="00A05BF8" w:rsidRPr="00BB165A">
        <w:t xml:space="preserve"> by </w:t>
      </w:r>
      <w:r w:rsidR="004427E9" w:rsidRPr="00BB165A">
        <w:t xml:space="preserve">4%, 1%, and 1% respectively </w:t>
      </w:r>
      <w:r w:rsidR="00A62A86" w:rsidRPr="00BB165A">
        <w:t>(</w:t>
      </w:r>
      <w:r w:rsidR="00A62A86" w:rsidRPr="00BB165A">
        <w:fldChar w:fldCharType="begin"/>
      </w:r>
      <w:r w:rsidR="00A62A86" w:rsidRPr="00BB165A">
        <w:instrText xml:space="preserve"> REF _Ref534705897 \r \h  \* MERGEFORMAT </w:instrText>
      </w:r>
      <w:r w:rsidR="00A62A86" w:rsidRPr="00BB165A">
        <w:fldChar w:fldCharType="separate"/>
      </w:r>
      <w:r w:rsidR="00E83FB1">
        <w:t>Chart 1.3</w:t>
      </w:r>
      <w:r w:rsidR="00A62A86" w:rsidRPr="00BB165A">
        <w:fldChar w:fldCharType="end"/>
      </w:r>
      <w:r w:rsidR="00A62A86" w:rsidRPr="00BB165A">
        <w:t>).</w:t>
      </w:r>
    </w:p>
    <w:p w14:paraId="488562F8" w14:textId="5C8668FA" w:rsidR="00776795" w:rsidRPr="00BB165A" w:rsidRDefault="00776795" w:rsidP="00776795">
      <w:pPr>
        <w:pStyle w:val="CaptionChart"/>
      </w:pPr>
      <w:bookmarkStart w:id="281" w:name="_Ref534705897"/>
      <w:bookmarkStart w:id="282" w:name="_Toc20245954"/>
      <w:bookmarkStart w:id="283" w:name="_Toc105776343"/>
      <w:r w:rsidRPr="00BB165A">
        <w:t>: Student enrolments over time by state</w:t>
      </w:r>
      <w:bookmarkEnd w:id="281"/>
      <w:bookmarkEnd w:id="282"/>
      <w:r w:rsidR="00355033">
        <w:t xml:space="preserve"> (count)</w:t>
      </w:r>
      <w:bookmarkEnd w:id="283"/>
    </w:p>
    <w:p w14:paraId="510EDDCF" w14:textId="26A87A4B" w:rsidR="00A002F2" w:rsidRPr="00BB165A" w:rsidRDefault="00634C65" w:rsidP="00A002F2">
      <w:r>
        <w:rPr>
          <w:noProof/>
        </w:rPr>
        <w:drawing>
          <wp:inline distT="0" distB="0" distL="0" distR="0" wp14:anchorId="3CEDA7F6" wp14:editId="7A3F3ACD">
            <wp:extent cx="5731808" cy="3646395"/>
            <wp:effectExtent l="0" t="0" r="2540" b="0"/>
            <wp:docPr id="59" name="Chart 59" descr="Chart shows student enrolments over time by State (count). Highest amount is in NSW. Data is presented for the years 2015 to 2020 in columns.">
              <a:extLst xmlns:a="http://schemas.openxmlformats.org/drawingml/2006/main">
                <a:ext uri="{FF2B5EF4-FFF2-40B4-BE49-F238E27FC236}">
                  <a16:creationId xmlns:a16="http://schemas.microsoft.com/office/drawing/2014/main" id="{00000000-0008-0000-2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23F407" w14:textId="77777777" w:rsidR="00776795" w:rsidRPr="00BB165A" w:rsidRDefault="00776795" w:rsidP="00776795">
      <w:pPr>
        <w:pStyle w:val="Source"/>
      </w:pPr>
      <w:r w:rsidRPr="00BB165A">
        <w:t xml:space="preserve">Source: Cth </w:t>
      </w:r>
      <w:r w:rsidR="007B54D9" w:rsidRPr="00BB165A">
        <w:t xml:space="preserve">Department of Education </w:t>
      </w:r>
      <w:r w:rsidRPr="00BB165A">
        <w:t>data. Note: Total enrolments including domestic and international</w:t>
      </w:r>
      <w:r w:rsidR="00BB4C45" w:rsidRPr="00BB165A">
        <w:t xml:space="preserve"> students</w:t>
      </w:r>
      <w:r w:rsidRPr="00BB165A">
        <w:t xml:space="preserve">, and all levels of education </w:t>
      </w:r>
    </w:p>
    <w:p w14:paraId="2E55B3BE" w14:textId="6C3E3E64" w:rsidR="00776795" w:rsidRPr="00BB165A" w:rsidRDefault="00776795" w:rsidP="00776795">
      <w:r w:rsidRPr="00BB165A">
        <w:t>Sector-wide changes in aggregate financial measures (i.e.</w:t>
      </w:r>
      <w:r w:rsidR="0013535B" w:rsidRPr="00BB165A">
        <w:t>,</w:t>
      </w:r>
      <w:r w:rsidRPr="00BB165A">
        <w:t xml:space="preserve"> revenue and expenses) provide </w:t>
      </w:r>
      <w:r w:rsidR="00891789" w:rsidRPr="00BB165A">
        <w:t>a useful</w:t>
      </w:r>
      <w:r w:rsidRPr="00BB165A">
        <w:t xml:space="preserve"> point of reference on the growth in costs for the university sector in recent years. </w:t>
      </w:r>
    </w:p>
    <w:p w14:paraId="68D14BCC" w14:textId="5E40133C" w:rsidR="00E3185F" w:rsidRPr="00BB165A" w:rsidRDefault="00776795" w:rsidP="00776795">
      <w:r w:rsidRPr="00BB165A">
        <w:t xml:space="preserve">Total university expenses increased </w:t>
      </w:r>
      <w:r w:rsidR="00DC49FC" w:rsidRPr="00BB165A">
        <w:t xml:space="preserve">at a compound annual growth rate (CAGR) of </w:t>
      </w:r>
      <w:r w:rsidR="009256A9" w:rsidRPr="00BB165A">
        <w:t>5.1% from 2011 to 2020</w:t>
      </w:r>
      <w:r w:rsidR="0061261A" w:rsidRPr="00BB165A">
        <w:t xml:space="preserve"> </w:t>
      </w:r>
      <w:r w:rsidRPr="00BB165A">
        <w:t>(</w:t>
      </w:r>
      <w:r w:rsidR="008A3662" w:rsidRPr="00BB165A">
        <w:fldChar w:fldCharType="begin"/>
      </w:r>
      <w:r w:rsidR="008A3662" w:rsidRPr="00BB165A">
        <w:instrText xml:space="preserve"> REF _Ref532205930 \r \h </w:instrText>
      </w:r>
      <w:r w:rsidR="008B3BBC" w:rsidRPr="00BB165A">
        <w:instrText xml:space="preserve"> \* MERGEFORMAT </w:instrText>
      </w:r>
      <w:r w:rsidR="008A3662" w:rsidRPr="00BB165A">
        <w:fldChar w:fldCharType="separate"/>
      </w:r>
      <w:r w:rsidR="00E83FB1">
        <w:t>Chart 1.4</w:t>
      </w:r>
      <w:r w:rsidR="008A3662" w:rsidRPr="00BB165A">
        <w:fldChar w:fldCharType="end"/>
      </w:r>
      <w:r w:rsidRPr="00BB165A">
        <w:t>). The largest growth in expenses</w:t>
      </w:r>
      <w:r w:rsidR="005A4E32" w:rsidRPr="00BB165A">
        <w:t xml:space="preserve"> over this period </w:t>
      </w:r>
      <w:r w:rsidRPr="00BB165A">
        <w:t>related to depreciation, amortisation</w:t>
      </w:r>
      <w:r w:rsidR="0061261A" w:rsidRPr="00BB165A">
        <w:t>,</w:t>
      </w:r>
      <w:r w:rsidRPr="00BB165A">
        <w:t xml:space="preserve"> and finance costs (</w:t>
      </w:r>
      <w:r w:rsidR="00465D92" w:rsidRPr="00BB165A">
        <w:t>7</w:t>
      </w:r>
      <w:r w:rsidR="0013535B" w:rsidRPr="00BB165A">
        <w:t>.</w:t>
      </w:r>
      <w:r w:rsidR="004A6791" w:rsidRPr="00BB165A">
        <w:t>8</w:t>
      </w:r>
      <w:r w:rsidRPr="00BB165A">
        <w:t>%)</w:t>
      </w:r>
      <w:r w:rsidR="0068447D" w:rsidRPr="00BB165A">
        <w:t xml:space="preserve">. </w:t>
      </w:r>
      <w:r w:rsidR="00A31A7D" w:rsidRPr="00BB165A">
        <w:t>There was also growth over the same period in</w:t>
      </w:r>
      <w:r w:rsidR="004C0F38" w:rsidRPr="00BB165A">
        <w:t xml:space="preserve"> non-academic employee costs (5.5%), </w:t>
      </w:r>
      <w:r w:rsidR="00A65AB9" w:rsidRPr="00BB165A">
        <w:t xml:space="preserve">academic employee costs (5.1%), and other expenses (4.1%). </w:t>
      </w:r>
    </w:p>
    <w:p w14:paraId="5FDFE7E2" w14:textId="516AAB24" w:rsidR="003D2A76" w:rsidRPr="00BB165A" w:rsidRDefault="0013535B" w:rsidP="00776795">
      <w:r w:rsidRPr="00BB165A">
        <w:t xml:space="preserve">The net operating result </w:t>
      </w:r>
      <w:r w:rsidR="003D2A76" w:rsidRPr="00BB165A">
        <w:t xml:space="preserve">fell </w:t>
      </w:r>
      <w:r w:rsidR="00830013" w:rsidRPr="00BB165A">
        <w:t>70.7% in 2020</w:t>
      </w:r>
      <w:r w:rsidR="00A82E84">
        <w:t xml:space="preserve"> from 2019</w:t>
      </w:r>
      <w:r w:rsidR="00E3185F" w:rsidRPr="00BB165A">
        <w:t xml:space="preserve">, having </w:t>
      </w:r>
      <w:r w:rsidR="00F3008F" w:rsidRPr="00BB165A">
        <w:t>grown at a CAGR of 2.0% from 2011 to 2019</w:t>
      </w:r>
      <w:r w:rsidR="00196827" w:rsidRPr="00BB165A">
        <w:t xml:space="preserve"> (</w:t>
      </w:r>
      <w:r w:rsidR="00196827" w:rsidRPr="00BB165A">
        <w:fldChar w:fldCharType="begin"/>
      </w:r>
      <w:r w:rsidR="00196827" w:rsidRPr="00BB165A">
        <w:instrText xml:space="preserve"> REF _Ref100135165 \r \h  \* MERGEFORMAT </w:instrText>
      </w:r>
      <w:r w:rsidR="00196827" w:rsidRPr="00BB165A">
        <w:fldChar w:fldCharType="separate"/>
      </w:r>
      <w:r w:rsidR="00E83FB1">
        <w:t>Chart 1.5</w:t>
      </w:r>
      <w:r w:rsidR="00196827" w:rsidRPr="00BB165A">
        <w:fldChar w:fldCharType="end"/>
      </w:r>
      <w:r w:rsidR="00196827" w:rsidRPr="00BB165A">
        <w:t xml:space="preserve">). </w:t>
      </w:r>
      <w:r w:rsidR="00E27F99" w:rsidRPr="00BB165A">
        <w:t xml:space="preserve">Total expenses fell 0.7% in 2020, led by a 10.7% decrease in other expenses which outweighed </w:t>
      </w:r>
      <w:r w:rsidR="00865BD1" w:rsidRPr="00BB165A">
        <w:t>gains in academic employee costs (</w:t>
      </w:r>
      <w:r w:rsidR="00DD417E" w:rsidRPr="00BB165A">
        <w:t>5.2%), non-academic employee costs (5.1%) and depreciation, amortisation and finance costs (</w:t>
      </w:r>
      <w:r w:rsidR="00196827" w:rsidRPr="00BB165A">
        <w:t>1.9</w:t>
      </w:r>
      <w:r w:rsidR="00EA7651">
        <w:t>%</w:t>
      </w:r>
      <w:r w:rsidR="00196827" w:rsidRPr="00BB165A">
        <w:t xml:space="preserve">). </w:t>
      </w:r>
      <w:r w:rsidR="005267CA">
        <w:t xml:space="preserve">The fall in </w:t>
      </w:r>
      <w:r w:rsidR="00977148">
        <w:t xml:space="preserve">other </w:t>
      </w:r>
      <w:r w:rsidR="00017A40">
        <w:t>expenses</w:t>
      </w:r>
      <w:r w:rsidR="00977148">
        <w:t xml:space="preserve"> was largely due to </w:t>
      </w:r>
      <w:r w:rsidR="00314B46">
        <w:t>falls in non-staff costs such as travel, conferences and events</w:t>
      </w:r>
      <w:r w:rsidR="00496148">
        <w:t xml:space="preserve">, though there was also a decline in </w:t>
      </w:r>
      <w:r w:rsidR="00ED3F59">
        <w:t xml:space="preserve">repairs and maintenance </w:t>
      </w:r>
      <w:r w:rsidR="007B4DA7">
        <w:t>expenditure</w:t>
      </w:r>
      <w:r w:rsidR="00ED3F59">
        <w:t xml:space="preserve">. </w:t>
      </w:r>
    </w:p>
    <w:p w14:paraId="4F1DC156" w14:textId="755F5FF7" w:rsidR="00776795" w:rsidRPr="00BB165A" w:rsidRDefault="00776795" w:rsidP="00776795">
      <w:r w:rsidRPr="00BB165A">
        <w:t>Labour costs</w:t>
      </w:r>
      <w:r w:rsidR="00D36BDB" w:rsidRPr="00BB165A">
        <w:t xml:space="preserve"> increased slightly, representing </w:t>
      </w:r>
      <w:r w:rsidR="00694154" w:rsidRPr="00BB165A">
        <w:t>59% of total expenses (31% academic, 28% non-academic) in 2020</w:t>
      </w:r>
      <w:r w:rsidR="00CB15F8" w:rsidRPr="00BB165A">
        <w:t xml:space="preserve">. </w:t>
      </w:r>
      <w:r w:rsidR="0095656E" w:rsidRPr="00BB165A">
        <w:t xml:space="preserve">Historically, labour costs have represented </w:t>
      </w:r>
      <w:r w:rsidRPr="00BB165A">
        <w:t>57% of total expenses (30% aca</w:t>
      </w:r>
      <w:r w:rsidR="00F0218B" w:rsidRPr="00BB165A">
        <w:t>demic, 27% non-academic)</w:t>
      </w:r>
      <w:r w:rsidRPr="00BB165A">
        <w:t xml:space="preserve">, </w:t>
      </w:r>
      <w:r w:rsidR="00F57495" w:rsidRPr="00BB165A">
        <w:t xml:space="preserve">a ratio that </w:t>
      </w:r>
      <w:r w:rsidRPr="00BB165A">
        <w:t xml:space="preserve">has been </w:t>
      </w:r>
      <w:r w:rsidR="00F0218B" w:rsidRPr="00BB165A">
        <w:t xml:space="preserve">almost constant for the past </w:t>
      </w:r>
      <w:r w:rsidR="0095656E" w:rsidRPr="00BB165A">
        <w:t>8</w:t>
      </w:r>
      <w:r w:rsidR="00F0218B" w:rsidRPr="00BB165A">
        <w:t xml:space="preserve"> years.</w:t>
      </w:r>
    </w:p>
    <w:p w14:paraId="438ED955" w14:textId="6028E476" w:rsidR="00776795" w:rsidRPr="00BB165A" w:rsidRDefault="00776795" w:rsidP="00776795">
      <w:pPr>
        <w:pStyle w:val="CaptionChart"/>
      </w:pPr>
      <w:bookmarkStart w:id="284" w:name="_Toc533173835"/>
      <w:bookmarkStart w:id="285" w:name="_Toc533173836"/>
      <w:bookmarkStart w:id="286" w:name="_Ref532205930"/>
      <w:bookmarkStart w:id="287" w:name="_Toc20245956"/>
      <w:bookmarkStart w:id="288" w:name="_Toc105776344"/>
      <w:bookmarkEnd w:id="284"/>
      <w:bookmarkEnd w:id="285"/>
      <w:r w:rsidRPr="00BB165A">
        <w:t>: Total expenses and net operating result for Austral</w:t>
      </w:r>
      <w:r w:rsidR="00891789" w:rsidRPr="00BB165A">
        <w:t>ian public universities (2011</w:t>
      </w:r>
      <w:r w:rsidR="00A17B8F" w:rsidRPr="00BB165A">
        <w:t xml:space="preserve"> to 20</w:t>
      </w:r>
      <w:r w:rsidR="003A6AFA" w:rsidRPr="00BB165A">
        <w:t>20</w:t>
      </w:r>
      <w:r w:rsidRPr="00BB165A">
        <w:t>)</w:t>
      </w:r>
      <w:bookmarkEnd w:id="286"/>
      <w:bookmarkEnd w:id="287"/>
      <w:bookmarkEnd w:id="288"/>
    </w:p>
    <w:p w14:paraId="4196AEB2" w14:textId="34730BC1" w:rsidR="003A6AFA" w:rsidRPr="00BB165A" w:rsidRDefault="00913BB7" w:rsidP="003A6AFA">
      <w:r w:rsidRPr="00BB165A">
        <w:rPr>
          <w:noProof/>
        </w:rPr>
        <w:drawing>
          <wp:inline distT="0" distB="0" distL="0" distR="0" wp14:anchorId="50E17AC6" wp14:editId="2BD3707F">
            <wp:extent cx="5063132" cy="2998607"/>
            <wp:effectExtent l="0" t="0" r="4445" b="0"/>
            <wp:docPr id="459974157" name="Chart 459974157" descr="Chart shows total expenses and net operating result for Australian public universities (2011 to 2020). Broken down into Net operating result, Depreciation, amortisation and finance costs, other expenses, non-academic employee costs and academic employee costs in columns.">
              <a:extLst xmlns:a="http://schemas.openxmlformats.org/drawingml/2006/main">
                <a:ext uri="{FF2B5EF4-FFF2-40B4-BE49-F238E27FC236}">
                  <a16:creationId xmlns:a16="http://schemas.microsoft.com/office/drawing/2014/main" id="{00000000-0008-0000-6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EA2575" w14:textId="77777777" w:rsidR="00776795" w:rsidRPr="00BB165A" w:rsidRDefault="00776795" w:rsidP="00776795">
      <w:pPr>
        <w:pStyle w:val="Source"/>
      </w:pPr>
      <w:bookmarkStart w:id="289" w:name="_Hlk96610209"/>
      <w:r w:rsidRPr="00BB165A">
        <w:t xml:space="preserve">Source: Cth DET data </w:t>
      </w:r>
    </w:p>
    <w:p w14:paraId="49B76659" w14:textId="77777777" w:rsidR="00461EFD" w:rsidRPr="00BB165A" w:rsidRDefault="00461EFD" w:rsidP="00461EFD"/>
    <w:bookmarkEnd w:id="289"/>
    <w:p w14:paraId="64A83F14" w14:textId="5A0A13FF" w:rsidR="00F80AF4" w:rsidRPr="00BB165A" w:rsidRDefault="00F80AF4" w:rsidP="00F80AF4">
      <w:pPr>
        <w:pStyle w:val="CaptionChart"/>
      </w:pPr>
      <w:r w:rsidRPr="00BB165A">
        <w:t xml:space="preserve"> </w:t>
      </w:r>
      <w:bookmarkStart w:id="290" w:name="_Ref100135165"/>
      <w:bookmarkStart w:id="291" w:name="_Toc105776345"/>
      <w:r w:rsidR="00A558C4" w:rsidRPr="00BB165A">
        <w:t>Percentage c</w:t>
      </w:r>
      <w:r w:rsidRPr="00BB165A">
        <w:t xml:space="preserve">hange in </w:t>
      </w:r>
      <w:r w:rsidR="00A558C4" w:rsidRPr="00BB165A">
        <w:t>university expenses between 2019 and 2020</w:t>
      </w:r>
      <w:bookmarkEnd w:id="290"/>
      <w:bookmarkEnd w:id="291"/>
    </w:p>
    <w:p w14:paraId="1193601B" w14:textId="369EE1A7" w:rsidR="002E7DCA" w:rsidRPr="00BB165A" w:rsidRDefault="00DC48E8" w:rsidP="002E7DCA">
      <w:r w:rsidRPr="00BB165A">
        <w:rPr>
          <w:noProof/>
        </w:rPr>
        <w:drawing>
          <wp:inline distT="0" distB="0" distL="0" distR="0" wp14:anchorId="08438DED" wp14:editId="5F4BAE75">
            <wp:extent cx="5080959" cy="2846717"/>
            <wp:effectExtent l="0" t="0" r="5715" b="0"/>
            <wp:docPr id="33" name="Chart 33" descr="Chart shows Percentage change in university expenses between 2019 and 2020. Total expenses down 0.7 per cent between 2019 and 2020 in columns.">
              <a:extLst xmlns:a="http://schemas.openxmlformats.org/drawingml/2006/main">
                <a:ext uri="{FF2B5EF4-FFF2-40B4-BE49-F238E27FC236}">
                  <a16:creationId xmlns:a16="http://schemas.microsoft.com/office/drawing/2014/main" id="{40DFE60C-CA63-42E8-B74F-9209E0A4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0386F73" w14:textId="77777777" w:rsidR="00277D7D" w:rsidRPr="00BB165A" w:rsidRDefault="00277D7D" w:rsidP="00277D7D">
      <w:pPr>
        <w:pStyle w:val="Source"/>
      </w:pPr>
      <w:r w:rsidRPr="00BB165A">
        <w:t xml:space="preserve">Source: Cth DET data </w:t>
      </w:r>
    </w:p>
    <w:p w14:paraId="5CABC3FB" w14:textId="655DFD4C" w:rsidR="00BB4C45" w:rsidRPr="00BB165A" w:rsidRDefault="00FE7C0A" w:rsidP="001F0F40">
      <w:r w:rsidRPr="00BB165A">
        <w:t xml:space="preserve">Total revenue from continuing operations grew at a CAGR of </w:t>
      </w:r>
      <w:r w:rsidR="00210FAC">
        <w:t>5.6</w:t>
      </w:r>
      <w:r w:rsidRPr="00BB165A">
        <w:t xml:space="preserve">% from </w:t>
      </w:r>
      <w:r w:rsidR="00E053FA" w:rsidRPr="00BB165A">
        <w:t>2011</w:t>
      </w:r>
      <w:r w:rsidR="0024333E" w:rsidRPr="00BB165A">
        <w:t xml:space="preserve"> and</w:t>
      </w:r>
      <w:r w:rsidR="002C26E0" w:rsidRPr="00BB165A">
        <w:t xml:space="preserve"> </w:t>
      </w:r>
      <w:r w:rsidR="00210FAC">
        <w:t>2019</w:t>
      </w:r>
      <w:r w:rsidR="00BB4C45" w:rsidRPr="00BB165A">
        <w:t xml:space="preserve">, with the strongest growth </w:t>
      </w:r>
      <w:r w:rsidR="00506C23" w:rsidRPr="00BB165A">
        <w:t>in</w:t>
      </w:r>
      <w:r w:rsidR="00BB4C45" w:rsidRPr="00BB165A">
        <w:t xml:space="preserve"> </w:t>
      </w:r>
      <w:r w:rsidR="00843EE9" w:rsidRPr="00BB165A">
        <w:t>fees and charges</w:t>
      </w:r>
      <w:r w:rsidR="008206E1" w:rsidRPr="00BB165A">
        <w:rPr>
          <w:rStyle w:val="FootnoteReference"/>
        </w:rPr>
        <w:footnoteReference w:id="17"/>
      </w:r>
      <w:r w:rsidR="00843EE9" w:rsidRPr="00BB165A">
        <w:t xml:space="preserve"> (</w:t>
      </w:r>
      <w:r w:rsidR="00131F75">
        <w:t>10.1</w:t>
      </w:r>
      <w:r w:rsidR="00843EE9" w:rsidRPr="00BB165A">
        <w:t>%)</w:t>
      </w:r>
      <w:r w:rsidR="00AF6BE0">
        <w:t xml:space="preserve">, </w:t>
      </w:r>
      <w:r w:rsidR="00821DBC" w:rsidRPr="00BB165A">
        <w:t>Higher Education Loan Program (</w:t>
      </w:r>
      <w:r w:rsidR="00BB4C45" w:rsidRPr="00BB165A">
        <w:t>HELP</w:t>
      </w:r>
      <w:r w:rsidR="00821DBC" w:rsidRPr="00BB165A">
        <w:t>)</w:t>
      </w:r>
      <w:r w:rsidR="00BB4C45" w:rsidRPr="00BB165A">
        <w:t xml:space="preserve"> payments</w:t>
      </w:r>
      <w:r w:rsidR="00F87391" w:rsidRPr="00BB165A">
        <w:t xml:space="preserve"> and upfront contributions</w:t>
      </w:r>
      <w:r w:rsidR="00D530BD" w:rsidRPr="00BB165A">
        <w:rPr>
          <w:rStyle w:val="FootnoteReference"/>
        </w:rPr>
        <w:footnoteReference w:id="18"/>
      </w:r>
      <w:r w:rsidR="00BB4C45" w:rsidRPr="00BB165A">
        <w:t xml:space="preserve"> </w:t>
      </w:r>
      <w:r w:rsidR="00CC5812" w:rsidRPr="00BB165A">
        <w:t>(6.</w:t>
      </w:r>
      <w:r w:rsidR="00AF6BE0">
        <w:t>3</w:t>
      </w:r>
      <w:r w:rsidR="00CC5812" w:rsidRPr="00BB165A">
        <w:t>%)</w:t>
      </w:r>
      <w:r w:rsidR="00AF6BE0">
        <w:t xml:space="preserve"> and other income (6.3%)</w:t>
      </w:r>
      <w:r w:rsidR="008239CF" w:rsidRPr="00BB165A">
        <w:t>.</w:t>
      </w:r>
      <w:r w:rsidR="00BB4C45" w:rsidRPr="00BB165A">
        <w:t xml:space="preserve"> </w:t>
      </w:r>
      <w:r w:rsidR="009D315D" w:rsidRPr="00BB165A">
        <w:t xml:space="preserve">There were gains </w:t>
      </w:r>
      <w:r w:rsidR="002D636D" w:rsidRPr="00BB165A">
        <w:t xml:space="preserve">in </w:t>
      </w:r>
      <w:r w:rsidR="00BB4C45" w:rsidRPr="00BB165A">
        <w:t xml:space="preserve">CGS and </w:t>
      </w:r>
      <w:r w:rsidR="000E1B85" w:rsidRPr="00BB165A">
        <w:t>o</w:t>
      </w:r>
      <w:r w:rsidR="00BB4C45" w:rsidRPr="00BB165A">
        <w:t xml:space="preserve">ther </w:t>
      </w:r>
      <w:r w:rsidR="000E1B85" w:rsidRPr="00BB165A">
        <w:t>s</w:t>
      </w:r>
      <w:r w:rsidR="00BB4C45" w:rsidRPr="00BB165A">
        <w:t xml:space="preserve">tudent </w:t>
      </w:r>
      <w:r w:rsidR="000E1B85" w:rsidRPr="00BB165A">
        <w:t>g</w:t>
      </w:r>
      <w:r w:rsidR="00BB4C45" w:rsidRPr="00BB165A">
        <w:t>rants</w:t>
      </w:r>
      <w:r w:rsidR="00070C6A" w:rsidRPr="00BB165A">
        <w:t xml:space="preserve">, research grants. The only </w:t>
      </w:r>
      <w:r w:rsidR="00820C7E" w:rsidRPr="00BB165A">
        <w:t>decline was seen in other government grants, which fell by a CAGR of 2.</w:t>
      </w:r>
      <w:r w:rsidR="00284DC8">
        <w:t>9</w:t>
      </w:r>
      <w:r w:rsidR="00820C7E" w:rsidRPr="00BB165A">
        <w:t xml:space="preserve">% from 2011 to </w:t>
      </w:r>
      <w:r w:rsidR="00284DC8">
        <w:t>2019</w:t>
      </w:r>
      <w:r w:rsidR="00820C7E" w:rsidRPr="00BB165A">
        <w:t xml:space="preserve">. </w:t>
      </w:r>
      <w:r w:rsidR="001120BC" w:rsidRPr="00BB165A">
        <w:t xml:space="preserve">Total revenue </w:t>
      </w:r>
      <w:r w:rsidR="000D1314" w:rsidRPr="00BB165A">
        <w:t>fell</w:t>
      </w:r>
      <w:r w:rsidR="001120BC" w:rsidRPr="00BB165A">
        <w:t xml:space="preserve"> 5.1% </w:t>
      </w:r>
      <w:r w:rsidR="00566BE8" w:rsidRPr="00BB165A">
        <w:t>in</w:t>
      </w:r>
      <w:r w:rsidR="001120BC" w:rsidRPr="00BB165A">
        <w:t xml:space="preserve"> 2020</w:t>
      </w:r>
      <w:r w:rsidR="00820137" w:rsidRPr="00BB165A">
        <w:t xml:space="preserve">, driven by a </w:t>
      </w:r>
      <w:r w:rsidR="00A53ABF" w:rsidRPr="00BB165A">
        <w:t xml:space="preserve">9.5% </w:t>
      </w:r>
      <w:r w:rsidR="00820137" w:rsidRPr="00BB165A">
        <w:t xml:space="preserve">decline in revenue from </w:t>
      </w:r>
      <w:r w:rsidR="00C6305E" w:rsidRPr="00BB165A">
        <w:t xml:space="preserve">fees and charges and </w:t>
      </w:r>
      <w:r w:rsidR="00A53ABF" w:rsidRPr="00BB165A">
        <w:t xml:space="preserve">a 20.7% decline in revenue from </w:t>
      </w:r>
      <w:r w:rsidR="00C6305E" w:rsidRPr="00BB165A">
        <w:t xml:space="preserve">other income. </w:t>
      </w:r>
    </w:p>
    <w:p w14:paraId="0FEC0364" w14:textId="40427A7D" w:rsidR="00B674CF" w:rsidRPr="00BB165A" w:rsidRDefault="00B674CF" w:rsidP="000D1314">
      <w:r w:rsidRPr="00BB165A">
        <w:t>Fees and charges have increased from 23% of total revenue in 2011 to 31% in 2020.</w:t>
      </w:r>
      <w:r w:rsidR="00775AE1" w:rsidRPr="00BB165A">
        <w:t xml:space="preserve"> </w:t>
      </w:r>
      <w:r w:rsidR="00DC2AF5" w:rsidRPr="00BB165A">
        <w:t xml:space="preserve">CGS </w:t>
      </w:r>
      <w:r w:rsidR="007527DD" w:rsidRPr="00BB165A">
        <w:t xml:space="preserve">and other student grants and other government grants have both fallen as a share of total revenue from 2011 to 2020, while other revenue categories have remained relatively constant as </w:t>
      </w:r>
      <w:r w:rsidR="00494DC3" w:rsidRPr="00BB165A">
        <w:t xml:space="preserve">shares of total revenue. </w:t>
      </w:r>
    </w:p>
    <w:p w14:paraId="0C0AA963" w14:textId="05696031" w:rsidR="00776795" w:rsidRPr="00BB165A" w:rsidRDefault="00776795" w:rsidP="00776795">
      <w:pPr>
        <w:pStyle w:val="CaptionChart"/>
      </w:pPr>
      <w:bookmarkStart w:id="292" w:name="_Ref532205949"/>
      <w:bookmarkStart w:id="293" w:name="_Toc20245958"/>
      <w:bookmarkStart w:id="294" w:name="_Toc105776346"/>
      <w:r w:rsidRPr="00BB165A">
        <w:t>: Total revenue for Australi</w:t>
      </w:r>
      <w:r w:rsidR="00843EE9" w:rsidRPr="00BB165A">
        <w:t>an public universities (2011</w:t>
      </w:r>
      <w:r w:rsidR="00A17B8F" w:rsidRPr="00BB165A">
        <w:t xml:space="preserve"> </w:t>
      </w:r>
      <w:r w:rsidR="00396E30" w:rsidRPr="00BB165A">
        <w:t xml:space="preserve">to </w:t>
      </w:r>
      <w:r w:rsidR="00A17B8F" w:rsidRPr="00BB165A">
        <w:t>20</w:t>
      </w:r>
      <w:r w:rsidR="00DA11EF" w:rsidRPr="00BB165A">
        <w:t>20</w:t>
      </w:r>
      <w:r w:rsidRPr="00BB165A">
        <w:t>)</w:t>
      </w:r>
      <w:bookmarkEnd w:id="292"/>
      <w:bookmarkEnd w:id="293"/>
      <w:bookmarkEnd w:id="294"/>
    </w:p>
    <w:p w14:paraId="7A77EE4D" w14:textId="284C25C7" w:rsidR="00DA11EF" w:rsidRPr="00BB165A" w:rsidRDefault="00893065" w:rsidP="00DA11EF">
      <w:r w:rsidRPr="00BB165A">
        <w:rPr>
          <w:noProof/>
        </w:rPr>
        <w:drawing>
          <wp:inline distT="0" distB="0" distL="0" distR="0" wp14:anchorId="4E1A0B33" wp14:editId="24C26555">
            <wp:extent cx="5065760" cy="2996383"/>
            <wp:effectExtent l="0" t="0" r="1905" b="0"/>
            <wp:docPr id="459974158" name="Chart 459974158" descr="Chart shows total revenue for Australian public universities (2011 to 2020). Broken down into CGS and other student grants, HELP payments and upfront contributions, Research Grants, Other Government Grants, Fees and Charges and other income in columns.">
              <a:extLst xmlns:a="http://schemas.openxmlformats.org/drawingml/2006/main">
                <a:ext uri="{FF2B5EF4-FFF2-40B4-BE49-F238E27FC236}">
                  <a16:creationId xmlns:a16="http://schemas.microsoft.com/office/drawing/2014/main" id="{00000000-0008-0000-6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2D7CAE5" w14:textId="77777777" w:rsidR="00776795" w:rsidRPr="00BB165A" w:rsidRDefault="00776795" w:rsidP="00776795">
      <w:pPr>
        <w:pStyle w:val="Source"/>
      </w:pPr>
      <w:r w:rsidRPr="00BB165A">
        <w:t xml:space="preserve">Source: Cth DET data </w:t>
      </w:r>
    </w:p>
    <w:p w14:paraId="5B8FA9A7" w14:textId="04E2E5F3" w:rsidR="00776795" w:rsidRPr="00BB165A" w:rsidRDefault="00776795" w:rsidP="00776795">
      <w:r w:rsidRPr="00BB165A">
        <w:t>Growth in total costs can be decomposed between growth in total EFTSL (</w:t>
      </w:r>
      <w:r w:rsidR="00BB4C45" w:rsidRPr="00BB165A">
        <w:t>i.e. increases in student volumes</w:t>
      </w:r>
      <w:r w:rsidRPr="00BB165A">
        <w:t>) and growth in unit costs (</w:t>
      </w:r>
      <w:r w:rsidR="00BB4C45" w:rsidRPr="00BB165A">
        <w:t>i.e. increases in average cost per EFTSL</w:t>
      </w:r>
      <w:r w:rsidRPr="00BB165A">
        <w:t xml:space="preserve">). </w:t>
      </w:r>
      <w:r w:rsidR="008A3662" w:rsidRPr="00BB165A">
        <w:fldChar w:fldCharType="begin"/>
      </w:r>
      <w:r w:rsidR="008A3662" w:rsidRPr="00BB165A">
        <w:instrText xml:space="preserve"> REF _Ref532205965 \r \h </w:instrText>
      </w:r>
      <w:r w:rsidR="008B3BBC" w:rsidRPr="00BB165A">
        <w:instrText xml:space="preserve"> \* MERGEFORMAT </w:instrText>
      </w:r>
      <w:r w:rsidR="008A3662" w:rsidRPr="00BB165A">
        <w:fldChar w:fldCharType="separate"/>
      </w:r>
      <w:r w:rsidR="00E83FB1">
        <w:t>Chart 1.7</w:t>
      </w:r>
      <w:r w:rsidR="008A3662" w:rsidRPr="00BB165A">
        <w:fldChar w:fldCharType="end"/>
      </w:r>
      <w:r w:rsidR="008A3662" w:rsidRPr="00BB165A">
        <w:t xml:space="preserve"> </w:t>
      </w:r>
      <w:r w:rsidRPr="00BB165A">
        <w:t xml:space="preserve">shows this decomposition and the </w:t>
      </w:r>
      <w:r w:rsidR="00634136" w:rsidRPr="00BB165A">
        <w:t xml:space="preserve">high </w:t>
      </w:r>
      <w:r w:rsidRPr="00BB165A">
        <w:t xml:space="preserve">variance </w:t>
      </w:r>
      <w:r w:rsidR="00634136" w:rsidRPr="00BB165A">
        <w:t xml:space="preserve">of </w:t>
      </w:r>
      <w:r w:rsidRPr="00BB165A">
        <w:t>unit cost</w:t>
      </w:r>
      <w:r w:rsidR="00634136" w:rsidRPr="00BB165A">
        <w:t xml:space="preserve"> growth</w:t>
      </w:r>
      <w:r w:rsidRPr="00BB165A">
        <w:t xml:space="preserve"> year-on-year. </w:t>
      </w:r>
      <w:r w:rsidR="0000031E" w:rsidRPr="00BB165A">
        <w:t>From</w:t>
      </w:r>
      <w:r w:rsidRPr="00BB165A">
        <w:t xml:space="preserve"> 201</w:t>
      </w:r>
      <w:r w:rsidR="000B3B8A" w:rsidRPr="00BB165A">
        <w:t>2</w:t>
      </w:r>
      <w:r w:rsidR="0000031E" w:rsidRPr="00BB165A">
        <w:t xml:space="preserve"> to 2019</w:t>
      </w:r>
      <w:r w:rsidRPr="00BB165A">
        <w:t xml:space="preserve">, EFTSL growth has been the more significant driver of cost growth relative to increases in cost per EFTSL. </w:t>
      </w:r>
      <w:r w:rsidR="005E0B3B" w:rsidRPr="00BB165A">
        <w:t xml:space="preserve">Total EFTSL fell 0.9% in 2020 compared to a </w:t>
      </w:r>
      <w:r w:rsidR="005B675C" w:rsidRPr="00BB165A">
        <w:t xml:space="preserve">0.2% rise in unit costs. </w:t>
      </w:r>
    </w:p>
    <w:p w14:paraId="316C4C40" w14:textId="5497E189" w:rsidR="00776795" w:rsidRPr="00BB165A" w:rsidRDefault="00776795" w:rsidP="00776795">
      <w:pPr>
        <w:pStyle w:val="CaptionChart"/>
      </w:pPr>
      <w:bookmarkStart w:id="295" w:name="_Ref531945718"/>
      <w:bookmarkStart w:id="296" w:name="_Ref532205939"/>
      <w:bookmarkStart w:id="297" w:name="_Ref532205965"/>
      <w:bookmarkStart w:id="298" w:name="_Toc20245960"/>
      <w:bookmarkStart w:id="299" w:name="_Toc105776347"/>
      <w:r w:rsidRPr="00BB165A">
        <w:t>: Cost growth decomposed by growth in EFTSL and growth in unit costs (201</w:t>
      </w:r>
      <w:r w:rsidR="00CD1880" w:rsidRPr="00BB165A">
        <w:t>2</w:t>
      </w:r>
      <w:r w:rsidR="00A17B8F" w:rsidRPr="00BB165A">
        <w:t xml:space="preserve"> to 2020</w:t>
      </w:r>
      <w:r w:rsidRPr="00BB165A">
        <w:t>)</w:t>
      </w:r>
      <w:bookmarkEnd w:id="295"/>
      <w:bookmarkEnd w:id="296"/>
      <w:bookmarkEnd w:id="297"/>
      <w:bookmarkEnd w:id="298"/>
      <w:bookmarkEnd w:id="299"/>
    </w:p>
    <w:p w14:paraId="1D709BD0" w14:textId="6DCF8D09" w:rsidR="006F3E7F" w:rsidRPr="00BB165A" w:rsidRDefault="00396E30" w:rsidP="006F3E7F">
      <w:r w:rsidRPr="00BB165A">
        <w:rPr>
          <w:noProof/>
        </w:rPr>
        <w:drawing>
          <wp:inline distT="0" distB="0" distL="0" distR="0" wp14:anchorId="4E627F84" wp14:editId="6FD75881">
            <wp:extent cx="5244861" cy="2846717"/>
            <wp:effectExtent l="0" t="0" r="0" b="0"/>
            <wp:docPr id="34" name="Chart 34" descr="Chart shows cost growth decomposed by growth in EFTSL and growth in unit costs (2012 to 2020). All years have an EFTSL growth and a cost per EFTSL growth apart from 2020 which has a negative .9 per cent EFTSL growth. Displayed in columns.">
              <a:extLst xmlns:a="http://schemas.openxmlformats.org/drawingml/2006/main">
                <a:ext uri="{FF2B5EF4-FFF2-40B4-BE49-F238E27FC236}">
                  <a16:creationId xmlns:a16="http://schemas.microsoft.com/office/drawing/2014/main" id="{00000000-0008-0000-2A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DE7541B" w14:textId="77777777" w:rsidR="00776795" w:rsidRPr="00BB165A" w:rsidRDefault="00776795" w:rsidP="00776795">
      <w:pPr>
        <w:pStyle w:val="Source"/>
      </w:pPr>
      <w:r w:rsidRPr="00BB165A">
        <w:t xml:space="preserve">Source: Cth DET data. Note: Total EFTSL including domestic and international, and all levels of education </w:t>
      </w:r>
    </w:p>
    <w:p w14:paraId="6E925963" w14:textId="18D84039" w:rsidR="007B63E6" w:rsidRPr="00BB165A" w:rsidRDefault="007B63E6" w:rsidP="00EB4550">
      <w:r w:rsidRPr="00BB165A">
        <w:t>These trends highlight the association between student enrolments and growth in costs in the sector as a whole and provide useful background for assessing changes in the costs of teaching and scholarship over time</w:t>
      </w:r>
      <w:r w:rsidR="00493F0C" w:rsidRPr="00BB165A">
        <w:t>,</w:t>
      </w:r>
      <w:r w:rsidRPr="00BB165A">
        <w:t xml:space="preserve"> which </w:t>
      </w:r>
      <w:r w:rsidR="00CB59CF">
        <w:t>are</w:t>
      </w:r>
      <w:r w:rsidR="00CB59CF" w:rsidRPr="00BB165A">
        <w:t xml:space="preserve"> </w:t>
      </w:r>
      <w:r w:rsidRPr="00BB165A">
        <w:t xml:space="preserve">examined in the following chapter. </w:t>
      </w:r>
    </w:p>
    <w:p w14:paraId="7F7C1309" w14:textId="77777777" w:rsidR="00776795" w:rsidRPr="00BB165A" w:rsidRDefault="00776795" w:rsidP="00776795">
      <w:pPr>
        <w:pStyle w:val="Heading2"/>
      </w:pPr>
      <w:bookmarkStart w:id="300" w:name="_Toc20246006"/>
      <w:bookmarkStart w:id="301" w:name="_Toc105776185"/>
      <w:r w:rsidRPr="00BB165A">
        <w:t>Report structure</w:t>
      </w:r>
      <w:bookmarkEnd w:id="300"/>
      <w:bookmarkEnd w:id="301"/>
    </w:p>
    <w:p w14:paraId="55F34C03" w14:textId="77777777" w:rsidR="00776795" w:rsidRPr="00BB165A" w:rsidRDefault="00776795" w:rsidP="00776795">
      <w:r w:rsidRPr="00BB165A">
        <w:t>The remainder of the report is organised as follows:</w:t>
      </w:r>
    </w:p>
    <w:p w14:paraId="71B7DFC9" w14:textId="7A8333E9" w:rsidR="00776795" w:rsidRPr="00BB165A" w:rsidRDefault="00776795" w:rsidP="00046245">
      <w:pPr>
        <w:pStyle w:val="ListBullet"/>
      </w:pPr>
      <w:r w:rsidRPr="00BB165A">
        <w:t xml:space="preserve">Chapter </w:t>
      </w:r>
      <w:r w:rsidRPr="00BB165A">
        <w:fldChar w:fldCharType="begin"/>
      </w:r>
      <w:r w:rsidRPr="00BB165A">
        <w:instrText xml:space="preserve"> REF _Ref529189687 \r \h </w:instrText>
      </w:r>
      <w:r w:rsidR="008B3BBC" w:rsidRPr="00BB165A">
        <w:instrText xml:space="preserve"> \* MERGEFORMAT </w:instrText>
      </w:r>
      <w:r w:rsidRPr="00BB165A">
        <w:fldChar w:fldCharType="separate"/>
      </w:r>
      <w:r w:rsidR="00E83FB1">
        <w:t>2</w:t>
      </w:r>
      <w:r w:rsidRPr="00BB165A">
        <w:fldChar w:fldCharType="end"/>
      </w:r>
      <w:r w:rsidRPr="00BB165A">
        <w:t xml:space="preserve"> – Reports the </w:t>
      </w:r>
      <w:r w:rsidR="006A3559" w:rsidRPr="00BB165A">
        <w:t>core</w:t>
      </w:r>
      <w:r w:rsidRPr="00BB165A">
        <w:t xml:space="preserve"> quantitative analysis and key results, in terms of the costs of teaching and scholarship, including the distribution and variation across fields, levels and university contexts. This chapter also includes a comparison of costs between </w:t>
      </w:r>
      <w:r w:rsidR="00A76E17" w:rsidRPr="00BB165A">
        <w:t>this study and the previous 2016</w:t>
      </w:r>
      <w:r w:rsidR="00B6005B" w:rsidRPr="00BB165A">
        <w:t xml:space="preserve">, </w:t>
      </w:r>
      <w:r w:rsidR="00A76E17" w:rsidRPr="00BB165A">
        <w:t>2018</w:t>
      </w:r>
      <w:r w:rsidR="00B6005B" w:rsidRPr="00BB165A">
        <w:t xml:space="preserve"> and 2019</w:t>
      </w:r>
      <w:r w:rsidR="00A76E17" w:rsidRPr="00BB165A">
        <w:t xml:space="preserve"> studies</w:t>
      </w:r>
      <w:r w:rsidRPr="00BB165A">
        <w:t>, and analysis of ‘below the line’ costs.</w:t>
      </w:r>
    </w:p>
    <w:p w14:paraId="368F21C7" w14:textId="0171A14B" w:rsidR="0088795A" w:rsidRPr="00BB165A" w:rsidRDefault="0088795A" w:rsidP="00046245">
      <w:pPr>
        <w:pStyle w:val="ListBullet"/>
      </w:pPr>
      <w:r w:rsidRPr="00BB165A">
        <w:t xml:space="preserve">Chapter 3 </w:t>
      </w:r>
      <w:r w:rsidR="00E567D6" w:rsidRPr="00BB165A">
        <w:t>–</w:t>
      </w:r>
      <w:r w:rsidRPr="00BB165A">
        <w:t xml:space="preserve"> </w:t>
      </w:r>
      <w:r w:rsidR="00E567D6" w:rsidRPr="00BB165A">
        <w:t>Analyses the costs of teaching and scholarship in 2020 in the context of</w:t>
      </w:r>
      <w:r w:rsidR="00000F3F" w:rsidRPr="00BB165A">
        <w:t xml:space="preserve"> the</w:t>
      </w:r>
      <w:r w:rsidR="00E567D6" w:rsidRPr="00BB165A">
        <w:t xml:space="preserve"> COVID-19</w:t>
      </w:r>
      <w:r w:rsidR="00000F3F" w:rsidRPr="00BB165A">
        <w:t xml:space="preserve"> pandemic</w:t>
      </w:r>
      <w:r w:rsidR="00E567D6" w:rsidRPr="00BB165A">
        <w:t xml:space="preserve">. This </w:t>
      </w:r>
      <w:r w:rsidR="00FB4316" w:rsidRPr="00BB165A">
        <w:t xml:space="preserve">consists of a comparison of change in costs of teaching and scholarship </w:t>
      </w:r>
      <w:r w:rsidR="001C14D6" w:rsidRPr="00BB165A">
        <w:t>across fields, levels</w:t>
      </w:r>
      <w:r w:rsidR="00000F3F" w:rsidRPr="00BB165A">
        <w:t>,</w:t>
      </w:r>
      <w:r w:rsidR="001C14D6" w:rsidRPr="00BB165A">
        <w:t xml:space="preserve"> and university contexts (university characteristics and geographies). </w:t>
      </w:r>
    </w:p>
    <w:p w14:paraId="361113E9" w14:textId="6EB26671" w:rsidR="00776795" w:rsidRPr="00BB165A" w:rsidRDefault="00776795" w:rsidP="00046245">
      <w:pPr>
        <w:pStyle w:val="ListBullet"/>
      </w:pPr>
      <w:r w:rsidRPr="00BB165A">
        <w:t xml:space="preserve">Chapter </w:t>
      </w:r>
      <w:r w:rsidR="0088795A" w:rsidRPr="00BB165A">
        <w:t xml:space="preserve">4 </w:t>
      </w:r>
      <w:r w:rsidRPr="00BB165A">
        <w:t>– Presents a discussion of the key considerations</w:t>
      </w:r>
      <w:r w:rsidR="00F57495" w:rsidRPr="00BB165A">
        <w:t xml:space="preserve"> and</w:t>
      </w:r>
      <w:r w:rsidRPr="00BB165A">
        <w:t xml:space="preserve"> limitations of th</w:t>
      </w:r>
      <w:r w:rsidR="00F57495" w:rsidRPr="00BB165A">
        <w:t>is</w:t>
      </w:r>
      <w:r w:rsidRPr="00BB165A">
        <w:t xml:space="preserve"> exercise, particularly </w:t>
      </w:r>
      <w:r w:rsidR="00F57495" w:rsidRPr="00BB165A">
        <w:t>i</w:t>
      </w:r>
      <w:r w:rsidRPr="00BB165A">
        <w:t xml:space="preserve">n interpreting the results, as well as reflections from </w:t>
      </w:r>
      <w:r w:rsidR="00CB59CF" w:rsidRPr="00BB165A">
        <w:t>participa</w:t>
      </w:r>
      <w:r w:rsidR="00CB59CF">
        <w:t>ting</w:t>
      </w:r>
      <w:r w:rsidR="00CB59CF" w:rsidRPr="00BB165A">
        <w:t xml:space="preserve"> </w:t>
      </w:r>
      <w:r w:rsidRPr="00BB165A">
        <w:t xml:space="preserve">universities. </w:t>
      </w:r>
      <w:r w:rsidR="00F57495" w:rsidRPr="00BB165A">
        <w:t>The chapter also sets out a range of considerations in relation to the way capital costs are incorporated in the exercise.</w:t>
      </w:r>
    </w:p>
    <w:p w14:paraId="4E8A7F83" w14:textId="3DDE2EB5" w:rsidR="00224264" w:rsidRPr="00BB165A" w:rsidRDefault="00776795">
      <w:r w:rsidRPr="00BB165A">
        <w:t>Appendi</w:t>
      </w:r>
      <w:r w:rsidR="007B63E6" w:rsidRPr="00BB165A">
        <w:t xml:space="preserve">x A </w:t>
      </w:r>
      <w:r w:rsidR="00F57495" w:rsidRPr="00BB165A">
        <w:t>contains</w:t>
      </w:r>
      <w:r w:rsidR="007B63E6" w:rsidRPr="00BB165A">
        <w:t xml:space="preserve"> </w:t>
      </w:r>
      <w:r w:rsidR="00F57495" w:rsidRPr="00BB165A">
        <w:t>a screenshot</w:t>
      </w:r>
      <w:r w:rsidRPr="00BB165A">
        <w:t xml:space="preserve"> of the costing template used for universities to submit their data</w:t>
      </w:r>
      <w:r w:rsidR="00F57495" w:rsidRPr="00BB165A">
        <w:t xml:space="preserve"> and Appendix B contains the data collection </w:t>
      </w:r>
      <w:r w:rsidR="007A2756" w:rsidRPr="00BB165A">
        <w:t>Guidelines</w:t>
      </w:r>
      <w:r w:rsidR="00F57495" w:rsidRPr="00BB165A">
        <w:t xml:space="preserve"> provided to universities. </w:t>
      </w:r>
      <w:r w:rsidR="0030078A" w:rsidRPr="00BB165A">
        <w:t xml:space="preserve">Appendix C includes </w:t>
      </w:r>
      <w:r w:rsidR="008C46D4" w:rsidRPr="00BB165A">
        <w:t xml:space="preserve">additional charts for the </w:t>
      </w:r>
      <w:r w:rsidR="00093896" w:rsidRPr="00BB165A">
        <w:t>201</w:t>
      </w:r>
      <w:r w:rsidR="00A33FB1">
        <w:t>7</w:t>
      </w:r>
      <w:r w:rsidR="00093896" w:rsidRPr="00BB165A">
        <w:t xml:space="preserve"> common sample of universities. </w:t>
      </w:r>
      <w:r w:rsidR="00A33FB1" w:rsidRPr="00BB165A">
        <w:t xml:space="preserve">Appendix </w:t>
      </w:r>
      <w:r w:rsidR="00A33FB1">
        <w:t>D</w:t>
      </w:r>
      <w:r w:rsidR="00A33FB1" w:rsidRPr="00BB165A">
        <w:t xml:space="preserve"> includes additional charts for the 2015 common sample of universities.</w:t>
      </w:r>
    </w:p>
    <w:p w14:paraId="324A97FC" w14:textId="77777777" w:rsidR="001548C2" w:rsidRPr="00BB165A" w:rsidRDefault="001548C2" w:rsidP="001548C2">
      <w:pPr>
        <w:pStyle w:val="Heading1"/>
      </w:pPr>
      <w:bookmarkStart w:id="302" w:name="_Toc528855681"/>
      <w:bookmarkStart w:id="303" w:name="_Ref529189687"/>
      <w:bookmarkStart w:id="304" w:name="_Toc20246007"/>
      <w:bookmarkStart w:id="305" w:name="_Toc105776186"/>
      <w:r w:rsidRPr="00BB165A">
        <w:t>Cost of teaching and scholarship</w:t>
      </w:r>
      <w:bookmarkEnd w:id="302"/>
      <w:bookmarkEnd w:id="303"/>
      <w:bookmarkEnd w:id="304"/>
      <w:bookmarkEnd w:id="305"/>
    </w:p>
    <w:p w14:paraId="717958C6" w14:textId="4DE165E0" w:rsidR="001548C2" w:rsidRPr="00BB165A" w:rsidRDefault="001548C2" w:rsidP="001548C2">
      <w:r w:rsidRPr="00BB165A">
        <w:t xml:space="preserve">This chapter </w:t>
      </w:r>
      <w:r w:rsidR="003C0215">
        <w:t>sets out the</w:t>
      </w:r>
      <w:r w:rsidRPr="00BB165A">
        <w:t xml:space="preserve"> results of the data collection on the cost of delivery of teaching and scholarship </w:t>
      </w:r>
      <w:r w:rsidR="00B928FE" w:rsidRPr="00BB165A">
        <w:t xml:space="preserve">at </w:t>
      </w:r>
      <w:r w:rsidRPr="00BB165A">
        <w:t>Australian universities.</w:t>
      </w:r>
      <w:r w:rsidR="004F307D" w:rsidRPr="00BB165A">
        <w:t xml:space="preserve"> </w:t>
      </w:r>
      <w:r w:rsidR="003C0215">
        <w:t>It provides analysis of</w:t>
      </w:r>
      <w:r w:rsidR="00B928FE" w:rsidRPr="00BB165A">
        <w:t xml:space="preserve"> </w:t>
      </w:r>
      <w:r w:rsidR="004E5B04" w:rsidRPr="00BB165A">
        <w:t>the distribution and varia</w:t>
      </w:r>
      <w:r w:rsidR="00B928FE" w:rsidRPr="00BB165A">
        <w:t>bility of</w:t>
      </w:r>
      <w:r w:rsidR="004E5B04" w:rsidRPr="00BB165A">
        <w:t xml:space="preserve"> cost</w:t>
      </w:r>
      <w:r w:rsidR="00B928FE" w:rsidRPr="00BB165A">
        <w:t>s</w:t>
      </w:r>
      <w:r w:rsidR="004E5B04" w:rsidRPr="00BB165A">
        <w:t xml:space="preserve"> – at the university, field</w:t>
      </w:r>
      <w:r w:rsidR="00FE434B" w:rsidRPr="00BB165A">
        <w:t>,</w:t>
      </w:r>
      <w:r w:rsidR="004E5B04" w:rsidRPr="00BB165A">
        <w:t xml:space="preserve"> and level of education level</w:t>
      </w:r>
      <w:r w:rsidR="00B928FE" w:rsidRPr="00BB165A">
        <w:t>. S</w:t>
      </w:r>
      <w:r w:rsidR="004E5B04" w:rsidRPr="00BB165A">
        <w:t xml:space="preserve">pecific </w:t>
      </w:r>
      <w:r w:rsidR="00B928FE" w:rsidRPr="00BB165A">
        <w:t xml:space="preserve">cost </w:t>
      </w:r>
      <w:r w:rsidR="004E5B04" w:rsidRPr="00BB165A">
        <w:t xml:space="preserve">line items </w:t>
      </w:r>
      <w:r w:rsidR="00B928FE" w:rsidRPr="00BB165A">
        <w:t xml:space="preserve">are analysed, and </w:t>
      </w:r>
      <w:r w:rsidR="004E5B04" w:rsidRPr="00BB165A">
        <w:t>some exploration of systematic cost variations among</w:t>
      </w:r>
      <w:r w:rsidR="00931CFA">
        <w:t>st</w:t>
      </w:r>
      <w:r w:rsidR="004E5B04" w:rsidRPr="00BB165A">
        <w:t xml:space="preserve"> key contextual factors or drivers</w:t>
      </w:r>
      <w:r w:rsidR="00B928FE" w:rsidRPr="00BB165A">
        <w:t xml:space="preserve"> is undertaken</w:t>
      </w:r>
      <w:r w:rsidR="004E5B04" w:rsidRPr="00BB165A">
        <w:t xml:space="preserve">. </w:t>
      </w:r>
      <w:r w:rsidR="003C0215">
        <w:t>The scope of this report does not extend</w:t>
      </w:r>
      <w:r w:rsidRPr="00BB165A">
        <w:t xml:space="preserve"> to provi</w:t>
      </w:r>
      <w:r w:rsidR="00036005">
        <w:t>ding</w:t>
      </w:r>
      <w:r w:rsidRPr="00BB165A">
        <w:t xml:space="preserve"> estimates of the reasonable costs of teaching and scholarship by </w:t>
      </w:r>
      <w:r w:rsidR="00B70C2F">
        <w:t>FOE</w:t>
      </w:r>
      <w:r w:rsidR="00B928FE" w:rsidRPr="00BB165A">
        <w:t>,</w:t>
      </w:r>
      <w:r w:rsidRPr="00BB165A">
        <w:t xml:space="preserve"> or to identify</w:t>
      </w:r>
      <w:r w:rsidR="00036005">
        <w:t>ing</w:t>
      </w:r>
      <w:r w:rsidRPr="00BB165A">
        <w:t xml:space="preserve"> the size of particular cost drivers</w:t>
      </w:r>
      <w:r w:rsidR="000C7E25" w:rsidRPr="00BB165A">
        <w:t xml:space="preserve"> but instead focuses on the actual costs incurred by universities in the 201</w:t>
      </w:r>
      <w:r w:rsidR="00AE12F8" w:rsidRPr="00BB165A">
        <w:t>9 and 2020</w:t>
      </w:r>
      <w:r w:rsidR="000C7E25" w:rsidRPr="00BB165A">
        <w:t xml:space="preserve"> calendar year</w:t>
      </w:r>
      <w:r w:rsidRPr="00BB165A">
        <w:t>. The findings of the 2016 report</w:t>
      </w:r>
      <w:r w:rsidR="00A76E17" w:rsidRPr="00BB165A">
        <w:t>, which did undertake such analysis</w:t>
      </w:r>
      <w:r w:rsidR="009C7EAC" w:rsidRPr="00BB165A">
        <w:t>,</w:t>
      </w:r>
      <w:r w:rsidRPr="00BB165A">
        <w:t xml:space="preserve"> is summarised in Box </w:t>
      </w:r>
      <w:r w:rsidR="004E5B04" w:rsidRPr="00BB165A">
        <w:t xml:space="preserve">2.3 </w:t>
      </w:r>
      <w:r w:rsidRPr="00BB165A">
        <w:t>below.</w:t>
      </w:r>
    </w:p>
    <w:p w14:paraId="574FA3E8" w14:textId="33883D2B" w:rsidR="004E5B04" w:rsidRPr="00BB165A" w:rsidRDefault="001548C2" w:rsidP="001548C2">
      <w:r w:rsidRPr="00BB165A">
        <w:t xml:space="preserve">A very small selection of field-level observations were excluded </w:t>
      </w:r>
      <w:r w:rsidR="000C7E25" w:rsidRPr="00BB165A">
        <w:t xml:space="preserve">from the results included in this report as they were identified </w:t>
      </w:r>
      <w:r w:rsidRPr="00BB165A">
        <w:t xml:space="preserve">as outliers. </w:t>
      </w:r>
      <w:r w:rsidR="004E5B04" w:rsidRPr="00BB165A">
        <w:t>Th</w:t>
      </w:r>
      <w:r w:rsidR="000C7E25" w:rsidRPr="00BB165A">
        <w:t>e</w:t>
      </w:r>
      <w:r w:rsidR="004E5B04" w:rsidRPr="00BB165A">
        <w:t xml:space="preserve"> process </w:t>
      </w:r>
      <w:r w:rsidR="000C7E25" w:rsidRPr="00BB165A">
        <w:t xml:space="preserve">for identifying outliers </w:t>
      </w:r>
      <w:r w:rsidR="004E5B04" w:rsidRPr="00BB165A">
        <w:t xml:space="preserve">is summarised in </w:t>
      </w:r>
      <w:r w:rsidR="006B4A43" w:rsidRPr="00BB165A">
        <w:t>S</w:t>
      </w:r>
      <w:r w:rsidR="004E5B04" w:rsidRPr="00BB165A">
        <w:t xml:space="preserve">ection </w:t>
      </w:r>
      <w:r w:rsidR="006B4A43" w:rsidRPr="00BB165A">
        <w:fldChar w:fldCharType="begin"/>
      </w:r>
      <w:r w:rsidR="006B4A43" w:rsidRPr="00BB165A">
        <w:instrText xml:space="preserve"> REF _Ref529786832 \r \h </w:instrText>
      </w:r>
      <w:r w:rsidR="008B3BBC" w:rsidRPr="00BB165A">
        <w:instrText xml:space="preserve"> \* MERGEFORMAT </w:instrText>
      </w:r>
      <w:r w:rsidR="006B4A43" w:rsidRPr="00BB165A">
        <w:fldChar w:fldCharType="separate"/>
      </w:r>
      <w:r w:rsidR="00E83FB1">
        <w:t>2.2</w:t>
      </w:r>
      <w:r w:rsidR="006B4A43" w:rsidRPr="00BB165A">
        <w:fldChar w:fldCharType="end"/>
      </w:r>
      <w:r w:rsidR="004E5B04" w:rsidRPr="00BB165A">
        <w:t xml:space="preserve">. </w:t>
      </w:r>
    </w:p>
    <w:p w14:paraId="254FDE6A" w14:textId="321086C9" w:rsidR="001548C2" w:rsidRPr="00BB165A" w:rsidRDefault="00C74232" w:rsidP="00042653">
      <w:r w:rsidRPr="00BB165A">
        <w:t>While the results of this 20</w:t>
      </w:r>
      <w:r w:rsidR="003C17E4" w:rsidRPr="00BB165A">
        <w:t>22</w:t>
      </w:r>
      <w:r w:rsidR="001548C2" w:rsidRPr="00BB165A">
        <w:t xml:space="preserve"> study </w:t>
      </w:r>
      <w:r w:rsidR="00F14C99" w:rsidRPr="00BB165A">
        <w:t>are comparable to</w:t>
      </w:r>
      <w:r w:rsidRPr="00BB165A">
        <w:t xml:space="preserve"> those from the 201</w:t>
      </w:r>
      <w:r w:rsidR="003C17E4" w:rsidRPr="00BB165A">
        <w:t>9</w:t>
      </w:r>
      <w:r w:rsidR="001548C2" w:rsidRPr="00BB165A">
        <w:t xml:space="preserve"> study</w:t>
      </w:r>
      <w:r w:rsidR="00A72919" w:rsidRPr="00BB165A">
        <w:t xml:space="preserve"> and indeed are collected using a consistent cost collection template</w:t>
      </w:r>
      <w:r w:rsidR="001548C2" w:rsidRPr="00BB165A">
        <w:t>,</w:t>
      </w:r>
      <w:r w:rsidR="00042653" w:rsidRPr="00BB165A">
        <w:t xml:space="preserve"> the sample is slightly different to </w:t>
      </w:r>
      <w:r w:rsidR="003B5465" w:rsidRPr="00BB165A">
        <w:t>the 2019 study</w:t>
      </w:r>
      <w:r w:rsidR="00A72919" w:rsidRPr="00BB165A">
        <w:t>.</w:t>
      </w:r>
      <w:r w:rsidR="00042653" w:rsidRPr="00BB165A">
        <w:t xml:space="preserve"> </w:t>
      </w:r>
      <w:r w:rsidR="00A72919" w:rsidRPr="00BB165A">
        <w:t>H</w:t>
      </w:r>
      <w:r w:rsidR="00042653" w:rsidRPr="00BB165A">
        <w:t xml:space="preserve">ence results are presented with both a common sample </w:t>
      </w:r>
      <w:r w:rsidR="00D10F53" w:rsidRPr="00BB165A">
        <w:t xml:space="preserve">of 32 universities </w:t>
      </w:r>
      <w:r w:rsidR="007B63E6" w:rsidRPr="00BB165A">
        <w:t>across the two studies and</w:t>
      </w:r>
      <w:r w:rsidRPr="00BB165A">
        <w:t xml:space="preserve"> the full </w:t>
      </w:r>
      <w:r w:rsidR="00793E31" w:rsidRPr="00BB165A">
        <w:t xml:space="preserve">sample of </w:t>
      </w:r>
      <w:r w:rsidR="00D10F53" w:rsidRPr="00BB165A">
        <w:t>37 universities involved in the 2022</w:t>
      </w:r>
      <w:r w:rsidR="008150CF" w:rsidRPr="00BB165A">
        <w:t xml:space="preserve"> </w:t>
      </w:r>
      <w:r w:rsidR="00D10F53" w:rsidRPr="00BB165A">
        <w:t>study</w:t>
      </w:r>
      <w:r w:rsidR="00042653" w:rsidRPr="00BB165A">
        <w:t xml:space="preserve">. </w:t>
      </w:r>
      <w:r w:rsidR="00F14C99" w:rsidRPr="00BB165A">
        <w:t xml:space="preserve">Importantly, the results in sections 2.1 to 2.4 focus on above the line </w:t>
      </w:r>
      <w:r w:rsidR="00A72919" w:rsidRPr="00BB165A">
        <w:t>items</w:t>
      </w:r>
      <w:r w:rsidR="00F14C99" w:rsidRPr="00BB165A">
        <w:t xml:space="preserve"> </w:t>
      </w:r>
      <w:r w:rsidR="00A72919" w:rsidRPr="00BB165A">
        <w:t>which are also available from the 2011 and 2016 studies. Results including below the line items are discussed in section 2.5 as these items have only been included since 2018.</w:t>
      </w:r>
    </w:p>
    <w:p w14:paraId="041447E7" w14:textId="77777777" w:rsidR="001548C2" w:rsidRPr="00BB165A" w:rsidRDefault="001548C2" w:rsidP="001548C2">
      <w:r w:rsidRPr="00BB165A">
        <w:t xml:space="preserve">The remainder of this chapter is structured as follows: </w:t>
      </w:r>
    </w:p>
    <w:p w14:paraId="19170FA9" w14:textId="5AAE56C6" w:rsidR="001548C2" w:rsidRPr="00BB165A" w:rsidRDefault="001548C2" w:rsidP="004F307D">
      <w:pPr>
        <w:pStyle w:val="ListBullet"/>
      </w:pPr>
      <w:r w:rsidRPr="00BB165A">
        <w:t xml:space="preserve">Section </w:t>
      </w:r>
      <w:r w:rsidR="006B4A43" w:rsidRPr="00BB165A">
        <w:fldChar w:fldCharType="begin"/>
      </w:r>
      <w:r w:rsidR="006B4A43" w:rsidRPr="00BB165A">
        <w:instrText xml:space="preserve"> REF _Ref529786883 \r \h </w:instrText>
      </w:r>
      <w:r w:rsidR="008B3BBC" w:rsidRPr="00BB165A">
        <w:instrText xml:space="preserve"> \* MERGEFORMAT </w:instrText>
      </w:r>
      <w:r w:rsidR="006B4A43" w:rsidRPr="00BB165A">
        <w:fldChar w:fldCharType="separate"/>
      </w:r>
      <w:r w:rsidR="00E83FB1">
        <w:t>2.1</w:t>
      </w:r>
      <w:r w:rsidR="006B4A43" w:rsidRPr="00BB165A">
        <w:fldChar w:fldCharType="end"/>
      </w:r>
      <w:r w:rsidR="00042653" w:rsidRPr="00BB165A">
        <w:t xml:space="preserve"> </w:t>
      </w:r>
      <w:r w:rsidRPr="00BB165A">
        <w:t>describes the distribution of costs within a university, includ</w:t>
      </w:r>
      <w:r w:rsidR="00B928FE" w:rsidRPr="00BB165A">
        <w:t>ing</w:t>
      </w:r>
      <w:r w:rsidRPr="00BB165A">
        <w:t xml:space="preserve"> the total cost</w:t>
      </w:r>
      <w:r w:rsidR="000C7E25" w:rsidRPr="00BB165A">
        <w:t xml:space="preserve"> per EFTSL</w:t>
      </w:r>
      <w:r w:rsidRPr="00BB165A">
        <w:t xml:space="preserve">. </w:t>
      </w:r>
    </w:p>
    <w:p w14:paraId="24C0765A" w14:textId="5C808550" w:rsidR="001548C2" w:rsidRPr="00BB165A" w:rsidRDefault="001548C2" w:rsidP="004F307D">
      <w:pPr>
        <w:pStyle w:val="ListBullet"/>
      </w:pPr>
      <w:r w:rsidRPr="00BB165A">
        <w:t xml:space="preserve">Section </w:t>
      </w:r>
      <w:r w:rsidR="006B4A43" w:rsidRPr="00BB165A">
        <w:fldChar w:fldCharType="begin"/>
      </w:r>
      <w:r w:rsidR="006B4A43" w:rsidRPr="00BB165A">
        <w:instrText xml:space="preserve"> REF _Ref529786860 \r \h </w:instrText>
      </w:r>
      <w:r w:rsidR="008B3BBC" w:rsidRPr="00BB165A">
        <w:instrText xml:space="preserve"> \* MERGEFORMAT </w:instrText>
      </w:r>
      <w:r w:rsidR="006B4A43" w:rsidRPr="00BB165A">
        <w:fldChar w:fldCharType="separate"/>
      </w:r>
      <w:r w:rsidR="00E83FB1">
        <w:t>2.2</w:t>
      </w:r>
      <w:r w:rsidR="006B4A43" w:rsidRPr="00BB165A">
        <w:fldChar w:fldCharType="end"/>
      </w:r>
      <w:r w:rsidR="00042653" w:rsidRPr="00BB165A">
        <w:t xml:space="preserve"> </w:t>
      </w:r>
      <w:r w:rsidRPr="00BB165A">
        <w:t>presents the</w:t>
      </w:r>
      <w:r w:rsidR="00796D22">
        <w:t xml:space="preserve"> distribution of total cost per EFTSL </w:t>
      </w:r>
      <w:r w:rsidRPr="00BB165A">
        <w:t xml:space="preserve">by field and level of education. </w:t>
      </w:r>
    </w:p>
    <w:p w14:paraId="068917C4" w14:textId="6465744F" w:rsidR="008544E6" w:rsidRPr="00BB165A" w:rsidRDefault="008544E6" w:rsidP="004F307D">
      <w:pPr>
        <w:pStyle w:val="ListBullet"/>
      </w:pPr>
      <w:r w:rsidRPr="00BB165A">
        <w:t xml:space="preserve">Section </w:t>
      </w:r>
      <w:r w:rsidR="00493F0C" w:rsidRPr="00BB165A">
        <w:fldChar w:fldCharType="begin"/>
      </w:r>
      <w:r w:rsidR="00493F0C" w:rsidRPr="00BB165A">
        <w:instrText xml:space="preserve"> REF _Ref534706426 \r \h </w:instrText>
      </w:r>
      <w:r w:rsidR="008B3BBC" w:rsidRPr="00BB165A">
        <w:instrText xml:space="preserve"> \* MERGEFORMAT </w:instrText>
      </w:r>
      <w:r w:rsidR="00493F0C" w:rsidRPr="00BB165A">
        <w:fldChar w:fldCharType="separate"/>
      </w:r>
      <w:r w:rsidR="00E83FB1">
        <w:t>2.3</w:t>
      </w:r>
      <w:r w:rsidR="00493F0C" w:rsidRPr="00BB165A">
        <w:fldChar w:fldCharType="end"/>
      </w:r>
      <w:r w:rsidR="00042653" w:rsidRPr="00BB165A">
        <w:t xml:space="preserve"> </w:t>
      </w:r>
      <w:r w:rsidRPr="00BB165A">
        <w:t xml:space="preserve">contrasts average costs with base funding levels. </w:t>
      </w:r>
    </w:p>
    <w:p w14:paraId="54616F1A" w14:textId="649F3721" w:rsidR="001548C2" w:rsidRPr="00BB165A" w:rsidRDefault="001548C2" w:rsidP="004F307D">
      <w:pPr>
        <w:pStyle w:val="ListBullet"/>
      </w:pPr>
      <w:r w:rsidRPr="00BB165A">
        <w:t xml:space="preserve">Section </w:t>
      </w:r>
      <w:r w:rsidR="00CC3122" w:rsidRPr="00BB165A">
        <w:fldChar w:fldCharType="begin"/>
      </w:r>
      <w:r w:rsidR="00CC3122" w:rsidRPr="00BB165A">
        <w:instrText xml:space="preserve"> REF _Ref23433694 \r \h </w:instrText>
      </w:r>
      <w:r w:rsidR="007D1F3A" w:rsidRPr="00BB165A">
        <w:instrText xml:space="preserve"> \* MERGEFORMAT </w:instrText>
      </w:r>
      <w:r w:rsidR="00CC3122" w:rsidRPr="00BB165A">
        <w:fldChar w:fldCharType="separate"/>
      </w:r>
      <w:r w:rsidR="00E83FB1">
        <w:t>2.4</w:t>
      </w:r>
      <w:r w:rsidR="00CC3122" w:rsidRPr="00BB165A">
        <w:fldChar w:fldCharType="end"/>
      </w:r>
      <w:r w:rsidR="00CC3122" w:rsidRPr="00BB165A">
        <w:t xml:space="preserve"> </w:t>
      </w:r>
      <w:r w:rsidRPr="00BB165A">
        <w:t xml:space="preserve">compares the results of the previous section to those in the </w:t>
      </w:r>
      <w:r w:rsidR="00676272" w:rsidRPr="00BB165A">
        <w:t>2019</w:t>
      </w:r>
      <w:r w:rsidR="00AA13A8" w:rsidRPr="00BB165A">
        <w:t xml:space="preserve"> and 2018</w:t>
      </w:r>
      <w:r w:rsidRPr="00BB165A">
        <w:t xml:space="preserve"> study, noting </w:t>
      </w:r>
      <w:r w:rsidR="00B928FE" w:rsidRPr="00BB165A">
        <w:t xml:space="preserve">some </w:t>
      </w:r>
      <w:r w:rsidRPr="00BB165A">
        <w:t xml:space="preserve">caveats on comparability. </w:t>
      </w:r>
    </w:p>
    <w:p w14:paraId="38F01B6D" w14:textId="2D08E62B" w:rsidR="001548C2" w:rsidRPr="00BB165A" w:rsidRDefault="001548C2" w:rsidP="004F307D">
      <w:pPr>
        <w:pStyle w:val="ListBullet"/>
      </w:pPr>
      <w:r w:rsidRPr="00BB165A">
        <w:t xml:space="preserve">Section </w:t>
      </w:r>
      <w:r w:rsidR="00493F0C" w:rsidRPr="00BB165A">
        <w:fldChar w:fldCharType="begin"/>
      </w:r>
      <w:r w:rsidR="00493F0C" w:rsidRPr="00BB165A">
        <w:instrText xml:space="preserve"> REF _Ref534706439 \r \h </w:instrText>
      </w:r>
      <w:r w:rsidR="008B3BBC" w:rsidRPr="00BB165A">
        <w:instrText xml:space="preserve"> \* MERGEFORMAT </w:instrText>
      </w:r>
      <w:r w:rsidR="00493F0C" w:rsidRPr="00BB165A">
        <w:fldChar w:fldCharType="separate"/>
      </w:r>
      <w:r w:rsidR="00E83FB1">
        <w:t>2.5</w:t>
      </w:r>
      <w:r w:rsidR="00493F0C" w:rsidRPr="00BB165A">
        <w:fldChar w:fldCharType="end"/>
      </w:r>
      <w:r w:rsidR="00042653" w:rsidRPr="00BB165A">
        <w:t xml:space="preserve"> </w:t>
      </w:r>
      <w:r w:rsidRPr="00BB165A">
        <w:t xml:space="preserve">examines the addition of below the line costs, which were introduced in this study to </w:t>
      </w:r>
      <w:r w:rsidR="00B928FE" w:rsidRPr="00BB165A">
        <w:t xml:space="preserve">more </w:t>
      </w:r>
      <w:r w:rsidRPr="00BB165A">
        <w:t xml:space="preserve">fully capture the true economic costs of teaching and scholarship. </w:t>
      </w:r>
    </w:p>
    <w:p w14:paraId="6E58FC69" w14:textId="53F6AD98" w:rsidR="001548C2" w:rsidRPr="00BB165A" w:rsidRDefault="001548C2" w:rsidP="004F307D">
      <w:pPr>
        <w:pStyle w:val="ListBullet"/>
      </w:pPr>
      <w:r w:rsidRPr="00BB165A">
        <w:t xml:space="preserve">Section </w:t>
      </w:r>
      <w:r w:rsidR="00493F0C" w:rsidRPr="00BB165A">
        <w:fldChar w:fldCharType="begin"/>
      </w:r>
      <w:r w:rsidR="00493F0C" w:rsidRPr="00BB165A">
        <w:instrText xml:space="preserve"> REF _Ref532935334 \r \h </w:instrText>
      </w:r>
      <w:r w:rsidR="008B3BBC" w:rsidRPr="00BB165A">
        <w:instrText xml:space="preserve"> \* MERGEFORMAT </w:instrText>
      </w:r>
      <w:r w:rsidR="00493F0C" w:rsidRPr="00BB165A">
        <w:fldChar w:fldCharType="separate"/>
      </w:r>
      <w:r w:rsidR="00E83FB1">
        <w:t>2.6</w:t>
      </w:r>
      <w:r w:rsidR="00493F0C" w:rsidRPr="00BB165A">
        <w:fldChar w:fldCharType="end"/>
      </w:r>
      <w:r w:rsidR="00042653" w:rsidRPr="00BB165A">
        <w:t xml:space="preserve"> </w:t>
      </w:r>
      <w:r w:rsidRPr="00BB165A">
        <w:t xml:space="preserve">provides consideration of some of the contextual factors that may influence cost, informed by the 2016 study of cost drivers </w:t>
      </w:r>
      <w:r w:rsidR="00796D22">
        <w:t>as well as</w:t>
      </w:r>
      <w:r w:rsidR="00796D22" w:rsidRPr="00BB165A">
        <w:t xml:space="preserve"> </w:t>
      </w:r>
      <w:r w:rsidRPr="00BB165A">
        <w:t>consultation with the sector</w:t>
      </w:r>
      <w:r w:rsidR="00FF00BE">
        <w:t xml:space="preserve"> as part of this study</w:t>
      </w:r>
      <w:r w:rsidRPr="00BB165A">
        <w:t xml:space="preserve">. </w:t>
      </w:r>
    </w:p>
    <w:p w14:paraId="66D843D9" w14:textId="77777777" w:rsidR="001548C2" w:rsidRPr="00BB165A" w:rsidRDefault="001548C2" w:rsidP="001548C2">
      <w:pPr>
        <w:pStyle w:val="Heading2"/>
      </w:pPr>
      <w:bookmarkStart w:id="306" w:name="_Toc528855682"/>
      <w:bookmarkStart w:id="307" w:name="_Ref529202216"/>
      <w:bookmarkStart w:id="308" w:name="_Ref529786883"/>
      <w:bookmarkStart w:id="309" w:name="_Toc20246008"/>
      <w:bookmarkStart w:id="310" w:name="_Toc105776187"/>
      <w:r w:rsidRPr="00BB165A">
        <w:t>Distribution of types of costs</w:t>
      </w:r>
      <w:bookmarkEnd w:id="306"/>
      <w:bookmarkEnd w:id="307"/>
      <w:bookmarkEnd w:id="308"/>
      <w:bookmarkEnd w:id="309"/>
      <w:bookmarkEnd w:id="310"/>
    </w:p>
    <w:p w14:paraId="11AFD7D7" w14:textId="77777777" w:rsidR="001548C2" w:rsidRPr="00BB165A" w:rsidRDefault="001548C2" w:rsidP="001548C2">
      <w:pPr>
        <w:pStyle w:val="Heading3un-numbered"/>
      </w:pPr>
      <w:r w:rsidRPr="00BB165A">
        <w:t>Total costs attributable to teaching</w:t>
      </w:r>
    </w:p>
    <w:p w14:paraId="21F81E30" w14:textId="68E386B6" w:rsidR="00206776" w:rsidRPr="00BB165A" w:rsidRDefault="001548C2" w:rsidP="008544E6">
      <w:r w:rsidRPr="00BB165A">
        <w:t xml:space="preserve">Australian public universities </w:t>
      </w:r>
      <w:r w:rsidR="009D46B2" w:rsidRPr="00BB165A">
        <w:t xml:space="preserve">generate </w:t>
      </w:r>
      <w:r w:rsidRPr="00BB165A">
        <w:t xml:space="preserve">a </w:t>
      </w:r>
      <w:r w:rsidR="009D46B2" w:rsidRPr="00BB165A">
        <w:t xml:space="preserve">range </w:t>
      </w:r>
      <w:r w:rsidRPr="00BB165A">
        <w:t>of o</w:t>
      </w:r>
      <w:r w:rsidR="009D46B2" w:rsidRPr="00BB165A">
        <w:t>utput</w:t>
      </w:r>
      <w:r w:rsidRPr="00BB165A">
        <w:t>s, includ</w:t>
      </w:r>
      <w:r w:rsidR="009D46B2" w:rsidRPr="00BB165A">
        <w:t>ing</w:t>
      </w:r>
      <w:r w:rsidRPr="00BB165A">
        <w:t xml:space="preserve"> not </w:t>
      </w:r>
      <w:r w:rsidR="009D46B2" w:rsidRPr="00BB165A">
        <w:t>only</w:t>
      </w:r>
      <w:r w:rsidRPr="00BB165A">
        <w:t xml:space="preserve"> teaching and scholarship</w:t>
      </w:r>
      <w:r w:rsidR="009D46B2" w:rsidRPr="00BB165A">
        <w:t>,</w:t>
      </w:r>
      <w:r w:rsidRPr="00BB165A">
        <w:t xml:space="preserve"> but research, commercial activities</w:t>
      </w:r>
      <w:r w:rsidR="00D63717" w:rsidRPr="00BB165A">
        <w:t>,</w:t>
      </w:r>
      <w:r w:rsidRPr="00BB165A">
        <w:t xml:space="preserve"> and community </w:t>
      </w:r>
      <w:r w:rsidR="00042653" w:rsidRPr="00BB165A">
        <w:t>outreach</w:t>
      </w:r>
      <w:r w:rsidRPr="00BB165A">
        <w:t xml:space="preserve">. </w:t>
      </w:r>
      <w:r w:rsidR="00C94E31" w:rsidRPr="00BB165A">
        <w:t xml:space="preserve">Understanding the relative share of expenditure on teaching and scholarship </w:t>
      </w:r>
      <w:r w:rsidR="005C32C9" w:rsidRPr="00BB165A">
        <w:t>in comparison</w:t>
      </w:r>
      <w:r w:rsidR="00C94E31" w:rsidRPr="00BB165A">
        <w:t xml:space="preserve"> to other activities is useful in understanding </w:t>
      </w:r>
      <w:r w:rsidR="00206776" w:rsidRPr="00BB165A">
        <w:t>the extent to which these activities consume university resources as</w:t>
      </w:r>
      <w:r w:rsidR="00493F0C" w:rsidRPr="00BB165A">
        <w:t xml:space="preserve"> </w:t>
      </w:r>
      <w:r w:rsidR="00206776" w:rsidRPr="00BB165A">
        <w:t xml:space="preserve">well as the degree of variation across the sector. </w:t>
      </w:r>
    </w:p>
    <w:p w14:paraId="46AACB10" w14:textId="79E67F3A" w:rsidR="00C6223E" w:rsidRPr="00BB165A" w:rsidRDefault="793E584E" w:rsidP="008544E6">
      <w:r>
        <w:t xml:space="preserve">As shown in </w:t>
      </w:r>
      <w:r w:rsidR="001548C2">
        <w:fldChar w:fldCharType="begin"/>
      </w:r>
      <w:r w:rsidR="001548C2">
        <w:instrText xml:space="preserve"> REF _Ref100319770 \r \h </w:instrText>
      </w:r>
      <w:r w:rsidR="001548C2">
        <w:fldChar w:fldCharType="separate"/>
      </w:r>
      <w:r w:rsidR="2612912C">
        <w:t>Chart 2.1</w:t>
      </w:r>
      <w:r w:rsidR="001548C2">
        <w:fldChar w:fldCharType="end"/>
      </w:r>
      <w:r w:rsidR="174E094D">
        <w:t xml:space="preserve"> </w:t>
      </w:r>
      <w:r w:rsidR="12C203BD">
        <w:t>below</w:t>
      </w:r>
      <w:r w:rsidR="1108DABD">
        <w:t xml:space="preserve">, on average, </w:t>
      </w:r>
      <w:r w:rsidR="71F7E2FE">
        <w:t>5</w:t>
      </w:r>
      <w:r w:rsidR="4ED113BE">
        <w:t>1</w:t>
      </w:r>
      <w:r>
        <w:t xml:space="preserve">% of all university costs </w:t>
      </w:r>
      <w:r w:rsidR="0450AD9D">
        <w:t>for the sector</w:t>
      </w:r>
      <w:r>
        <w:t xml:space="preserve"> in 201</w:t>
      </w:r>
      <w:r w:rsidR="138CCCAE">
        <w:t>9</w:t>
      </w:r>
      <w:r>
        <w:t xml:space="preserve"> were attributable to teaching and scholarship activities, as opposed to other university functions.</w:t>
      </w:r>
      <w:r w:rsidR="37EA7932">
        <w:t xml:space="preserve"> T</w:t>
      </w:r>
      <w:r>
        <w:t xml:space="preserve">here </w:t>
      </w:r>
      <w:r w:rsidR="3A96C87A">
        <w:t xml:space="preserve">remains </w:t>
      </w:r>
      <w:r>
        <w:t xml:space="preserve">considerable variation </w:t>
      </w:r>
      <w:r w:rsidR="05DC2D94">
        <w:t xml:space="preserve">in the share of teaching costs </w:t>
      </w:r>
      <w:r>
        <w:t xml:space="preserve">across universities. </w:t>
      </w:r>
      <w:r w:rsidR="7E647FC8">
        <w:t>While</w:t>
      </w:r>
      <w:r>
        <w:t xml:space="preserve"> </w:t>
      </w:r>
      <w:r w:rsidR="7CC4451F">
        <w:t>2</w:t>
      </w:r>
      <w:r w:rsidR="5F1610AE">
        <w:t>2</w:t>
      </w:r>
      <w:r>
        <w:t xml:space="preserve"> of the </w:t>
      </w:r>
      <w:r w:rsidR="26D8AB60">
        <w:t>3</w:t>
      </w:r>
      <w:r w:rsidR="6A31107E">
        <w:t>7</w:t>
      </w:r>
      <w:r>
        <w:t xml:space="preserve"> universities had between 50</w:t>
      </w:r>
      <w:r w:rsidR="11D671BE">
        <w:t>-</w:t>
      </w:r>
      <w:r>
        <w:t xml:space="preserve">70% of </w:t>
      </w:r>
      <w:r w:rsidR="12C203BD">
        <w:t xml:space="preserve">total </w:t>
      </w:r>
      <w:r>
        <w:t xml:space="preserve">costs attributable to teaching, </w:t>
      </w:r>
      <w:r w:rsidR="12C203BD">
        <w:t>this figure</w:t>
      </w:r>
      <w:r w:rsidR="3A96C87A">
        <w:t xml:space="preserve"> range</w:t>
      </w:r>
      <w:r w:rsidR="12C203BD">
        <w:t>d</w:t>
      </w:r>
      <w:r w:rsidR="3A96C87A">
        <w:t xml:space="preserve"> </w:t>
      </w:r>
      <w:r>
        <w:t xml:space="preserve">from </w:t>
      </w:r>
      <w:r w:rsidR="64868D99">
        <w:t>24</w:t>
      </w:r>
      <w:r w:rsidR="11D671BE">
        <w:t>-</w:t>
      </w:r>
      <w:r w:rsidR="4C9781F9">
        <w:t>8</w:t>
      </w:r>
      <w:r w:rsidR="4BAA3AE9">
        <w:t>1</w:t>
      </w:r>
      <w:r>
        <w:t>%</w:t>
      </w:r>
      <w:r w:rsidR="3A96C87A">
        <w:t xml:space="preserve"> of total costs</w:t>
      </w:r>
      <w:r w:rsidR="0085229C">
        <w:t xml:space="preserve"> for the full sample of 37 universities</w:t>
      </w:r>
      <w:r>
        <w:t>.</w:t>
      </w:r>
      <w:r w:rsidR="64868D99">
        <w:t xml:space="preserve"> </w:t>
      </w:r>
      <w:r w:rsidR="5A3BEEDC">
        <w:t xml:space="preserve">This reflects </w:t>
      </w:r>
      <w:r w:rsidR="78CA29EC">
        <w:t>the</w:t>
      </w:r>
      <w:r w:rsidR="5A3BEEDC">
        <w:t xml:space="preserve"> significant variation in the share of resources dedicated to teaching and scholarship relative to other activities</w:t>
      </w:r>
      <w:r w:rsidR="78CA29EC">
        <w:t xml:space="preserve"> across universities</w:t>
      </w:r>
      <w:r w:rsidR="5A3BEEDC">
        <w:t xml:space="preserve">. </w:t>
      </w:r>
      <w:r w:rsidR="006D0A5B">
        <w:t xml:space="preserve">In 2019 there was a correlation of -0.30 (-0.32 in 2020) between </w:t>
      </w:r>
      <w:r w:rsidR="00C852D5">
        <w:t xml:space="preserve">the </w:t>
      </w:r>
      <w:r w:rsidR="006D0A5B">
        <w:t xml:space="preserve">size of a university (as measured by the number of EFTSL) and the share of </w:t>
      </w:r>
      <w:r w:rsidR="00F06CAF">
        <w:t xml:space="preserve">costs attributable to teaching and scholarship. This implies that larger universities tend to have </w:t>
      </w:r>
      <w:r w:rsidR="00554371">
        <w:t xml:space="preserve">lower </w:t>
      </w:r>
      <w:r w:rsidR="00DA4CA5">
        <w:t xml:space="preserve">shares of costs attributable to teaching and scholarship, </w:t>
      </w:r>
      <w:r w:rsidR="004F343A">
        <w:t>potentially</w:t>
      </w:r>
      <w:r w:rsidR="00DA4CA5">
        <w:t xml:space="preserve"> </w:t>
      </w:r>
      <w:r w:rsidR="004F343A">
        <w:t>reflecting</w:t>
      </w:r>
      <w:r w:rsidR="00DA4CA5">
        <w:t xml:space="preserve"> </w:t>
      </w:r>
      <w:r w:rsidR="004F343A">
        <w:t xml:space="preserve">economies of scale. </w:t>
      </w:r>
    </w:p>
    <w:p w14:paraId="469BB300" w14:textId="31E273AF" w:rsidR="00E46503" w:rsidRPr="00BB165A" w:rsidRDefault="005006B0" w:rsidP="00312215">
      <w:r w:rsidRPr="00BB165A">
        <w:t>T</w:t>
      </w:r>
      <w:r w:rsidR="00755214" w:rsidRPr="00BB165A">
        <w:t xml:space="preserve">he </w:t>
      </w:r>
      <w:r w:rsidR="0018360D" w:rsidRPr="00BB165A">
        <w:t xml:space="preserve">proportion of total costs attributable to teaching in 2020 </w:t>
      </w:r>
      <w:r w:rsidR="00CE3189" w:rsidRPr="00BB165A">
        <w:t xml:space="preserve">was unchanged from 2019, at 51%. A total of </w:t>
      </w:r>
      <w:r w:rsidR="00B172A8" w:rsidRPr="00BB165A">
        <w:t xml:space="preserve">21 out of 37 universities </w:t>
      </w:r>
      <w:r w:rsidR="0094200C" w:rsidRPr="00BB165A">
        <w:t xml:space="preserve">experienced an increase in teaching costs as a proportion of total costs </w:t>
      </w:r>
      <w:r w:rsidR="00CE3189" w:rsidRPr="00BB165A">
        <w:t>in 2020</w:t>
      </w:r>
      <w:r w:rsidR="0094200C" w:rsidRPr="00BB165A">
        <w:t xml:space="preserve">. In comparison to 2019, there was </w:t>
      </w:r>
      <w:r w:rsidR="00320455">
        <w:t xml:space="preserve">slightly </w:t>
      </w:r>
      <w:r w:rsidR="0094200C" w:rsidRPr="00BB165A">
        <w:t xml:space="preserve">larger variation in the share of resources dedicated to teaching and scholarship </w:t>
      </w:r>
      <w:r w:rsidR="0062779D">
        <w:t>across the sector</w:t>
      </w:r>
      <w:r w:rsidR="0094200C" w:rsidRPr="00BB165A">
        <w:t xml:space="preserve">. </w:t>
      </w:r>
      <w:r w:rsidR="00AE564B" w:rsidRPr="00BB165A">
        <w:t>While 2</w:t>
      </w:r>
      <w:r w:rsidR="00DB2045" w:rsidRPr="00BB165A">
        <w:t>0</w:t>
      </w:r>
      <w:r w:rsidR="00AE564B" w:rsidRPr="00BB165A">
        <w:t xml:space="preserve"> of the 37 universities had between 50</w:t>
      </w:r>
      <w:r w:rsidR="0028527B" w:rsidRPr="00BB165A">
        <w:t>-</w:t>
      </w:r>
      <w:r w:rsidR="00AE564B" w:rsidRPr="00BB165A">
        <w:t>70% of total costs attributable to teaching (similar to 2019), this figure ranged from 2</w:t>
      </w:r>
      <w:r w:rsidR="00817E81" w:rsidRPr="00BB165A">
        <w:t>5</w:t>
      </w:r>
      <w:r w:rsidR="0028527B" w:rsidRPr="00BB165A">
        <w:t>-</w:t>
      </w:r>
      <w:r w:rsidR="00AE564B" w:rsidRPr="00BB165A">
        <w:t>8</w:t>
      </w:r>
      <w:r w:rsidR="00817E81" w:rsidRPr="00BB165A">
        <w:t>6</w:t>
      </w:r>
      <w:r w:rsidR="00AE564B" w:rsidRPr="00BB165A">
        <w:t xml:space="preserve">% of total costs in 2020. </w:t>
      </w:r>
    </w:p>
    <w:p w14:paraId="47DBE51F" w14:textId="1FD8AAAD" w:rsidR="00E46503" w:rsidRPr="00BB165A" w:rsidRDefault="00E46503" w:rsidP="00E46503">
      <w:pPr>
        <w:pStyle w:val="CaptionChart"/>
      </w:pPr>
      <w:bookmarkStart w:id="311" w:name="_Ref100319770"/>
      <w:bookmarkStart w:id="312" w:name="_Toc105776348"/>
      <w:r w:rsidRPr="00BB165A">
        <w:t xml:space="preserve">: </w:t>
      </w:r>
      <w:r w:rsidR="00200C59" w:rsidRPr="00BB165A">
        <w:t>Proportion of total costs attributable to teaching and scholarship (201</w:t>
      </w:r>
      <w:r w:rsidR="001439FD" w:rsidRPr="00BB165A">
        <w:t xml:space="preserve">9 and </w:t>
      </w:r>
      <w:r w:rsidR="00200C59" w:rsidRPr="00BB165A">
        <w:t>2020)</w:t>
      </w:r>
      <w:bookmarkEnd w:id="311"/>
      <w:bookmarkEnd w:id="312"/>
    </w:p>
    <w:p w14:paraId="0F767B8A" w14:textId="64143484" w:rsidR="00FE11A7" w:rsidRPr="00BB165A" w:rsidRDefault="007A7FDC" w:rsidP="00FE11A7">
      <w:r>
        <w:rPr>
          <w:noProof/>
        </w:rPr>
        <w:drawing>
          <wp:inline distT="0" distB="0" distL="0" distR="0" wp14:anchorId="432A1DC8" wp14:editId="17BC85CC">
            <wp:extent cx="5296729" cy="3057112"/>
            <wp:effectExtent l="0" t="0" r="0" b="0"/>
            <wp:docPr id="459974147" name="Chart 459974147" descr="Chart shows Proportion of total costs attributable to teaching and scholarship (2019 and 2020). All 37 universities shown in deidentified columns, with the average for 2019 and 2020 of 51 per cent of costs attributable to teaching and scholarship shown as a line.">
              <a:extLst xmlns:a="http://schemas.openxmlformats.org/drawingml/2006/main">
                <a:ext uri="{FF2B5EF4-FFF2-40B4-BE49-F238E27FC236}">
                  <a16:creationId xmlns:a16="http://schemas.microsoft.com/office/drawing/2014/main" id="{00000000-0008-0000-2C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91F093E" w14:textId="5E4952A6" w:rsidR="00002F3D" w:rsidRDefault="00002F3D" w:rsidP="00002F3D">
      <w:r w:rsidRPr="00BB165A">
        <w:t xml:space="preserve">When comparing a common sample of 32 universities who </w:t>
      </w:r>
      <w:r w:rsidR="00BA0E80">
        <w:t>provided data for the 2018</w:t>
      </w:r>
      <w:r w:rsidR="00D02C5F">
        <w:t>,</w:t>
      </w:r>
      <w:r w:rsidR="00BA0E80">
        <w:t xml:space="preserve"> 2019</w:t>
      </w:r>
      <w:r w:rsidR="00D02C5F">
        <w:t>, and 2020</w:t>
      </w:r>
      <w:r w:rsidR="00DF4C6E">
        <w:t xml:space="preserve"> calendar years</w:t>
      </w:r>
      <w:r w:rsidRPr="00BB165A">
        <w:t xml:space="preserve">, the proportion of total costs attributable to teaching was similar on average (52% in 2018 falling to 51% in </w:t>
      </w:r>
      <w:r w:rsidR="0081645F">
        <w:t xml:space="preserve">both </w:t>
      </w:r>
      <w:r w:rsidRPr="00BB165A">
        <w:t>2019</w:t>
      </w:r>
      <w:r w:rsidR="0081645F">
        <w:t xml:space="preserve"> and 2020</w:t>
      </w:r>
      <w:r w:rsidRPr="00BB165A">
        <w:t>). The proportion of total costs attributable to teaching increased year-on-year for 1</w:t>
      </w:r>
      <w:r w:rsidR="00820947">
        <w:t>7</w:t>
      </w:r>
      <w:r w:rsidRPr="00BB165A">
        <w:t xml:space="preserve"> out of 32 universities</w:t>
      </w:r>
      <w:r w:rsidR="00AB54C8">
        <w:t xml:space="preserve"> </w:t>
      </w:r>
      <w:r w:rsidR="00820947">
        <w:t xml:space="preserve">in 2020 </w:t>
      </w:r>
      <w:r w:rsidR="00AB54C8">
        <w:t>(</w:t>
      </w:r>
      <w:r w:rsidR="00AB54C8">
        <w:fldChar w:fldCharType="begin"/>
      </w:r>
      <w:r w:rsidR="00AB54C8">
        <w:instrText xml:space="preserve"> REF _Ref103249389 \r \h </w:instrText>
      </w:r>
      <w:r w:rsidR="00AB54C8">
        <w:fldChar w:fldCharType="separate"/>
      </w:r>
      <w:r w:rsidR="00E83FB1">
        <w:t>Chart 2.2</w:t>
      </w:r>
      <w:r w:rsidR="00AB54C8">
        <w:fldChar w:fldCharType="end"/>
      </w:r>
      <w:r w:rsidR="00AB54C8">
        <w:t>)</w:t>
      </w:r>
      <w:r w:rsidRPr="00BB165A">
        <w:t>. The largest year-on-year increase was 5.</w:t>
      </w:r>
      <w:r w:rsidR="00DC6EBE">
        <w:t>2</w:t>
      </w:r>
      <w:r w:rsidRPr="00BB165A">
        <w:t xml:space="preserve"> percentage points, while the largest decrease was </w:t>
      </w:r>
      <w:r w:rsidR="00ED79E5">
        <w:t>6.2</w:t>
      </w:r>
      <w:r w:rsidRPr="00BB165A">
        <w:t xml:space="preserve"> percentage points.</w:t>
      </w:r>
    </w:p>
    <w:p w14:paraId="21BCC6C1" w14:textId="0D8054FD" w:rsidR="00002F3D" w:rsidRPr="00BB165A" w:rsidRDefault="00002F3D" w:rsidP="00002F3D">
      <w:pPr>
        <w:pStyle w:val="CaptionChart"/>
      </w:pPr>
      <w:bookmarkStart w:id="313" w:name="_Ref103249389"/>
      <w:bookmarkStart w:id="314" w:name="_Toc105776349"/>
      <w:r w:rsidRPr="00BB165A">
        <w:t>: Proportion of total costs attributable to teaching and scholarship (201</w:t>
      </w:r>
      <w:r w:rsidR="000A080E" w:rsidRPr="00BB165A">
        <w:t>8</w:t>
      </w:r>
      <w:r w:rsidRPr="00BB165A">
        <w:t xml:space="preserve"> </w:t>
      </w:r>
      <w:r w:rsidR="000A080E" w:rsidRPr="00BB165A">
        <w:t>to</w:t>
      </w:r>
      <w:r w:rsidRPr="00BB165A">
        <w:t xml:space="preserve"> 2020)</w:t>
      </w:r>
      <w:r w:rsidR="000A080E" w:rsidRPr="00BB165A">
        <w:t>, 2018 common sample</w:t>
      </w:r>
      <w:bookmarkEnd w:id="313"/>
      <w:r w:rsidR="00ED44DA">
        <w:t xml:space="preserve"> (32 universities)</w:t>
      </w:r>
      <w:bookmarkEnd w:id="314"/>
    </w:p>
    <w:p w14:paraId="20F622DB" w14:textId="51105954" w:rsidR="00312658" w:rsidRPr="00BB165A" w:rsidRDefault="00312658" w:rsidP="00002F3D">
      <w:r>
        <w:rPr>
          <w:noProof/>
        </w:rPr>
        <w:drawing>
          <wp:inline distT="0" distB="0" distL="0" distR="0" wp14:anchorId="7B3FBA7D" wp14:editId="35B1FFEC">
            <wp:extent cx="5296729" cy="3057112"/>
            <wp:effectExtent l="0" t="0" r="0" b="0"/>
            <wp:docPr id="459974149" name="Chart 459974149" descr="Chart shows Proportion of total costs attributable to teaching and scholarship (2018 to 2020). All 32 universities in common sample shown in deidentified columns, with the average for 2018, 2019 and 2020  shown as a line.">
              <a:extLst xmlns:a="http://schemas.openxmlformats.org/drawingml/2006/main">
                <a:ext uri="{FF2B5EF4-FFF2-40B4-BE49-F238E27FC236}">
                  <a16:creationId xmlns:a16="http://schemas.microsoft.com/office/drawing/2014/main" id="{8C62D6C3-BB50-46CB-95CF-A4CAE0A055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C0E916A" w14:textId="6913CA63" w:rsidR="00FE11A7" w:rsidRPr="00BB165A" w:rsidRDefault="00FE11A7" w:rsidP="001548C2">
      <w:r w:rsidRPr="00BB165A">
        <w:t xml:space="preserve">The average proportions of teaching cost by university </w:t>
      </w:r>
      <w:r w:rsidR="00C80993" w:rsidRPr="00BB165A">
        <w:t>affiliation</w:t>
      </w:r>
      <w:r w:rsidR="00C03845" w:rsidRPr="00BB165A">
        <w:t>,</w:t>
      </w:r>
      <w:r w:rsidR="00C80993" w:rsidRPr="00BB165A">
        <w:t xml:space="preserve"> </w:t>
      </w:r>
      <w:r w:rsidR="00BC655F" w:rsidRPr="00BB165A">
        <w:t xml:space="preserve">outlined in </w:t>
      </w:r>
      <w:r w:rsidRPr="00BB165A">
        <w:fldChar w:fldCharType="begin"/>
      </w:r>
      <w:r w:rsidRPr="00BB165A">
        <w:instrText xml:space="preserve"> REF _Ref529190331 \r \h  \* MERGEFORMAT </w:instrText>
      </w:r>
      <w:r w:rsidRPr="00BB165A">
        <w:fldChar w:fldCharType="separate"/>
      </w:r>
      <w:r w:rsidR="00E83FB1">
        <w:t>Chart 2.3</w:t>
      </w:r>
      <w:r w:rsidRPr="00BB165A">
        <w:fldChar w:fldCharType="end"/>
      </w:r>
      <w:r w:rsidR="00C03845" w:rsidRPr="00BB165A">
        <w:t>,</w:t>
      </w:r>
      <w:r w:rsidRPr="00BB165A">
        <w:t xml:space="preserve"> shows a lower average share of total expenses attributed to teaching for Group of Eight universities (39% in 2019 </w:t>
      </w:r>
      <w:r w:rsidR="00CD1FF3">
        <w:t xml:space="preserve">and 2020 </w:t>
      </w:r>
      <w:r w:rsidRPr="00BB165A">
        <w:t>compared to a sector-wide average of 51%)</w:t>
      </w:r>
      <w:r w:rsidR="001F1D30" w:rsidRPr="00BB165A">
        <w:t xml:space="preserve">. This is </w:t>
      </w:r>
      <w:r w:rsidRPr="00BB165A">
        <w:t xml:space="preserve">likely to reflect their relative research-intensity and hence allocation of a greater share of expenses to research activities. </w:t>
      </w:r>
      <w:r w:rsidR="0085757B" w:rsidRPr="00BB165A">
        <w:t>In comparison, the</w:t>
      </w:r>
      <w:r w:rsidR="007166A5" w:rsidRPr="00BB165A">
        <w:t xml:space="preserve"> proportion of total costs attributable to teaching activity </w:t>
      </w:r>
      <w:r w:rsidRPr="00BB165A">
        <w:t xml:space="preserve">is higher than average for </w:t>
      </w:r>
      <w:r w:rsidR="00373472" w:rsidRPr="00BB165A">
        <w:t>the Region Universities Network</w:t>
      </w:r>
      <w:r w:rsidRPr="00BB165A">
        <w:t xml:space="preserve"> and </w:t>
      </w:r>
      <w:r w:rsidR="007166A5" w:rsidRPr="00BB165A">
        <w:t>D</w:t>
      </w:r>
      <w:r w:rsidRPr="00BB165A">
        <w:t xml:space="preserve">ual </w:t>
      </w:r>
      <w:r w:rsidR="007166A5" w:rsidRPr="00BB165A">
        <w:t>S</w:t>
      </w:r>
      <w:r w:rsidRPr="00BB165A">
        <w:t xml:space="preserve">ector </w:t>
      </w:r>
      <w:r w:rsidR="009E28A6" w:rsidRPr="00BB165A">
        <w:t>U</w:t>
      </w:r>
      <w:r w:rsidRPr="00BB165A">
        <w:t>niversities.</w:t>
      </w:r>
    </w:p>
    <w:p w14:paraId="311A7968" w14:textId="2A029C2A" w:rsidR="001548C2" w:rsidRPr="00BB165A" w:rsidRDefault="001548C2" w:rsidP="001548C2">
      <w:pPr>
        <w:pStyle w:val="CaptionChart"/>
      </w:pPr>
      <w:bookmarkStart w:id="315" w:name="_Toc531639026"/>
      <w:bookmarkStart w:id="316" w:name="_Toc531639188"/>
      <w:bookmarkStart w:id="317" w:name="_Toc528855704"/>
      <w:bookmarkStart w:id="318" w:name="_Ref529190331"/>
      <w:bookmarkStart w:id="319" w:name="_Ref534713378"/>
      <w:bookmarkStart w:id="320" w:name="_Toc20245963"/>
      <w:bookmarkStart w:id="321" w:name="_Toc105776350"/>
      <w:bookmarkEnd w:id="315"/>
      <w:bookmarkEnd w:id="316"/>
      <w:r w:rsidRPr="00BB165A">
        <w:t xml:space="preserve">: </w:t>
      </w:r>
      <w:bookmarkEnd w:id="317"/>
      <w:bookmarkEnd w:id="318"/>
      <w:bookmarkEnd w:id="319"/>
      <w:bookmarkEnd w:id="320"/>
      <w:r w:rsidR="001439FD" w:rsidRPr="00BB165A">
        <w:t>Proportion of costs attributable to teaching by university affiliation (2019 and 2020)</w:t>
      </w:r>
      <w:bookmarkEnd w:id="321"/>
    </w:p>
    <w:p w14:paraId="7DC23680" w14:textId="0F597812" w:rsidR="00312658" w:rsidRPr="00BB165A" w:rsidRDefault="00312658" w:rsidP="001548C2">
      <w:pPr>
        <w:rPr>
          <w:lang w:eastAsia="en-AU"/>
        </w:rPr>
      </w:pPr>
      <w:r>
        <w:rPr>
          <w:noProof/>
        </w:rPr>
        <w:drawing>
          <wp:inline distT="0" distB="0" distL="0" distR="0" wp14:anchorId="765FFDF0" wp14:editId="37B587D2">
            <wp:extent cx="5259458" cy="2948609"/>
            <wp:effectExtent l="0" t="0" r="0" b="4445"/>
            <wp:docPr id="459974151" name="Chart 459974151" descr="Chart shows the proportion of costs attributable to teaching by university affiliation (2019 and 2020). Ranges from low of 39 per cent for both years at Go8 to 69 per cent for both year at RUN. Displayed as columns.">
              <a:extLst xmlns:a="http://schemas.openxmlformats.org/drawingml/2006/main">
                <a:ext uri="{FF2B5EF4-FFF2-40B4-BE49-F238E27FC236}">
                  <a16:creationId xmlns:a16="http://schemas.microsoft.com/office/drawing/2014/main" id="{00000000-0008-0000-2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CBD9D30" w14:textId="77777777" w:rsidR="00A3611F" w:rsidRPr="00BB165A" w:rsidRDefault="00A3611F" w:rsidP="0067298B">
      <w:pPr>
        <w:pStyle w:val="Source"/>
      </w:pPr>
      <w:r w:rsidRPr="00BB165A">
        <w:t xml:space="preserve">Note: Categories are not mutually exclusive. That is, a given university can appear in more than one category. </w:t>
      </w:r>
    </w:p>
    <w:p w14:paraId="6143F1E2" w14:textId="77777777" w:rsidR="001548C2" w:rsidRPr="00BB165A" w:rsidRDefault="001548C2" w:rsidP="001548C2">
      <w:pPr>
        <w:pStyle w:val="Heading3un-numbered"/>
      </w:pPr>
      <w:r w:rsidRPr="00BB165A">
        <w:t xml:space="preserve">Teaching costs attributable to staff </w:t>
      </w:r>
    </w:p>
    <w:p w14:paraId="06A354D4" w14:textId="6AB9801D" w:rsidR="001548C2" w:rsidRPr="00BB165A" w:rsidRDefault="001548C2" w:rsidP="008544E6">
      <w:r w:rsidRPr="00BB165A">
        <w:t xml:space="preserve">As a service industry, typically delivered face-to-face by highly skilled professionals, universities are highly labour intensive, and hence labour costs are likely to represent a significant </w:t>
      </w:r>
      <w:r w:rsidR="00DE06C3" w:rsidRPr="00BB165A">
        <w:t>co</w:t>
      </w:r>
      <w:r w:rsidR="00DE06C3">
        <w:t>mponent of</w:t>
      </w:r>
      <w:r w:rsidRPr="00BB165A">
        <w:t xml:space="preserve"> total teaching costs.</w:t>
      </w:r>
    </w:p>
    <w:p w14:paraId="42FA07CE" w14:textId="30570F6B" w:rsidR="001548C2" w:rsidRPr="00BB165A" w:rsidRDefault="00C74232" w:rsidP="008544E6">
      <w:r w:rsidRPr="00BB165A">
        <w:t>On average, 59</w:t>
      </w:r>
      <w:r w:rsidR="001548C2" w:rsidRPr="00BB165A">
        <w:t xml:space="preserve">% of teaching costs </w:t>
      </w:r>
      <w:r w:rsidR="008544E6" w:rsidRPr="00BB165A">
        <w:t xml:space="preserve">were </w:t>
      </w:r>
      <w:r w:rsidR="001548C2" w:rsidRPr="00BB165A">
        <w:t>attributable to staff</w:t>
      </w:r>
      <w:r w:rsidR="00B310A4" w:rsidRPr="00BB165A">
        <w:t xml:space="preserve"> in 2019</w:t>
      </w:r>
      <w:r w:rsidR="001548C2" w:rsidRPr="00BB165A">
        <w:t>,</w:t>
      </w:r>
      <w:r w:rsidR="001548C2" w:rsidRPr="00BB165A">
        <w:rPr>
          <w:rStyle w:val="FootnoteReference"/>
        </w:rPr>
        <w:footnoteReference w:id="19"/>
      </w:r>
      <w:r w:rsidR="001548C2" w:rsidRPr="00BB165A">
        <w:t xml:space="preserve"> </w:t>
      </w:r>
      <w:r w:rsidR="00220950" w:rsidRPr="00BB165A">
        <w:t xml:space="preserve">with </w:t>
      </w:r>
      <w:r w:rsidR="007D28AA" w:rsidRPr="00BB165A">
        <w:t>33</w:t>
      </w:r>
      <w:r w:rsidR="001548C2" w:rsidRPr="00BB165A">
        <w:t xml:space="preserve"> of </w:t>
      </w:r>
      <w:r w:rsidRPr="00BB165A">
        <w:t>3</w:t>
      </w:r>
      <w:r w:rsidR="007D28AA" w:rsidRPr="00BB165A">
        <w:t>7</w:t>
      </w:r>
      <w:r w:rsidR="001548C2" w:rsidRPr="00BB165A">
        <w:t xml:space="preserve"> universities ha</w:t>
      </w:r>
      <w:r w:rsidR="00220950" w:rsidRPr="00BB165A">
        <w:t>ving</w:t>
      </w:r>
      <w:r w:rsidR="001548C2" w:rsidRPr="00BB165A">
        <w:t xml:space="preserve"> staff teaching costs </w:t>
      </w:r>
      <w:r w:rsidR="00C502EF" w:rsidRPr="00BB165A">
        <w:t>between</w:t>
      </w:r>
      <w:r w:rsidR="001548C2" w:rsidRPr="00BB165A">
        <w:t xml:space="preserve"> 50</w:t>
      </w:r>
      <w:r w:rsidR="0028527B" w:rsidRPr="00BB165A">
        <w:t>-</w:t>
      </w:r>
      <w:r w:rsidR="001548C2" w:rsidRPr="00BB165A">
        <w:t xml:space="preserve">70% of all teaching costs. </w:t>
      </w:r>
      <w:r w:rsidR="00987643" w:rsidRPr="00BB165A">
        <w:t xml:space="preserve">The proportion of teaching costs attributable to staff rose to an average of 62% across the sector in 2020, with </w:t>
      </w:r>
      <w:r w:rsidR="00304FD1" w:rsidRPr="00BB165A">
        <w:t>36 of 37 universities having staff costs between 50-70%</w:t>
      </w:r>
      <w:r w:rsidR="00DB3A95" w:rsidRPr="00BB165A">
        <w:t>.</w:t>
      </w:r>
    </w:p>
    <w:p w14:paraId="0D0A4BEC" w14:textId="58FE32FC" w:rsidR="001548C2" w:rsidRPr="00BB165A" w:rsidRDefault="001548C2" w:rsidP="008544E6">
      <w:r w:rsidRPr="00BB165A">
        <w:t>These proportions range</w:t>
      </w:r>
      <w:r w:rsidR="00220950" w:rsidRPr="00BB165A">
        <w:t>d</w:t>
      </w:r>
      <w:r w:rsidRPr="00BB165A">
        <w:t xml:space="preserve"> from </w:t>
      </w:r>
      <w:r w:rsidR="00C74232" w:rsidRPr="00BB165A">
        <w:t>4</w:t>
      </w:r>
      <w:r w:rsidR="00D34B2E" w:rsidRPr="00BB165A">
        <w:t>4</w:t>
      </w:r>
      <w:r w:rsidR="00D16D5A" w:rsidRPr="00BB165A">
        <w:t>-</w:t>
      </w:r>
      <w:r w:rsidR="00F979DB" w:rsidRPr="00BB165A">
        <w:t>74</w:t>
      </w:r>
      <w:r w:rsidRPr="00BB165A">
        <w:t>% of total teaching costs</w:t>
      </w:r>
      <w:r w:rsidR="00D16D5A" w:rsidRPr="00BB165A">
        <w:t xml:space="preserve"> in 2019 and </w:t>
      </w:r>
      <w:r w:rsidR="00DB3A95" w:rsidRPr="00BB165A">
        <w:t>50-75% in 2020</w:t>
      </w:r>
      <w:r w:rsidRPr="00BB165A">
        <w:t xml:space="preserve">, which </w:t>
      </w:r>
      <w:r w:rsidR="00795236" w:rsidRPr="00BB165A">
        <w:t xml:space="preserve">may </w:t>
      </w:r>
      <w:r w:rsidRPr="00BB165A">
        <w:t>represent variations in:</w:t>
      </w:r>
    </w:p>
    <w:p w14:paraId="5F0F474B" w14:textId="77777777" w:rsidR="001548C2" w:rsidRPr="00BB165A" w:rsidRDefault="001548C2" w:rsidP="008544E6">
      <w:pPr>
        <w:pStyle w:val="ListBullet"/>
      </w:pPr>
      <w:r w:rsidRPr="00BB165A">
        <w:t xml:space="preserve">Scale, where size allows for fewer staff per enrolment </w:t>
      </w:r>
    </w:p>
    <w:p w14:paraId="682EE8AD" w14:textId="77777777" w:rsidR="001548C2" w:rsidRPr="00BB165A" w:rsidRDefault="001548C2" w:rsidP="008544E6">
      <w:pPr>
        <w:pStyle w:val="ListBullet"/>
      </w:pPr>
      <w:r w:rsidRPr="00BB165A">
        <w:t xml:space="preserve">Teaching and classroom practices, where some universities will adopt more intensive student-staff ratios </w:t>
      </w:r>
    </w:p>
    <w:p w14:paraId="6AA12C48" w14:textId="77777777" w:rsidR="001548C2" w:rsidRPr="00BB165A" w:rsidRDefault="001548C2" w:rsidP="008544E6">
      <w:pPr>
        <w:pStyle w:val="ListBullet"/>
      </w:pPr>
      <w:r w:rsidRPr="00BB165A">
        <w:t xml:space="preserve">Discipline focus, where some disciplines require smaller class sizes or more intensive teaching </w:t>
      </w:r>
    </w:p>
    <w:p w14:paraId="442CB487" w14:textId="77777777" w:rsidR="001548C2" w:rsidRPr="00BB165A" w:rsidRDefault="001548C2" w:rsidP="008544E6">
      <w:pPr>
        <w:pStyle w:val="ListBullet"/>
      </w:pPr>
      <w:r w:rsidRPr="00BB165A">
        <w:t xml:space="preserve">Differences in staff per student ratios </w:t>
      </w:r>
      <w:r w:rsidR="00795236" w:rsidRPr="00BB165A">
        <w:t xml:space="preserve">across </w:t>
      </w:r>
      <w:r w:rsidRPr="00BB165A">
        <w:t>different levels of education</w:t>
      </w:r>
      <w:r w:rsidR="002E4FF4" w:rsidRPr="00BB165A" w:rsidDel="002E4FF4">
        <w:t xml:space="preserve"> </w:t>
      </w:r>
    </w:p>
    <w:p w14:paraId="021667E1" w14:textId="77777777" w:rsidR="001548C2" w:rsidRPr="00BB165A" w:rsidRDefault="001548C2" w:rsidP="008544E6">
      <w:pPr>
        <w:pStyle w:val="ListBullet"/>
      </w:pPr>
      <w:r w:rsidRPr="00BB165A">
        <w:t>Differences in mode of delivery</w:t>
      </w:r>
      <w:r w:rsidR="00070055" w:rsidRPr="00BB165A">
        <w:t>,</w:t>
      </w:r>
      <w:r w:rsidRPr="00BB165A">
        <w:t xml:space="preserve"> with different modes of delivery potentially utilising a different mix of labour and capital inputs.</w:t>
      </w:r>
    </w:p>
    <w:p w14:paraId="309BC522" w14:textId="653002DD" w:rsidR="001548C2" w:rsidRPr="00BB165A" w:rsidRDefault="00F71C88" w:rsidP="008544E6">
      <w:r w:rsidRPr="00BB165A">
        <w:t>T</w:t>
      </w:r>
      <w:r w:rsidR="001548C2" w:rsidRPr="00BB165A">
        <w:t>he relative importance of labour costs</w:t>
      </w:r>
      <w:r w:rsidRPr="00BB165A">
        <w:t xml:space="preserve"> highlights </w:t>
      </w:r>
      <w:r w:rsidR="001548C2" w:rsidRPr="00BB165A">
        <w:t>the impact that variations in the measurement and attribution of labour costs can have on the results of this exercise. These considerations a</w:t>
      </w:r>
      <w:r w:rsidR="00795236" w:rsidRPr="00BB165A">
        <w:t>re discussed in more detail in</w:t>
      </w:r>
      <w:r w:rsidR="008A3662" w:rsidRPr="00BB165A">
        <w:t xml:space="preserve"> Section </w:t>
      </w:r>
      <w:r w:rsidR="008A3662" w:rsidRPr="00BB165A">
        <w:fldChar w:fldCharType="begin"/>
      </w:r>
      <w:r w:rsidR="008A3662" w:rsidRPr="00BB165A">
        <w:instrText xml:space="preserve"> REF _Ref532206251 \r \h </w:instrText>
      </w:r>
      <w:r w:rsidR="008B3BBC" w:rsidRPr="00BB165A">
        <w:instrText xml:space="preserve"> \* MERGEFORMAT </w:instrText>
      </w:r>
      <w:r w:rsidR="008A3662" w:rsidRPr="00BB165A">
        <w:fldChar w:fldCharType="separate"/>
      </w:r>
      <w:r w:rsidR="00E83FB1">
        <w:t>4.2</w:t>
      </w:r>
      <w:r w:rsidR="008A3662" w:rsidRPr="00BB165A">
        <w:fldChar w:fldCharType="end"/>
      </w:r>
      <w:r w:rsidR="001548C2" w:rsidRPr="00BB165A">
        <w:t xml:space="preserve">. </w:t>
      </w:r>
    </w:p>
    <w:p w14:paraId="045F88D3" w14:textId="275746FB" w:rsidR="00161223" w:rsidRPr="00BB165A" w:rsidRDefault="00211C56" w:rsidP="00161223">
      <w:r w:rsidRPr="00BB165A">
        <w:t>S</w:t>
      </w:r>
      <w:r w:rsidR="00161223" w:rsidRPr="00BB165A">
        <w:t>taff costs as a proportion of total costs increased for 3</w:t>
      </w:r>
      <w:r w:rsidR="00133E1E" w:rsidRPr="00BB165A">
        <w:t>3</w:t>
      </w:r>
      <w:r w:rsidR="00161223" w:rsidRPr="00BB165A">
        <w:t xml:space="preserve"> out of 37 universities in 2020</w:t>
      </w:r>
      <w:r w:rsidRPr="00BB165A">
        <w:t xml:space="preserve">. This may be due to </w:t>
      </w:r>
      <w:r w:rsidR="006216BC" w:rsidRPr="00BB165A">
        <w:t>university responses to COVID-19 such as staff re-structure</w:t>
      </w:r>
      <w:r w:rsidR="006141E6" w:rsidRPr="00BB165A">
        <w:t xml:space="preserve">s, </w:t>
      </w:r>
      <w:r w:rsidR="000369DF" w:rsidRPr="00BB165A">
        <w:t xml:space="preserve">staff </w:t>
      </w:r>
      <w:r w:rsidR="006141E6" w:rsidRPr="00BB165A">
        <w:t>redundancy programs</w:t>
      </w:r>
      <w:r w:rsidR="002076FF">
        <w:t xml:space="preserve"> </w:t>
      </w:r>
      <w:r w:rsidR="006403C6" w:rsidRPr="00BB165A">
        <w:t xml:space="preserve">as well as lower spending on non-staff costs (e.g. travel). </w:t>
      </w:r>
      <w:r w:rsidR="00B654C4" w:rsidRPr="00BB165A">
        <w:t xml:space="preserve">Four </w:t>
      </w:r>
      <w:r w:rsidR="007E5214" w:rsidRPr="00BB165A">
        <w:t>universities</w:t>
      </w:r>
      <w:r w:rsidR="00B654C4" w:rsidRPr="00BB165A">
        <w:t xml:space="preserve"> saw staff costs </w:t>
      </w:r>
      <w:r w:rsidR="007E5214" w:rsidRPr="00BB165A">
        <w:t>decrease</w:t>
      </w:r>
      <w:r w:rsidR="00B654C4" w:rsidRPr="00BB165A">
        <w:t xml:space="preserve"> as a proportion of total costs in 2020</w:t>
      </w:r>
      <w:r w:rsidR="007E5214" w:rsidRPr="00BB165A">
        <w:t>,</w:t>
      </w:r>
      <w:r w:rsidR="001076D8" w:rsidRPr="00BB165A">
        <w:t xml:space="preserve"> with this decrease</w:t>
      </w:r>
      <w:r w:rsidR="007E5214" w:rsidRPr="00BB165A">
        <w:t xml:space="preserve"> ranging from </w:t>
      </w:r>
      <w:r w:rsidR="001076D8" w:rsidRPr="00BB165A">
        <w:t>1-10 percentage points</w:t>
      </w:r>
      <w:r w:rsidR="00B654C4" w:rsidRPr="00BB165A">
        <w:t>.</w:t>
      </w:r>
      <w:r w:rsidR="00161223" w:rsidRPr="00BB165A">
        <w:t xml:space="preserve"> </w:t>
      </w:r>
    </w:p>
    <w:p w14:paraId="62E66B24" w14:textId="4455976F" w:rsidR="001548C2" w:rsidRPr="00BB165A" w:rsidRDefault="001548C2" w:rsidP="001548C2">
      <w:pPr>
        <w:pStyle w:val="CaptionChart"/>
      </w:pPr>
      <w:bookmarkStart w:id="322" w:name="_Ref531363673"/>
      <w:bookmarkStart w:id="323" w:name="_Toc20245964"/>
      <w:bookmarkStart w:id="324" w:name="_Toc528855705"/>
      <w:bookmarkStart w:id="325" w:name="_Ref529190555"/>
      <w:bookmarkStart w:id="326" w:name="_Toc105776351"/>
      <w:r w:rsidRPr="00BB165A">
        <w:t>: Proportion of teaching costs attributable to staff (versus non-staff)</w:t>
      </w:r>
      <w:bookmarkEnd w:id="322"/>
      <w:bookmarkEnd w:id="323"/>
      <w:r w:rsidRPr="00BB165A">
        <w:t xml:space="preserve"> </w:t>
      </w:r>
      <w:bookmarkEnd w:id="324"/>
      <w:bookmarkEnd w:id="325"/>
      <w:r w:rsidR="000F3AB3" w:rsidRPr="00BB165A">
        <w:t>(2019 and 2020)</w:t>
      </w:r>
      <w:bookmarkEnd w:id="326"/>
    </w:p>
    <w:p w14:paraId="3B4EACE4" w14:textId="00DFA07C" w:rsidR="008A7332" w:rsidRPr="00BB165A" w:rsidRDefault="008A7332" w:rsidP="001548C2">
      <w:pPr>
        <w:rPr>
          <w:lang w:eastAsia="en-AU"/>
        </w:rPr>
      </w:pPr>
      <w:r>
        <w:rPr>
          <w:noProof/>
        </w:rPr>
        <w:drawing>
          <wp:inline distT="0" distB="0" distL="0" distR="0" wp14:anchorId="1E1C6095" wp14:editId="55597DD0">
            <wp:extent cx="5483087" cy="3197087"/>
            <wp:effectExtent l="0" t="0" r="3810" b="3810"/>
            <wp:docPr id="459974156" name="Chart 459974156" descr="Charts shows the proportion of teaching costs attributable to staff (versus non-staff) (2019 and 2020). All 37 universities shown in deidentified columns, with the average for 2019 and 2020 as a line.">
              <a:extLst xmlns:a="http://schemas.openxmlformats.org/drawingml/2006/main">
                <a:ext uri="{FF2B5EF4-FFF2-40B4-BE49-F238E27FC236}">
                  <a16:creationId xmlns:a16="http://schemas.microsoft.com/office/drawing/2014/main" id="{00000000-0008-0000-2C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09C914C" w14:textId="4D1314D6" w:rsidR="00F234C6" w:rsidRDefault="00876B8D" w:rsidP="003F1630">
      <w:pPr>
        <w:pStyle w:val="CaptionChart"/>
        <w:rPr>
          <w:lang w:eastAsia="en-AU"/>
        </w:rPr>
      </w:pPr>
      <w:bookmarkStart w:id="327" w:name="_Toc105776352"/>
      <w:r w:rsidRPr="0078732B">
        <w:t>: Proportion of teaching costs attributable to staff (versus non-staff) (2018 to 2020), 2018 common sample</w:t>
      </w:r>
      <w:r w:rsidR="00ED44DA" w:rsidRPr="0078732B">
        <w:t xml:space="preserve"> (32 un</w:t>
      </w:r>
      <w:r w:rsidR="00ED44DA" w:rsidRPr="00524DCD">
        <w:t>iversities)</w:t>
      </w:r>
      <w:bookmarkStart w:id="328" w:name="_Toc105753188"/>
      <w:bookmarkStart w:id="329" w:name="_Toc105776228"/>
      <w:bookmarkStart w:id="330" w:name="_Toc105776290"/>
      <w:bookmarkStart w:id="331" w:name="_Toc105776353"/>
      <w:bookmarkStart w:id="332" w:name="_Toc105776354"/>
      <w:bookmarkEnd w:id="327"/>
      <w:bookmarkEnd w:id="328"/>
      <w:bookmarkEnd w:id="329"/>
      <w:bookmarkEnd w:id="330"/>
      <w:bookmarkEnd w:id="331"/>
      <w:bookmarkEnd w:id="332"/>
    </w:p>
    <w:p w14:paraId="70335848" w14:textId="7CCEC0B5" w:rsidR="000627A1" w:rsidRPr="00416131" w:rsidRDefault="000627A1" w:rsidP="00416131">
      <w:pPr>
        <w:rPr>
          <w:lang w:eastAsia="en-AU"/>
        </w:rPr>
      </w:pPr>
      <w:r>
        <w:rPr>
          <w:noProof/>
        </w:rPr>
        <w:drawing>
          <wp:inline distT="0" distB="0" distL="0" distR="0" wp14:anchorId="22C3D804" wp14:editId="2F5F07D4">
            <wp:extent cx="5483087" cy="3197087"/>
            <wp:effectExtent l="0" t="0" r="3810" b="3810"/>
            <wp:docPr id="597878580" name="Chart 597878580" descr="Chart showing the proportion of teaching costs attributable to staff (versus non-staff) (2018 to 2020), 2018 common sample (32 universities).  All 32 universities shown in deidentified columns, with the averages for 2018, 2019 and 2020 shown as lines.">
              <a:extLst xmlns:a="http://schemas.openxmlformats.org/drawingml/2006/main">
                <a:ext uri="{FF2B5EF4-FFF2-40B4-BE49-F238E27FC236}">
                  <a16:creationId xmlns:a16="http://schemas.microsoft.com/office/drawing/2014/main" id="{D8570C26-FC5D-4C98-9921-BEC845390F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F636CBE" w14:textId="77777777" w:rsidR="001548C2" w:rsidRPr="00BB165A" w:rsidRDefault="793E584E" w:rsidP="41789E75">
      <w:pPr>
        <w:pStyle w:val="Heading3un-numbered"/>
      </w:pPr>
      <w:r>
        <w:t xml:space="preserve">Average unit teaching costs </w:t>
      </w:r>
    </w:p>
    <w:p w14:paraId="644F7EE7" w14:textId="77777777" w:rsidR="001548C2" w:rsidRPr="00BB165A" w:rsidRDefault="001548C2" w:rsidP="00795236">
      <w:r w:rsidRPr="00BB165A">
        <w:t>The key outputs of this exercise relat</w:t>
      </w:r>
      <w:r w:rsidR="00795236" w:rsidRPr="00BB165A">
        <w:t>e</w:t>
      </w:r>
      <w:r w:rsidRPr="00BB165A">
        <w:t xml:space="preserve"> to unit teaching costs, </w:t>
      </w:r>
      <w:r w:rsidR="00A8242F" w:rsidRPr="00BB165A">
        <w:t xml:space="preserve">namely </w:t>
      </w:r>
      <w:r w:rsidRPr="00BB165A">
        <w:t xml:space="preserve">average costs per EFTSL, and the variation in these </w:t>
      </w:r>
      <w:r w:rsidR="00A8242F" w:rsidRPr="00BB165A">
        <w:t xml:space="preserve">unit </w:t>
      </w:r>
      <w:r w:rsidRPr="00BB165A">
        <w:t xml:space="preserve">costs by field and level of education. </w:t>
      </w:r>
    </w:p>
    <w:p w14:paraId="3CA25079" w14:textId="1BE90F90" w:rsidR="001F619B" w:rsidRPr="00BB165A" w:rsidRDefault="000C77CF" w:rsidP="002F31CB">
      <w:r w:rsidRPr="00BB165A">
        <w:t>T</w:t>
      </w:r>
      <w:r w:rsidR="001548C2" w:rsidRPr="00BB165A">
        <w:t xml:space="preserve">he average unit </w:t>
      </w:r>
      <w:r w:rsidR="002E3CF9" w:rsidRPr="00BB165A">
        <w:t xml:space="preserve">teaching </w:t>
      </w:r>
      <w:r w:rsidR="001548C2" w:rsidRPr="00BB165A">
        <w:t xml:space="preserve">cost </w:t>
      </w:r>
      <w:r w:rsidRPr="00BB165A">
        <w:t xml:space="preserve">across all levels of study and </w:t>
      </w:r>
      <w:r w:rsidR="002E3CF9" w:rsidRPr="00BB165A">
        <w:t xml:space="preserve">universities </w:t>
      </w:r>
      <w:r w:rsidR="001548C2" w:rsidRPr="00BB165A">
        <w:t>is $18,</w:t>
      </w:r>
      <w:r w:rsidR="00104D5E" w:rsidRPr="00BB165A">
        <w:t>7</w:t>
      </w:r>
      <w:r w:rsidR="006D0FC0">
        <w:t>00</w:t>
      </w:r>
      <w:r w:rsidR="00104D5E" w:rsidRPr="00BB165A">
        <w:t xml:space="preserve"> in 2019</w:t>
      </w:r>
      <w:r w:rsidR="002E3CF9" w:rsidRPr="00BB165A">
        <w:t xml:space="preserve">. </w:t>
      </w:r>
      <w:r w:rsidR="00FF2F17">
        <w:fldChar w:fldCharType="begin"/>
      </w:r>
      <w:r w:rsidR="00FF2F17">
        <w:instrText xml:space="preserve"> REF _Ref103249942 \r \h </w:instrText>
      </w:r>
      <w:r w:rsidR="00FF2F17">
        <w:fldChar w:fldCharType="separate"/>
      </w:r>
      <w:r w:rsidR="00E83FB1">
        <w:t>Chart 2.6</w:t>
      </w:r>
      <w:r w:rsidR="00FF2F17">
        <w:fldChar w:fldCharType="end"/>
      </w:r>
      <w:r w:rsidR="00FF2F17">
        <w:t xml:space="preserve"> </w:t>
      </w:r>
      <w:r w:rsidR="001548C2" w:rsidRPr="00BB165A">
        <w:t xml:space="preserve">shows that the average </w:t>
      </w:r>
      <w:r w:rsidR="00795236" w:rsidRPr="00BB165A">
        <w:t xml:space="preserve">unit cost </w:t>
      </w:r>
      <w:r w:rsidR="007E2C25">
        <w:t xml:space="preserve">(including all observations) </w:t>
      </w:r>
      <w:r w:rsidR="00795236" w:rsidRPr="00BB165A">
        <w:t xml:space="preserve">at each </w:t>
      </w:r>
      <w:r w:rsidR="001548C2" w:rsidRPr="00BB165A">
        <w:t xml:space="preserve">institution </w:t>
      </w:r>
      <w:r w:rsidR="00795236" w:rsidRPr="00BB165A">
        <w:t>can vary</w:t>
      </w:r>
      <w:r w:rsidR="001548C2" w:rsidRPr="00BB165A">
        <w:t xml:space="preserve">, </w:t>
      </w:r>
      <w:r w:rsidR="00795236" w:rsidRPr="00BB165A">
        <w:t xml:space="preserve">ranging </w:t>
      </w:r>
      <w:r w:rsidR="001548C2" w:rsidRPr="00BB165A">
        <w:t>from $</w:t>
      </w:r>
      <w:r w:rsidR="00F91F4F" w:rsidRPr="00BB165A">
        <w:t>13,</w:t>
      </w:r>
      <w:r w:rsidR="00F05A6E">
        <w:t>1</w:t>
      </w:r>
      <w:r w:rsidR="00E55939">
        <w:t>00</w:t>
      </w:r>
      <w:r w:rsidR="006712D0" w:rsidRPr="00BB165A">
        <w:t xml:space="preserve"> </w:t>
      </w:r>
      <w:r w:rsidR="001548C2" w:rsidRPr="00BB165A">
        <w:t>(</w:t>
      </w:r>
      <w:r w:rsidR="00FC6F77" w:rsidRPr="00BB165A">
        <w:t>30</w:t>
      </w:r>
      <w:r w:rsidR="001548C2" w:rsidRPr="00BB165A">
        <w:t>% below average) to $</w:t>
      </w:r>
      <w:r w:rsidR="00F91F4F" w:rsidRPr="00BB165A">
        <w:t>24,</w:t>
      </w:r>
      <w:r w:rsidR="00E55939" w:rsidRPr="00BB165A">
        <w:t>80</w:t>
      </w:r>
      <w:r w:rsidR="00E55939">
        <w:t>0</w:t>
      </w:r>
      <w:r w:rsidR="00F91F4F" w:rsidRPr="00BB165A">
        <w:t xml:space="preserve"> </w:t>
      </w:r>
      <w:r w:rsidR="001548C2" w:rsidRPr="00BB165A">
        <w:t>(</w:t>
      </w:r>
      <w:r w:rsidR="004D782E" w:rsidRPr="00BB165A">
        <w:t>32</w:t>
      </w:r>
      <w:r w:rsidR="001548C2" w:rsidRPr="00BB165A">
        <w:t>% above average)</w:t>
      </w:r>
      <w:r w:rsidR="002E3CF9" w:rsidRPr="00BB165A">
        <w:t xml:space="preserve"> in 2019</w:t>
      </w:r>
      <w:r w:rsidR="001548C2" w:rsidRPr="00BB165A">
        <w:t>. This variation represents</w:t>
      </w:r>
      <w:r w:rsidR="00A8242F" w:rsidRPr="00BB165A">
        <w:t>, in part,</w:t>
      </w:r>
      <w:r w:rsidR="001548C2" w:rsidRPr="00BB165A">
        <w:t xml:space="preserve"> the varied focus and context </w:t>
      </w:r>
      <w:r w:rsidR="00A8242F" w:rsidRPr="00BB165A">
        <w:t xml:space="preserve">of </w:t>
      </w:r>
      <w:r w:rsidR="001548C2" w:rsidRPr="00BB165A">
        <w:t>universities across the sector</w:t>
      </w:r>
      <w:r w:rsidR="00AB5654" w:rsidRPr="00BB165A">
        <w:t xml:space="preserve">. The following sections examine the degree of variation </w:t>
      </w:r>
      <w:r w:rsidR="00A8242F" w:rsidRPr="00BB165A">
        <w:t>in unit costs across</w:t>
      </w:r>
      <w:r w:rsidR="00AB5654" w:rsidRPr="00BB165A">
        <w:t xml:space="preserve"> qualification level</w:t>
      </w:r>
      <w:r w:rsidR="00A8242F" w:rsidRPr="00BB165A">
        <w:t>s</w:t>
      </w:r>
      <w:r w:rsidR="00AB5654" w:rsidRPr="00BB165A">
        <w:t xml:space="preserve"> and field</w:t>
      </w:r>
      <w:r w:rsidR="00A8242F" w:rsidRPr="00BB165A">
        <w:t>s</w:t>
      </w:r>
      <w:r w:rsidR="001548C2" w:rsidRPr="00BB165A">
        <w:t xml:space="preserve"> </w:t>
      </w:r>
      <w:r w:rsidR="00AB5654" w:rsidRPr="00BB165A">
        <w:t>of education</w:t>
      </w:r>
      <w:r w:rsidR="00A8242F" w:rsidRPr="00BB165A">
        <w:t xml:space="preserve">. </w:t>
      </w:r>
    </w:p>
    <w:p w14:paraId="50FFF2BA" w14:textId="41123650" w:rsidR="001548C2" w:rsidRPr="00BB165A" w:rsidRDefault="001548C2" w:rsidP="001548C2">
      <w:pPr>
        <w:pStyle w:val="CaptionChart"/>
      </w:pPr>
      <w:bookmarkStart w:id="333" w:name="_Ref100324457"/>
      <w:bookmarkStart w:id="334" w:name="_Ref103249942"/>
      <w:bookmarkStart w:id="335" w:name="_Toc105776355"/>
      <w:r w:rsidRPr="00BB165A">
        <w:t>: Average unit costs by university (all fields and levels)</w:t>
      </w:r>
      <w:r w:rsidR="00ED44DA">
        <w:t xml:space="preserve"> (</w:t>
      </w:r>
      <w:r w:rsidR="00104D5E" w:rsidRPr="00BB165A">
        <w:t>2019</w:t>
      </w:r>
      <w:bookmarkStart w:id="336" w:name="_Toc20233938"/>
      <w:bookmarkStart w:id="337" w:name="_Toc20245965"/>
      <w:bookmarkStart w:id="338" w:name="_Toc20246413"/>
      <w:bookmarkStart w:id="339" w:name="_Toc20257540"/>
      <w:bookmarkStart w:id="340" w:name="_Toc20257788"/>
      <w:bookmarkStart w:id="341" w:name="_Toc20258008"/>
      <w:bookmarkStart w:id="342" w:name="_Toc20309597"/>
      <w:bookmarkStart w:id="343" w:name="_Toc20233939"/>
      <w:bookmarkStart w:id="344" w:name="_Toc20245966"/>
      <w:bookmarkStart w:id="345" w:name="_Toc20246414"/>
      <w:bookmarkStart w:id="346" w:name="_Toc20257541"/>
      <w:bookmarkStart w:id="347" w:name="_Toc20257789"/>
      <w:bookmarkStart w:id="348" w:name="_Toc20258009"/>
      <w:bookmarkStart w:id="349" w:name="_Toc20309598"/>
      <w:bookmarkEnd w:id="333"/>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00B8361C" w:rsidRPr="00BB165A">
        <w:t xml:space="preserve"> and 2020</w:t>
      </w:r>
      <w:bookmarkEnd w:id="334"/>
      <w:r w:rsidR="00ED44DA">
        <w:t>)</w:t>
      </w:r>
      <w:bookmarkEnd w:id="335"/>
    </w:p>
    <w:p w14:paraId="10D86514" w14:textId="0ADBAD9B" w:rsidR="00E715CB" w:rsidRPr="00BB165A" w:rsidRDefault="00E715CB" w:rsidP="001548C2">
      <w:r>
        <w:rPr>
          <w:noProof/>
        </w:rPr>
        <w:drawing>
          <wp:inline distT="0" distB="0" distL="0" distR="0" wp14:anchorId="289FD5C6" wp14:editId="3B5335A5">
            <wp:extent cx="5227200" cy="2865600"/>
            <wp:effectExtent l="0" t="0" r="0" b="0"/>
            <wp:docPr id="459974159" name="Chart 459974159" descr="Chart showing Average unit costs by university (all fields and levels) (2019 and 2020). All 37 universities shown in deidentified columns, with the averages for 2019 and 2020 as lines.">
              <a:extLst xmlns:a="http://schemas.openxmlformats.org/drawingml/2006/main">
                <a:ext uri="{FF2B5EF4-FFF2-40B4-BE49-F238E27FC236}">
                  <a16:creationId xmlns:a16="http://schemas.microsoft.com/office/drawing/2014/main" id="{00000000-0008-0000-2C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752222D" w14:textId="40F9008D" w:rsidR="00423DA4" w:rsidRPr="00BB165A" w:rsidRDefault="00DD49A9" w:rsidP="00423DA4">
      <w:pPr>
        <w:pStyle w:val="Source"/>
      </w:pPr>
      <w:r w:rsidRPr="00BB165A">
        <w:t>Note: This includes all data observations.</w:t>
      </w:r>
    </w:p>
    <w:p w14:paraId="4722EC97" w14:textId="4E7447BB" w:rsidR="002F31CB" w:rsidRPr="00BB165A" w:rsidRDefault="0019263A" w:rsidP="00CF04D0">
      <w:r w:rsidRPr="00BB165A">
        <w:t xml:space="preserve">The average unit cost </w:t>
      </w:r>
      <w:r w:rsidR="0013737D">
        <w:t xml:space="preserve">(including all observations) </w:t>
      </w:r>
      <w:r w:rsidR="00762450" w:rsidRPr="00BB165A">
        <w:t>grew 0.5% in 2020 to $18</w:t>
      </w:r>
      <w:r w:rsidR="00FB3FF9" w:rsidRPr="00BB165A">
        <w:t>,8</w:t>
      </w:r>
      <w:r w:rsidR="00964F05">
        <w:t>00</w:t>
      </w:r>
      <w:r w:rsidR="00FB3FF9" w:rsidRPr="00BB165A">
        <w:t xml:space="preserve">. There was a </w:t>
      </w:r>
      <w:r w:rsidR="00697261" w:rsidRPr="00BB165A">
        <w:t xml:space="preserve">slightly </w:t>
      </w:r>
      <w:r w:rsidR="00A903F1" w:rsidRPr="00BB165A">
        <w:t>wider range of average unit costs across the sector in 2020, from $13,30</w:t>
      </w:r>
      <w:r w:rsidR="00964F05">
        <w:t>0</w:t>
      </w:r>
      <w:r w:rsidR="00A903F1" w:rsidRPr="00BB165A">
        <w:t xml:space="preserve"> (</w:t>
      </w:r>
      <w:r w:rsidR="00556C33" w:rsidRPr="00BB165A">
        <w:t xml:space="preserve">29% below average) to </w:t>
      </w:r>
      <w:r w:rsidR="00A039D8" w:rsidRPr="00BB165A">
        <w:t>$25,</w:t>
      </w:r>
      <w:r w:rsidR="00755FD3">
        <w:t>8</w:t>
      </w:r>
      <w:r w:rsidR="00BF0D20">
        <w:t>00</w:t>
      </w:r>
      <w:r w:rsidR="00A039D8" w:rsidRPr="00BB165A">
        <w:t xml:space="preserve"> (37% above average). This may reflect the </w:t>
      </w:r>
      <w:r w:rsidR="006F55E1" w:rsidRPr="00BB165A">
        <w:t xml:space="preserve">impact of </w:t>
      </w:r>
      <w:r w:rsidR="00697261" w:rsidRPr="00BB165A">
        <w:t xml:space="preserve">different university responses to </w:t>
      </w:r>
      <w:r w:rsidR="006F55E1" w:rsidRPr="00BB165A">
        <w:t xml:space="preserve">COVID-19 </w:t>
      </w:r>
      <w:r w:rsidR="00CF04D0" w:rsidRPr="00BB165A">
        <w:t>and the subsequent effects on</w:t>
      </w:r>
      <w:r w:rsidR="006F55E1" w:rsidRPr="00BB165A">
        <w:t xml:space="preserve"> </w:t>
      </w:r>
      <w:r w:rsidR="00A039D8" w:rsidRPr="00BB165A">
        <w:t xml:space="preserve">the </w:t>
      </w:r>
      <w:r w:rsidR="006F55E1" w:rsidRPr="00BB165A">
        <w:t>cost of</w:t>
      </w:r>
      <w:r w:rsidR="005729B0" w:rsidRPr="00BB165A">
        <w:t xml:space="preserve"> </w:t>
      </w:r>
      <w:r w:rsidR="006F55E1" w:rsidRPr="00BB165A">
        <w:t>teaching and scholarship</w:t>
      </w:r>
      <w:r w:rsidR="00697261" w:rsidRPr="00BB165A">
        <w:t>.</w:t>
      </w:r>
      <w:r w:rsidR="00DE380A" w:rsidRPr="00BB165A">
        <w:t xml:space="preserve"> </w:t>
      </w:r>
      <w:r w:rsidR="00AB56DD" w:rsidRPr="00BB165A">
        <w:t>The largest increase in average unit cost</w:t>
      </w:r>
      <w:r w:rsidR="00CF04D0" w:rsidRPr="00BB165A">
        <w:t>s</w:t>
      </w:r>
      <w:r w:rsidR="00AB56DD" w:rsidRPr="00BB165A">
        <w:t xml:space="preserve"> </w:t>
      </w:r>
      <w:r w:rsidR="00CF04D0" w:rsidRPr="00BB165A">
        <w:t>in</w:t>
      </w:r>
      <w:r w:rsidR="00AB56DD" w:rsidRPr="00BB165A">
        <w:t xml:space="preserve"> 2020 was</w:t>
      </w:r>
      <w:r w:rsidR="00CE5EE2" w:rsidRPr="00BB165A">
        <w:t xml:space="preserve"> $5,</w:t>
      </w:r>
      <w:r w:rsidR="00745B10">
        <w:t>30</w:t>
      </w:r>
      <w:r w:rsidR="004E3997" w:rsidRPr="00BB165A">
        <w:t>0</w:t>
      </w:r>
      <w:r w:rsidR="00AB56DD" w:rsidRPr="00BB165A">
        <w:t xml:space="preserve"> and the largest </w:t>
      </w:r>
      <w:r w:rsidR="0040647A" w:rsidRPr="00BB165A">
        <w:t>decrease</w:t>
      </w:r>
      <w:r w:rsidR="00AB56DD" w:rsidRPr="00BB165A">
        <w:t xml:space="preserve"> over the same period was </w:t>
      </w:r>
      <w:r w:rsidR="00CC721D" w:rsidRPr="00BB165A">
        <w:t>$</w:t>
      </w:r>
      <w:r w:rsidR="0040647A" w:rsidRPr="00BB165A">
        <w:t>2,</w:t>
      </w:r>
      <w:r w:rsidR="005B2289">
        <w:t>90</w:t>
      </w:r>
      <w:r w:rsidR="0040647A" w:rsidRPr="00BB165A">
        <w:t>0</w:t>
      </w:r>
      <w:r w:rsidR="00CC721D" w:rsidRPr="00BB165A">
        <w:t>.</w:t>
      </w:r>
    </w:p>
    <w:p w14:paraId="5515218C" w14:textId="0261E4C9" w:rsidR="00DE380A" w:rsidRPr="00BB165A" w:rsidRDefault="00DE380A" w:rsidP="00DE380A">
      <w:pPr>
        <w:pStyle w:val="CaptionChart"/>
      </w:pPr>
      <w:bookmarkStart w:id="350" w:name="_Ref100325029"/>
      <w:bookmarkStart w:id="351" w:name="_Toc105776356"/>
      <w:r w:rsidRPr="00BB165A">
        <w:t xml:space="preserve">: </w:t>
      </w:r>
      <w:r w:rsidR="00AB56DD" w:rsidRPr="00BB165A">
        <w:t xml:space="preserve">Average unit costs by university (all fields and all levels) </w:t>
      </w:r>
      <w:r w:rsidR="004B6339" w:rsidRPr="00BB165A">
        <w:t>(</w:t>
      </w:r>
      <w:r w:rsidR="00AB56DD" w:rsidRPr="00BB165A">
        <w:t xml:space="preserve">2018 </w:t>
      </w:r>
      <w:r w:rsidR="004B6339" w:rsidRPr="00BB165A">
        <w:t>to</w:t>
      </w:r>
      <w:r w:rsidR="00AB56DD" w:rsidRPr="00BB165A">
        <w:t xml:space="preserve"> 2020</w:t>
      </w:r>
      <w:r w:rsidR="004B6339" w:rsidRPr="00BB165A">
        <w:t>), 2018 common sample</w:t>
      </w:r>
      <w:bookmarkEnd w:id="350"/>
      <w:r w:rsidR="00AB56DD" w:rsidRPr="00BB165A">
        <w:t xml:space="preserve"> </w:t>
      </w:r>
      <w:r w:rsidR="00ED44DA">
        <w:t xml:space="preserve">(32 universities) </w:t>
      </w:r>
      <w:bookmarkEnd w:id="351"/>
    </w:p>
    <w:p w14:paraId="3E38AFCF" w14:textId="52A63143" w:rsidR="000367CD" w:rsidRPr="00BB165A" w:rsidRDefault="000367CD" w:rsidP="00242E0A">
      <w:r>
        <w:rPr>
          <w:noProof/>
        </w:rPr>
        <w:drawing>
          <wp:inline distT="0" distB="0" distL="0" distR="0" wp14:anchorId="4CBCC1D0" wp14:editId="50F13420">
            <wp:extent cx="5760720" cy="2829560"/>
            <wp:effectExtent l="0" t="0" r="0" b="8890"/>
            <wp:docPr id="459974160" name="Chart 459974160" descr="Chart showing the Average unit costs by university (all fields and all levels) (2018 to 2020), 2018 common sample (32 universities). All 32 universities shown in deidentified columns. ">
              <a:extLst xmlns:a="http://schemas.openxmlformats.org/drawingml/2006/main">
                <a:ext uri="{FF2B5EF4-FFF2-40B4-BE49-F238E27FC236}">
                  <a16:creationId xmlns:a16="http://schemas.microsoft.com/office/drawing/2014/main" id="{00000000-0008-0000-2C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3C10732" w14:textId="376C6849" w:rsidR="00DD49A9" w:rsidRPr="00BB165A" w:rsidRDefault="00DD49A9" w:rsidP="00495A65">
      <w:pPr>
        <w:pStyle w:val="Source"/>
      </w:pPr>
      <w:r w:rsidRPr="00BB165A">
        <w:t>Note: This includes all data observations.</w:t>
      </w:r>
    </w:p>
    <w:p w14:paraId="767F14D1" w14:textId="77777777" w:rsidR="001548C2" w:rsidRPr="00BB165A" w:rsidRDefault="001548C2" w:rsidP="001548C2">
      <w:pPr>
        <w:pStyle w:val="Heading2"/>
      </w:pPr>
      <w:bookmarkStart w:id="352" w:name="_Toc528855683"/>
      <w:bookmarkStart w:id="353" w:name="_Ref529288172"/>
      <w:bookmarkStart w:id="354" w:name="_Ref529786832"/>
      <w:bookmarkStart w:id="355" w:name="_Ref529786860"/>
      <w:bookmarkStart w:id="356" w:name="_Ref529786873"/>
      <w:bookmarkStart w:id="357" w:name="_Toc20246009"/>
      <w:bookmarkStart w:id="358" w:name="_Toc105776188"/>
      <w:r w:rsidRPr="00BB165A">
        <w:t>Costs by field and level of education</w:t>
      </w:r>
      <w:bookmarkEnd w:id="352"/>
      <w:bookmarkEnd w:id="353"/>
      <w:bookmarkEnd w:id="354"/>
      <w:bookmarkEnd w:id="355"/>
      <w:bookmarkEnd w:id="356"/>
      <w:bookmarkEnd w:id="357"/>
      <w:bookmarkEnd w:id="358"/>
    </w:p>
    <w:p w14:paraId="044E881F" w14:textId="77777777" w:rsidR="00AB5654" w:rsidRPr="00BB165A" w:rsidRDefault="00AB5654" w:rsidP="00AB5654">
      <w:r w:rsidRPr="00BB165A">
        <w:t xml:space="preserve">This section </w:t>
      </w:r>
      <w:r w:rsidR="005873CA" w:rsidRPr="00BB165A">
        <w:t>present</w:t>
      </w:r>
      <w:r w:rsidR="00A8242F" w:rsidRPr="00BB165A">
        <w:t>s</w:t>
      </w:r>
      <w:r w:rsidRPr="00BB165A">
        <w:t xml:space="preserve"> the costs of teaching and scholarship by field and level of education. Before discussing the results in detail, </w:t>
      </w:r>
      <w:r w:rsidR="00C502EF" w:rsidRPr="00BB165A">
        <w:t xml:space="preserve">the </w:t>
      </w:r>
      <w:r w:rsidR="005873CA" w:rsidRPr="00BB165A">
        <w:t xml:space="preserve">first part of this section </w:t>
      </w:r>
      <w:r w:rsidR="00C502EF" w:rsidRPr="00BB165A">
        <w:t xml:space="preserve">describes </w:t>
      </w:r>
      <w:r w:rsidRPr="00BB165A">
        <w:t xml:space="preserve">the sample size of each field and level of education and </w:t>
      </w:r>
      <w:r w:rsidR="005873CA" w:rsidRPr="00BB165A">
        <w:t xml:space="preserve">discusses </w:t>
      </w:r>
      <w:r w:rsidRPr="00BB165A">
        <w:t xml:space="preserve">the approach taken to addressing outliers. </w:t>
      </w:r>
    </w:p>
    <w:p w14:paraId="53C8B9D8" w14:textId="77777777" w:rsidR="001548C2" w:rsidRPr="00BB165A" w:rsidRDefault="001548C2" w:rsidP="00495A65">
      <w:pPr>
        <w:pStyle w:val="Heading3un-numbered"/>
      </w:pPr>
      <w:r w:rsidRPr="00BB165A">
        <w:t xml:space="preserve">Sample size for each field and level of education </w:t>
      </w:r>
    </w:p>
    <w:p w14:paraId="568E703B" w14:textId="00E83CB6" w:rsidR="001548C2" w:rsidRPr="00BB165A" w:rsidRDefault="51EDF527" w:rsidP="00795236">
      <w:r>
        <w:t>W</w:t>
      </w:r>
      <w:r w:rsidR="793E584E">
        <w:t xml:space="preserve">hile universities offer a wide selection of disciplines and qualification types, some field and level combinations are significantly more common (e.g. </w:t>
      </w:r>
      <w:r w:rsidR="21FA719D">
        <w:t>Information and Technology</w:t>
      </w:r>
      <w:r w:rsidR="793E584E">
        <w:t xml:space="preserve"> bachelor degrees are delivered at all </w:t>
      </w:r>
      <w:r w:rsidR="657E21C5">
        <w:t>3</w:t>
      </w:r>
      <w:r w:rsidR="4EB8FEAB">
        <w:t>7</w:t>
      </w:r>
      <w:r w:rsidR="793E584E">
        <w:t xml:space="preserve"> universities in the sample), while others are much less prominent, typically due to their specialist nature (e.g. </w:t>
      </w:r>
      <w:r w:rsidR="657E21C5">
        <w:t>Veterinary Studies</w:t>
      </w:r>
      <w:r w:rsidR="5B119195">
        <w:t xml:space="preserve"> is offered at </w:t>
      </w:r>
      <w:r w:rsidR="0B8CCA5D">
        <w:t xml:space="preserve">9 </w:t>
      </w:r>
      <w:r w:rsidR="793E584E">
        <w:t xml:space="preserve">of </w:t>
      </w:r>
      <w:r w:rsidR="5B119195">
        <w:t xml:space="preserve">the </w:t>
      </w:r>
      <w:r w:rsidR="657E21C5">
        <w:t>3</w:t>
      </w:r>
      <w:r w:rsidR="0B8CCA5D">
        <w:t>7</w:t>
      </w:r>
      <w:r w:rsidR="793E584E">
        <w:t xml:space="preserve"> universities)</w:t>
      </w:r>
      <w:r>
        <w:t xml:space="preserve">. </w:t>
      </w:r>
      <w:r w:rsidR="00795236">
        <w:fldChar w:fldCharType="begin"/>
      </w:r>
      <w:r w:rsidR="00795236">
        <w:instrText xml:space="preserve"> REF _Ref531246478 \r \h  \* MERGEFORMAT </w:instrText>
      </w:r>
      <w:r w:rsidR="00795236">
        <w:fldChar w:fldCharType="separate"/>
      </w:r>
      <w:r w:rsidR="2612912C">
        <w:t>Chart 2.8</w:t>
      </w:r>
      <w:r w:rsidR="00795236">
        <w:fldChar w:fldCharType="end"/>
      </w:r>
      <w:r w:rsidR="00766092">
        <w:t xml:space="preserve">, </w:t>
      </w:r>
      <w:r w:rsidR="00795236">
        <w:fldChar w:fldCharType="begin"/>
      </w:r>
      <w:r w:rsidR="00795236">
        <w:instrText xml:space="preserve"> REF _Ref100570572 \r \h  \* MERGEFORMAT </w:instrText>
      </w:r>
      <w:r w:rsidR="00795236">
        <w:fldChar w:fldCharType="separate"/>
      </w:r>
      <w:r w:rsidR="2612912C">
        <w:t>Chart 2.9</w:t>
      </w:r>
      <w:r w:rsidR="00795236">
        <w:fldChar w:fldCharType="end"/>
      </w:r>
      <w:r w:rsidR="00F8DDCF">
        <w:t xml:space="preserve"> </w:t>
      </w:r>
      <w:r w:rsidR="00766092">
        <w:t xml:space="preserve">and </w:t>
      </w:r>
      <w:r w:rsidR="00766092">
        <w:fldChar w:fldCharType="begin"/>
      </w:r>
      <w:r w:rsidR="00766092">
        <w:instrText xml:space="preserve"> REF _Ref105574621 \r \h </w:instrText>
      </w:r>
      <w:r w:rsidR="00766092">
        <w:fldChar w:fldCharType="separate"/>
      </w:r>
      <w:r w:rsidR="00766092">
        <w:t>Chart 2.10</w:t>
      </w:r>
      <w:r w:rsidR="00766092">
        <w:fldChar w:fldCharType="end"/>
      </w:r>
      <w:r w:rsidR="00F8DDCF">
        <w:t xml:space="preserve"> </w:t>
      </w:r>
      <w:r>
        <w:t>provides the sample size counts for each field-level combination</w:t>
      </w:r>
      <w:r w:rsidR="2C3B8FF1">
        <w:t xml:space="preserve"> in 2019 and 2020</w:t>
      </w:r>
      <w:r>
        <w:t>.</w:t>
      </w:r>
      <w:r w:rsidR="793E584E">
        <w:t xml:space="preserve"> </w:t>
      </w:r>
    </w:p>
    <w:p w14:paraId="54772495" w14:textId="32862796" w:rsidR="001A39A3" w:rsidRPr="00BB165A" w:rsidRDefault="001A39A3" w:rsidP="001A39A3">
      <w:pPr>
        <w:pStyle w:val="CaptionChart"/>
      </w:pPr>
      <w:bookmarkStart w:id="359" w:name="_Toc532245537"/>
      <w:bookmarkStart w:id="360" w:name="_Toc532376071"/>
      <w:bookmarkStart w:id="361" w:name="_Ref531246478"/>
      <w:bookmarkStart w:id="362" w:name="_Toc20245968"/>
      <w:bookmarkStart w:id="363" w:name="_Toc105776357"/>
      <w:bookmarkEnd w:id="359"/>
      <w:bookmarkEnd w:id="360"/>
      <w:r w:rsidRPr="00BB165A">
        <w:t>: Sample of cost observations by field of education</w:t>
      </w:r>
      <w:bookmarkEnd w:id="361"/>
      <w:bookmarkEnd w:id="362"/>
      <w:r w:rsidR="00B16969">
        <w:t>, sub-bachelor</w:t>
      </w:r>
      <w:bookmarkEnd w:id="363"/>
    </w:p>
    <w:p w14:paraId="79C35C7D" w14:textId="11996240" w:rsidR="001A39A3" w:rsidRPr="00BB165A" w:rsidRDefault="00B760EC" w:rsidP="001A39A3">
      <w:r>
        <w:rPr>
          <w:noProof/>
        </w:rPr>
        <w:drawing>
          <wp:inline distT="0" distB="0" distL="0" distR="0" wp14:anchorId="445AFE93" wp14:editId="739C2D10">
            <wp:extent cx="4572000" cy="2743200"/>
            <wp:effectExtent l="0" t="0" r="0" b="0"/>
            <wp:docPr id="459974163" name="Chart 459974163" descr="Chart showing the sample of cost observations by field of education, sub-bachelor for 2019 and 2020. Counts are by field of education in columns, with 37 universities shown as a line.">
              <a:extLst xmlns:a="http://schemas.openxmlformats.org/drawingml/2006/main">
                <a:ext uri="{FF2B5EF4-FFF2-40B4-BE49-F238E27FC236}">
                  <a16:creationId xmlns:a16="http://schemas.microsoft.com/office/drawing/2014/main" id="{FCBB47BB-3365-4490-94AB-BD58BAA625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AB2017" w:rsidRPr="00BB165A" w:rsidDel="00AB2017">
        <w:rPr>
          <w:lang w:eastAsia="en-AU"/>
        </w:rPr>
        <w:t xml:space="preserve"> </w:t>
      </w:r>
    </w:p>
    <w:p w14:paraId="56C02AFC" w14:textId="34E8CB97" w:rsidR="001A39A3" w:rsidRDefault="001A39A3">
      <w:pPr>
        <w:pStyle w:val="Source"/>
      </w:pPr>
      <w:r w:rsidRPr="00BB165A">
        <w:t xml:space="preserve">Note: Maximum total count is </w:t>
      </w:r>
      <w:r w:rsidR="000057A0" w:rsidRPr="00BB165A">
        <w:t>3</w:t>
      </w:r>
      <w:r w:rsidR="009E42E8" w:rsidRPr="00BB165A">
        <w:t>7</w:t>
      </w:r>
      <w:r w:rsidRPr="00BB165A">
        <w:t xml:space="preserve">. </w:t>
      </w:r>
      <w:r w:rsidR="00DD49A9" w:rsidRPr="00BB165A">
        <w:t>Excl</w:t>
      </w:r>
      <w:r w:rsidR="000057A0" w:rsidRPr="00BB165A">
        <w:t>uding outliers</w:t>
      </w:r>
      <w:r w:rsidR="00DD49A9" w:rsidRPr="00BB165A">
        <w:t xml:space="preserve">. </w:t>
      </w:r>
      <w:r w:rsidR="00943A6D" w:rsidRPr="00BB165A">
        <w:t>See Box 2.1 for approach to excluding outliers.</w:t>
      </w:r>
    </w:p>
    <w:p w14:paraId="0C161B5B" w14:textId="77777777" w:rsidR="00EA4C16" w:rsidRPr="00524DCD" w:rsidRDefault="00EA4C16" w:rsidP="00416131"/>
    <w:p w14:paraId="5C12F57E" w14:textId="21EFFB30" w:rsidR="00B05269" w:rsidRPr="00BB165A" w:rsidRDefault="00044826" w:rsidP="00B05269">
      <w:pPr>
        <w:pStyle w:val="CaptionChart"/>
      </w:pPr>
      <w:bookmarkStart w:id="364" w:name="_Ref100570572"/>
      <w:bookmarkStart w:id="365" w:name="_Toc105776358"/>
      <w:r w:rsidRPr="00BB165A">
        <w:t xml:space="preserve">: Sample of cost observations by field of </w:t>
      </w:r>
      <w:r w:rsidR="003C53BC" w:rsidRPr="00BB165A">
        <w:t>education</w:t>
      </w:r>
      <w:r w:rsidR="003C53BC">
        <w:t>, bachelor</w:t>
      </w:r>
      <w:bookmarkEnd w:id="364"/>
      <w:bookmarkEnd w:id="365"/>
    </w:p>
    <w:p w14:paraId="1FEC9E2F" w14:textId="4168C10D" w:rsidR="00B05269" w:rsidRPr="00BB165A" w:rsidRDefault="00D42B71" w:rsidP="00B05269">
      <w:r>
        <w:rPr>
          <w:noProof/>
        </w:rPr>
        <w:drawing>
          <wp:inline distT="0" distB="0" distL="0" distR="0" wp14:anchorId="0CB04942" wp14:editId="412664CF">
            <wp:extent cx="4572000" cy="2743200"/>
            <wp:effectExtent l="0" t="0" r="0" b="0"/>
            <wp:docPr id="459974166" name="Chart 459974166" descr="Chart shows the Sample of cost observations by field of education, bachelor. Counts are by field of education in columns, with 37 universities shown as a line.">
              <a:extLst xmlns:a="http://schemas.openxmlformats.org/drawingml/2006/main">
                <a:ext uri="{FF2B5EF4-FFF2-40B4-BE49-F238E27FC236}">
                  <a16:creationId xmlns:a16="http://schemas.microsoft.com/office/drawing/2014/main" id="{E97705D5-7A35-49C3-9D57-BEA0D7F17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4C5E2EF" w14:textId="17ADC045" w:rsidR="00530F64" w:rsidRPr="00BB165A" w:rsidRDefault="00530F64" w:rsidP="00530F64">
      <w:pPr>
        <w:pStyle w:val="Source"/>
      </w:pPr>
      <w:r w:rsidRPr="00BB165A">
        <w:t>Note: Maximum total count is 37. Excluding outliers. See Box 2.1 for approach to excluding outliers.</w:t>
      </w:r>
    </w:p>
    <w:p w14:paraId="0CF0FD74" w14:textId="2893ADF9" w:rsidR="003C53BC" w:rsidRPr="00BB165A" w:rsidRDefault="003C53BC" w:rsidP="003C53BC">
      <w:pPr>
        <w:pStyle w:val="CaptionChart"/>
      </w:pPr>
      <w:bookmarkStart w:id="366" w:name="_Ref105574621"/>
      <w:bookmarkStart w:id="367" w:name="_Toc105776359"/>
      <w:r w:rsidRPr="00BB165A">
        <w:t>: Sample of cost observations by field of education</w:t>
      </w:r>
      <w:r>
        <w:t>, postgraduate</w:t>
      </w:r>
      <w:bookmarkEnd w:id="366"/>
      <w:bookmarkEnd w:id="367"/>
    </w:p>
    <w:p w14:paraId="1774B450" w14:textId="6C1DEA48" w:rsidR="00D42B71" w:rsidRPr="00BB165A" w:rsidRDefault="00D42B71" w:rsidP="003C53BC">
      <w:r>
        <w:rPr>
          <w:noProof/>
        </w:rPr>
        <w:drawing>
          <wp:inline distT="0" distB="0" distL="0" distR="0" wp14:anchorId="52B1CE15" wp14:editId="5BBAD953">
            <wp:extent cx="4572000" cy="2743200"/>
            <wp:effectExtent l="0" t="0" r="0" b="0"/>
            <wp:docPr id="459974170" name="Chart 459974170" descr="Chart shows the Sample of cost observations by field of education, postgraduate. Counts are by field of education in columns, with 37 universities show as a line.">
              <a:extLst xmlns:a="http://schemas.openxmlformats.org/drawingml/2006/main">
                <a:ext uri="{FF2B5EF4-FFF2-40B4-BE49-F238E27FC236}">
                  <a16:creationId xmlns:a16="http://schemas.microsoft.com/office/drawing/2014/main" id="{D83A08B2-9614-4EB9-91AB-B7F1A6E57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DD8458D" w14:textId="2A965F58" w:rsidR="003C53BC" w:rsidRPr="003C53BC" w:rsidRDefault="003C53BC">
      <w:pPr>
        <w:pStyle w:val="Source"/>
      </w:pPr>
      <w:r w:rsidRPr="00BB165A">
        <w:t>Note: Maximum total count is 37. Excluding outliers. See Box 2.1 for approach to excluding outliers.</w:t>
      </w:r>
    </w:p>
    <w:p w14:paraId="61FB4E33" w14:textId="4563E2C6" w:rsidR="00DB1B27" w:rsidRPr="00BB165A" w:rsidRDefault="00DB1B27" w:rsidP="00DB1B27">
      <w:r w:rsidRPr="00BB165A">
        <w:t xml:space="preserve">In instances where a greater number of universities offer a specific field and level combination, there is greater confidence and robustness in the measurement of average costs. For </w:t>
      </w:r>
      <w:r w:rsidR="00731F0B">
        <w:t>disciplines</w:t>
      </w:r>
      <w:r w:rsidRPr="00BB165A">
        <w:t xml:space="preserve"> with fewer respondents, while there is sufficient confidence in the individual data provided by each institution, there is greater uncertainty </w:t>
      </w:r>
      <w:r w:rsidR="00F165B6">
        <w:t xml:space="preserve">as to </w:t>
      </w:r>
      <w:r w:rsidRPr="00BB165A">
        <w:t xml:space="preserve">whether the results are reflective of the sector as a whole, or instead reflect university-specific factors. </w:t>
      </w:r>
    </w:p>
    <w:p w14:paraId="00F3E3A8" w14:textId="40E4C5E5" w:rsidR="00DB1B27" w:rsidRPr="00BB165A" w:rsidRDefault="00DB1B27" w:rsidP="00DB1B27">
      <w:r w:rsidRPr="00BB165A">
        <w:t xml:space="preserve">To this point, the number of observations for sub-bachelor programs is systematically lower than bachelor and postgraduate, which is likely an accurate reflection of delivery in the sector, given the fewer number of programs offered and lower enrolment numbers in total. Similarly, there are fewer observations for Food, Hospitality and Personal Services and Mixed Field Programmes, as these fields are typically a greater focus for vocational education providers. </w:t>
      </w:r>
    </w:p>
    <w:p w14:paraId="27715171" w14:textId="6B35D1E7" w:rsidR="00DB1B27" w:rsidRPr="00BB165A" w:rsidRDefault="00DB1B27" w:rsidP="00DB1B27">
      <w:r w:rsidRPr="00BB165A">
        <w:t xml:space="preserve">The analysis in this report excludes a number of university results for field-level combinations that were deemed to be outliers to the extent that they are unlikely to reflect the true cost of delivery. The approach to identifying outliers is set out in Box 2.1 below, while Box 2.2 discusses how to interpret the ‘Box and Whisker’ plots used in subsequent sections of this chapter. The count of cost observations deemed to be outliers within each field-level combination in 2019 and 2020 are presented in </w:t>
      </w:r>
      <w:r w:rsidRPr="00BB165A">
        <w:fldChar w:fldCharType="begin"/>
      </w:r>
      <w:r w:rsidRPr="00BB165A">
        <w:instrText xml:space="preserve"> REF _Ref19806403 \r \h  \* MERGEFORMAT </w:instrText>
      </w:r>
      <w:r w:rsidRPr="00BB165A">
        <w:fldChar w:fldCharType="separate"/>
      </w:r>
      <w:r w:rsidR="00804998">
        <w:t>Chart 2.11</w:t>
      </w:r>
      <w:r w:rsidRPr="00BB165A">
        <w:fldChar w:fldCharType="end"/>
      </w:r>
      <w:r w:rsidRPr="00BB165A">
        <w:t xml:space="preserve"> and </w:t>
      </w:r>
      <w:r w:rsidRPr="00BB165A">
        <w:fldChar w:fldCharType="begin"/>
      </w:r>
      <w:r w:rsidRPr="00BB165A">
        <w:instrText xml:space="preserve"> REF _Ref100570753 \r \h </w:instrText>
      </w:r>
      <w:r w:rsidR="009049BC" w:rsidRPr="00BB165A">
        <w:instrText xml:space="preserve"> \* MERGEFORMAT </w:instrText>
      </w:r>
      <w:r w:rsidRPr="00BB165A">
        <w:fldChar w:fldCharType="separate"/>
      </w:r>
      <w:r w:rsidR="00804998">
        <w:t>Chart 2.12</w:t>
      </w:r>
      <w:r w:rsidRPr="00BB165A">
        <w:fldChar w:fldCharType="end"/>
      </w:r>
      <w:r w:rsidRPr="00BB165A">
        <w:t>.</w:t>
      </w:r>
    </w:p>
    <w:p w14:paraId="253DDDE4" w14:textId="2B8368B9" w:rsidR="001A39A3" w:rsidRPr="00BB165A" w:rsidRDefault="001A39A3" w:rsidP="001A39A3">
      <w:pPr>
        <w:pStyle w:val="CaptionChart"/>
      </w:pPr>
      <w:bookmarkStart w:id="368" w:name="_Ref19806403"/>
      <w:bookmarkStart w:id="369" w:name="_Toc20245969"/>
      <w:bookmarkStart w:id="370" w:name="_Toc105776360"/>
      <w:r w:rsidRPr="00BB165A">
        <w:t xml:space="preserve">: </w:t>
      </w:r>
      <w:r w:rsidR="00DD49A9" w:rsidRPr="00BB165A">
        <w:t xml:space="preserve">Count of outlier </w:t>
      </w:r>
      <w:r w:rsidRPr="00BB165A">
        <w:t xml:space="preserve">cost observations </w:t>
      </w:r>
      <w:r w:rsidR="00DD49A9" w:rsidRPr="00BB165A">
        <w:t xml:space="preserve">removed </w:t>
      </w:r>
      <w:r w:rsidRPr="00BB165A">
        <w:t>by field and level of education</w:t>
      </w:r>
      <w:bookmarkEnd w:id="368"/>
      <w:bookmarkEnd w:id="369"/>
      <w:r w:rsidR="000849F6" w:rsidRPr="00BB165A">
        <w:t xml:space="preserve"> combination</w:t>
      </w:r>
      <w:r w:rsidR="004817C4">
        <w:t xml:space="preserve"> (</w:t>
      </w:r>
      <w:r w:rsidR="00530F64" w:rsidRPr="00BB165A">
        <w:t>2019</w:t>
      </w:r>
      <w:r w:rsidR="004817C4">
        <w:t>)</w:t>
      </w:r>
      <w:bookmarkEnd w:id="370"/>
    </w:p>
    <w:p w14:paraId="51762D39" w14:textId="4DE51EC8" w:rsidR="001A39A3" w:rsidRPr="00BB165A" w:rsidRDefault="00091747" w:rsidP="001A39A3">
      <w:r>
        <w:rPr>
          <w:noProof/>
        </w:rPr>
        <w:drawing>
          <wp:inline distT="0" distB="0" distL="0" distR="0" wp14:anchorId="69DAB4AC" wp14:editId="6D676D25">
            <wp:extent cx="4791075" cy="2743200"/>
            <wp:effectExtent l="0" t="0" r="0" b="0"/>
            <wp:docPr id="459974172" name="Chart 459974172" descr="Chart showing the Count of outlier cost observations removed by field and level of education combination (2019). Grouped by Field of education, independent columns for the count of each outlier removed by level of education in the field of education.">
              <a:extLst xmlns:a="http://schemas.openxmlformats.org/drawingml/2006/main">
                <a:ext uri="{FF2B5EF4-FFF2-40B4-BE49-F238E27FC236}">
                  <a16:creationId xmlns:a16="http://schemas.microsoft.com/office/drawing/2014/main" id="{00000000-0008-0000-2E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AB2017" w:rsidRPr="00BB165A" w:rsidDel="00AB2017">
        <w:rPr>
          <w:lang w:eastAsia="en-AU"/>
        </w:rPr>
        <w:t xml:space="preserve"> </w:t>
      </w:r>
    </w:p>
    <w:p w14:paraId="3DB1C2CB" w14:textId="005B17CE" w:rsidR="001A39A3" w:rsidRDefault="00DD49A9">
      <w:pPr>
        <w:pStyle w:val="Source"/>
      </w:pPr>
      <w:r w:rsidRPr="00BB165A">
        <w:t xml:space="preserve">Note: </w:t>
      </w:r>
      <w:r w:rsidR="005306F8" w:rsidRPr="00BB165A">
        <w:t>See Box 2.1 for approach to excluding outliers.</w:t>
      </w:r>
    </w:p>
    <w:p w14:paraId="35911F12" w14:textId="77777777" w:rsidR="00E536BF" w:rsidRPr="007E73FA" w:rsidRDefault="00E536BF" w:rsidP="00416131"/>
    <w:p w14:paraId="50CB0408" w14:textId="024DA0EB" w:rsidR="00530F64" w:rsidRPr="00BB165A" w:rsidRDefault="00530F64" w:rsidP="00530F64">
      <w:pPr>
        <w:pStyle w:val="CaptionChart"/>
      </w:pPr>
      <w:bookmarkStart w:id="371" w:name="_Ref100570753"/>
      <w:bookmarkStart w:id="372" w:name="_Toc105776361"/>
      <w:r w:rsidRPr="00BB165A">
        <w:t>: Count of outlier cost observations removed by field and level of education combination</w:t>
      </w:r>
      <w:r w:rsidR="00F00797">
        <w:t xml:space="preserve"> (</w:t>
      </w:r>
      <w:r w:rsidRPr="00BB165A">
        <w:t>2020</w:t>
      </w:r>
      <w:bookmarkEnd w:id="371"/>
      <w:r w:rsidR="00F00797">
        <w:t>)</w:t>
      </w:r>
      <w:bookmarkEnd w:id="372"/>
    </w:p>
    <w:p w14:paraId="443E7895" w14:textId="7D6C9DBF" w:rsidR="00091747" w:rsidRPr="00BB165A" w:rsidRDefault="00091747" w:rsidP="00044826">
      <w:r>
        <w:rPr>
          <w:noProof/>
        </w:rPr>
        <w:drawing>
          <wp:inline distT="0" distB="0" distL="0" distR="0" wp14:anchorId="4AECAE82" wp14:editId="5840655C">
            <wp:extent cx="4743450" cy="2705100"/>
            <wp:effectExtent l="0" t="0" r="0" b="0"/>
            <wp:docPr id="459974181" name="Chart 459974181" descr="Chart shows the count of outlier cost observations removed by field and level of education combination (2020)Grouped by Field of education, independent columns for the count of each outlier removed by level of education in the field of education.">
              <a:extLst xmlns:a="http://schemas.openxmlformats.org/drawingml/2006/main">
                <a:ext uri="{FF2B5EF4-FFF2-40B4-BE49-F238E27FC236}">
                  <a16:creationId xmlns:a16="http://schemas.microsoft.com/office/drawing/2014/main" id="{00000000-0008-0000-2E00-00001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0403ABE" w14:textId="2104F427" w:rsidR="00530F64" w:rsidRPr="00BB165A" w:rsidRDefault="00530F64" w:rsidP="00530F64">
      <w:pPr>
        <w:pStyle w:val="Source"/>
      </w:pPr>
      <w:r w:rsidRPr="00BB165A">
        <w:t>Note: See Box 2.1 for approach to excluding outliers.</w:t>
      </w:r>
    </w:p>
    <w:p w14:paraId="678AAC7A" w14:textId="77777777" w:rsidR="006A39D8" w:rsidRPr="00BB165A" w:rsidRDefault="006A39D8" w:rsidP="006118C2"/>
    <w:p w14:paraId="4E07B024" w14:textId="77777777" w:rsidR="0022424E" w:rsidRPr="00BB165A" w:rsidRDefault="0022424E">
      <w:pPr>
        <w:spacing w:after="0"/>
      </w:pPr>
      <w:r w:rsidRPr="00BB165A">
        <w:br w:type="page"/>
      </w:r>
    </w:p>
    <w:tbl>
      <w:tblPr>
        <w:tblStyle w:val="TableGrid"/>
        <w:tblpPr w:leftFromText="180" w:rightFromText="180" w:vertAnchor="text" w:tblpY="1"/>
        <w:tblOverlap w:val="never"/>
        <w:tblW w:w="0" w:type="auto"/>
        <w:shd w:val="clear" w:color="auto" w:fill="E7E6E6" w:themeFill="background2"/>
        <w:tblCellMar>
          <w:left w:w="108" w:type="dxa"/>
          <w:right w:w="108" w:type="dxa"/>
        </w:tblCellMar>
        <w:tblLook w:val="04A0" w:firstRow="1" w:lastRow="0" w:firstColumn="1" w:lastColumn="0" w:noHBand="0" w:noVBand="1"/>
      </w:tblPr>
      <w:tblGrid>
        <w:gridCol w:w="6946"/>
      </w:tblGrid>
      <w:tr w:rsidR="00CB6DC1" w:rsidRPr="009049BC" w14:paraId="6DD81200" w14:textId="77777777" w:rsidTr="005114E2">
        <w:trPr>
          <w:cnfStyle w:val="100000000000" w:firstRow="1" w:lastRow="0" w:firstColumn="0" w:lastColumn="0" w:oddVBand="0" w:evenVBand="0" w:oddHBand="0" w:evenHBand="0" w:firstRowFirstColumn="0" w:firstRowLastColumn="0" w:lastRowFirstColumn="0" w:lastRowLastColumn="0"/>
        </w:trPr>
        <w:tc>
          <w:tcPr>
            <w:tcW w:w="6946" w:type="dxa"/>
            <w:shd w:val="clear" w:color="auto" w:fill="E7E6E6" w:themeFill="background2"/>
          </w:tcPr>
          <w:p w14:paraId="17FD3D88" w14:textId="493DE5B8" w:rsidR="00CB6DC1" w:rsidRPr="00BB165A" w:rsidRDefault="00CB6DC1">
            <w:pPr>
              <w:rPr>
                <w:b/>
                <w:sz w:val="16"/>
              </w:rPr>
            </w:pPr>
            <w:r w:rsidRPr="00BB165A">
              <w:rPr>
                <w:b/>
                <w:sz w:val="16"/>
              </w:rPr>
              <w:t xml:space="preserve">Box </w:t>
            </w:r>
            <w:r w:rsidR="00051339" w:rsidRPr="00BB165A">
              <w:rPr>
                <w:b/>
                <w:sz w:val="16"/>
              </w:rPr>
              <w:t>2.1</w:t>
            </w:r>
            <w:r w:rsidRPr="00BB165A">
              <w:rPr>
                <w:b/>
                <w:sz w:val="16"/>
              </w:rPr>
              <w:t xml:space="preserve">: </w:t>
            </w:r>
            <w:r w:rsidR="00051339" w:rsidRPr="00BB165A">
              <w:rPr>
                <w:b/>
                <w:sz w:val="16"/>
              </w:rPr>
              <w:t xml:space="preserve">Data moderation process and exclusion of </w:t>
            </w:r>
            <w:r w:rsidRPr="00BB165A">
              <w:rPr>
                <w:b/>
                <w:sz w:val="16"/>
              </w:rPr>
              <w:t xml:space="preserve">outliers </w:t>
            </w:r>
          </w:p>
          <w:p w14:paraId="692E45D2" w14:textId="77777777" w:rsidR="00051339" w:rsidRPr="00BB165A" w:rsidRDefault="00051339">
            <w:pPr>
              <w:rPr>
                <w:sz w:val="16"/>
              </w:rPr>
            </w:pPr>
            <w:r w:rsidRPr="00BB165A">
              <w:rPr>
                <w:sz w:val="16"/>
              </w:rPr>
              <w:t>A moderation exercise was undertaken for each university upon receipt of the data. The goal of this exercise was to identify:</w:t>
            </w:r>
          </w:p>
          <w:p w14:paraId="2F398B11" w14:textId="243186C0" w:rsidR="00051339" w:rsidRPr="00BB165A" w:rsidRDefault="009D37B1">
            <w:pPr>
              <w:pStyle w:val="ListBullet"/>
              <w:rPr>
                <w:sz w:val="16"/>
              </w:rPr>
            </w:pPr>
            <w:r w:rsidRPr="00BB165A">
              <w:rPr>
                <w:sz w:val="16"/>
              </w:rPr>
              <w:t>A</w:t>
            </w:r>
            <w:r w:rsidR="00051339" w:rsidRPr="00BB165A">
              <w:rPr>
                <w:sz w:val="16"/>
              </w:rPr>
              <w:t>ny data entries that indicated an error had been made</w:t>
            </w:r>
          </w:p>
          <w:p w14:paraId="4D98D5BB" w14:textId="19E63FF7" w:rsidR="00051339" w:rsidRPr="00BB165A" w:rsidRDefault="009D37B1">
            <w:pPr>
              <w:pStyle w:val="ListBullet"/>
              <w:rPr>
                <w:sz w:val="16"/>
              </w:rPr>
            </w:pPr>
            <w:r w:rsidRPr="00BB165A">
              <w:rPr>
                <w:sz w:val="16"/>
              </w:rPr>
              <w:t>A</w:t>
            </w:r>
            <w:r w:rsidR="00051339" w:rsidRPr="00BB165A">
              <w:rPr>
                <w:sz w:val="16"/>
              </w:rPr>
              <w:t xml:space="preserve">ny outliers </w:t>
            </w:r>
            <w:r w:rsidR="009D6AE4" w:rsidRPr="00BB165A">
              <w:rPr>
                <w:sz w:val="16"/>
              </w:rPr>
              <w:t>(by levels and year-on-year growth)</w:t>
            </w:r>
            <w:r w:rsidR="00051339" w:rsidRPr="00BB165A">
              <w:rPr>
                <w:sz w:val="16"/>
              </w:rPr>
              <w:t xml:space="preserve"> across FOEs or universities that should be further investigated</w:t>
            </w:r>
          </w:p>
          <w:p w14:paraId="7B4C3681" w14:textId="305F3783" w:rsidR="00051339" w:rsidRPr="00BB165A" w:rsidRDefault="009D37B1">
            <w:pPr>
              <w:pStyle w:val="ListBullet"/>
              <w:rPr>
                <w:sz w:val="16"/>
              </w:rPr>
            </w:pPr>
            <w:r w:rsidRPr="00BB165A">
              <w:rPr>
                <w:sz w:val="16"/>
              </w:rPr>
              <w:t>B</w:t>
            </w:r>
            <w:r w:rsidR="00051339" w:rsidRPr="00BB165A">
              <w:rPr>
                <w:sz w:val="16"/>
              </w:rPr>
              <w:t>road indicators of the results (such as relativities across FOEs, and spreads within FOEs) that may guide the analysis of the data.</w:t>
            </w:r>
          </w:p>
          <w:p w14:paraId="35D3EF52" w14:textId="26C0FFF1" w:rsidR="00051339" w:rsidRPr="00BB165A" w:rsidRDefault="00051339">
            <w:pPr>
              <w:rPr>
                <w:sz w:val="16"/>
              </w:rPr>
            </w:pPr>
            <w:r w:rsidRPr="00BB165A">
              <w:rPr>
                <w:sz w:val="16"/>
              </w:rPr>
              <w:t>The data was assessed for errors using standard data validation techniques. This included identifying any instances of negative costs or cost shares implied by the data</w:t>
            </w:r>
            <w:r w:rsidR="003A5143" w:rsidRPr="00BB165A">
              <w:rPr>
                <w:sz w:val="16"/>
              </w:rPr>
              <w:t xml:space="preserve"> or </w:t>
            </w:r>
            <w:r w:rsidRPr="00BB165A">
              <w:rPr>
                <w:sz w:val="16"/>
              </w:rPr>
              <w:t>cost shares exceeding 100%. Where such issues were identified, universities were followed up to resolve the issue. The information provided in the qualitative submissions was also reviewed and used to inform the moderation process.</w:t>
            </w:r>
          </w:p>
          <w:p w14:paraId="1E90EB64" w14:textId="55278213" w:rsidR="00051339" w:rsidRPr="00BB165A" w:rsidRDefault="00051339">
            <w:pPr>
              <w:rPr>
                <w:sz w:val="16"/>
              </w:rPr>
            </w:pPr>
            <w:r w:rsidRPr="00BB165A">
              <w:rPr>
                <w:sz w:val="16"/>
              </w:rPr>
              <w:t xml:space="preserve">Ultimately, following conversations and validation with participants, some cost observations remained outliers. In most cases, these were due to field and level observations with very low EFTSL counts resulting in both instances of relatively high and low cost per EFTSL. </w:t>
            </w:r>
          </w:p>
          <w:p w14:paraId="38A3238F" w14:textId="53BC2FAC" w:rsidR="00051339" w:rsidRPr="00BB165A" w:rsidRDefault="00206776">
            <w:pPr>
              <w:rPr>
                <w:sz w:val="16"/>
              </w:rPr>
            </w:pPr>
            <w:r w:rsidRPr="00BB165A">
              <w:rPr>
                <w:sz w:val="16"/>
              </w:rPr>
              <w:t>Overall</w:t>
            </w:r>
            <w:r w:rsidR="007A063D" w:rsidRPr="00BB165A">
              <w:rPr>
                <w:sz w:val="16"/>
              </w:rPr>
              <w:t>, average costs for all fields of education remained materially unchanged as a result of excluding outliers since excluded observations (both high and low) tended to be those with very small EFTSL.</w:t>
            </w:r>
            <w:r w:rsidRPr="00BB165A">
              <w:rPr>
                <w:sz w:val="16"/>
              </w:rPr>
              <w:t xml:space="preserve"> </w:t>
            </w:r>
            <w:r w:rsidR="00051339" w:rsidRPr="00BB165A">
              <w:rPr>
                <w:sz w:val="16"/>
              </w:rPr>
              <w:t>However, for field-level combinations where only a small number of university observations are available</w:t>
            </w:r>
            <w:r w:rsidR="006B7A3B" w:rsidRPr="00BB165A">
              <w:rPr>
                <w:sz w:val="16"/>
              </w:rPr>
              <w:t>,</w:t>
            </w:r>
            <w:r w:rsidR="00051339" w:rsidRPr="00BB165A">
              <w:rPr>
                <w:sz w:val="16"/>
              </w:rPr>
              <w:t xml:space="preserve"> </w:t>
            </w:r>
            <w:r w:rsidR="0076659A" w:rsidRPr="00BB165A">
              <w:rPr>
                <w:sz w:val="16"/>
              </w:rPr>
              <w:t xml:space="preserve">the inclusion of </w:t>
            </w:r>
            <w:r w:rsidR="00051339" w:rsidRPr="00BB165A">
              <w:rPr>
                <w:sz w:val="16"/>
              </w:rPr>
              <w:t>outliers can result in a relatively large (and likely unrealistic) spread of costs per EFTSL and can result in averages that may not reflect the typical cost of delivery</w:t>
            </w:r>
            <w:r w:rsidR="00E22AB1" w:rsidRPr="00BB165A">
              <w:rPr>
                <w:sz w:val="16"/>
              </w:rPr>
              <w:t>. The impact o</w:t>
            </w:r>
            <w:r w:rsidRPr="00BB165A">
              <w:rPr>
                <w:sz w:val="16"/>
              </w:rPr>
              <w:t>f</w:t>
            </w:r>
            <w:r w:rsidR="00E22AB1" w:rsidRPr="00BB165A">
              <w:rPr>
                <w:sz w:val="16"/>
              </w:rPr>
              <w:t xml:space="preserve"> excluded outliers on average costs by </w:t>
            </w:r>
            <w:r w:rsidR="00B70C2F">
              <w:rPr>
                <w:sz w:val="16"/>
              </w:rPr>
              <w:t>FOE</w:t>
            </w:r>
            <w:r w:rsidR="00E22AB1" w:rsidRPr="00BB165A">
              <w:rPr>
                <w:sz w:val="16"/>
              </w:rPr>
              <w:t xml:space="preserve"> is insignificant for most courses at the bachelor level but is </w:t>
            </w:r>
            <w:r w:rsidR="00051339" w:rsidRPr="00BB165A">
              <w:rPr>
                <w:sz w:val="16"/>
              </w:rPr>
              <w:t xml:space="preserve">a significant issue for courses at the sub-bachelor level where sector EFTSL by field is especially low. </w:t>
            </w:r>
          </w:p>
          <w:p w14:paraId="659802AF" w14:textId="3C1CC573" w:rsidR="00051339" w:rsidRPr="00BB165A" w:rsidRDefault="00E22AB1" w:rsidP="00B70C2F">
            <w:pPr>
              <w:ind w:right="31"/>
              <w:rPr>
                <w:sz w:val="16"/>
              </w:rPr>
            </w:pPr>
            <w:r w:rsidRPr="00BB165A">
              <w:rPr>
                <w:sz w:val="16"/>
              </w:rPr>
              <w:t xml:space="preserve">To account for these effects, the average and distribution of results by </w:t>
            </w:r>
            <w:r w:rsidR="00B70C2F">
              <w:rPr>
                <w:sz w:val="16"/>
              </w:rPr>
              <w:t>FOE</w:t>
            </w:r>
            <w:r w:rsidRPr="00BB165A">
              <w:rPr>
                <w:sz w:val="16"/>
              </w:rPr>
              <w:t xml:space="preserve"> are presented after excluding outliers. </w:t>
            </w:r>
            <w:r w:rsidR="007A063D" w:rsidRPr="00BB165A">
              <w:rPr>
                <w:sz w:val="16"/>
              </w:rPr>
              <w:t>This approach was consistent with the approach taken in the 201</w:t>
            </w:r>
            <w:r w:rsidR="00800682" w:rsidRPr="00BB165A">
              <w:rPr>
                <w:sz w:val="16"/>
              </w:rPr>
              <w:t>8</w:t>
            </w:r>
            <w:r w:rsidR="007A063D" w:rsidRPr="00BB165A">
              <w:rPr>
                <w:sz w:val="16"/>
              </w:rPr>
              <w:t xml:space="preserve"> exercise. </w:t>
            </w:r>
            <w:r w:rsidRPr="00BB165A">
              <w:rPr>
                <w:sz w:val="16"/>
              </w:rPr>
              <w:t xml:space="preserve">The following criteria </w:t>
            </w:r>
            <w:r w:rsidR="007A063D" w:rsidRPr="00BB165A">
              <w:rPr>
                <w:sz w:val="16"/>
              </w:rPr>
              <w:t xml:space="preserve">were used to identify outliers, namely observations with:  </w:t>
            </w:r>
          </w:p>
          <w:p w14:paraId="13ABD655" w14:textId="4FE17BAC" w:rsidR="007A063D" w:rsidRPr="00BB165A" w:rsidRDefault="007A063D">
            <w:pPr>
              <w:pStyle w:val="ListBullet"/>
              <w:rPr>
                <w:sz w:val="16"/>
              </w:rPr>
            </w:pPr>
            <w:r w:rsidRPr="00BB165A">
              <w:rPr>
                <w:sz w:val="16"/>
              </w:rPr>
              <w:t>EFTSL counts of less than five</w:t>
            </w:r>
          </w:p>
          <w:p w14:paraId="424A3DCA" w14:textId="18526295" w:rsidR="007A063D" w:rsidRPr="00BB165A" w:rsidRDefault="007A063D">
            <w:pPr>
              <w:pStyle w:val="ListBullet"/>
              <w:rPr>
                <w:sz w:val="16"/>
              </w:rPr>
            </w:pPr>
            <w:r w:rsidRPr="00BB165A">
              <w:rPr>
                <w:sz w:val="16"/>
              </w:rPr>
              <w:t>Costs per EFTSL of greater than $100,000 and an EFTSL count of less than 10</w:t>
            </w:r>
          </w:p>
          <w:p w14:paraId="35315017" w14:textId="7FE383CC" w:rsidR="007A063D" w:rsidRPr="00BB165A" w:rsidRDefault="007A063D">
            <w:pPr>
              <w:pStyle w:val="ListBullet"/>
              <w:rPr>
                <w:sz w:val="16"/>
              </w:rPr>
            </w:pPr>
            <w:r w:rsidRPr="00BB165A">
              <w:rPr>
                <w:sz w:val="16"/>
              </w:rPr>
              <w:t>Costs per EFTSL greater than $300,000 (no observations this year were over this threshold)</w:t>
            </w:r>
          </w:p>
          <w:p w14:paraId="3FDA56CD" w14:textId="566E31DE" w:rsidR="007A063D" w:rsidRPr="00BB165A" w:rsidRDefault="007A063D">
            <w:pPr>
              <w:pStyle w:val="ListBullet"/>
              <w:rPr>
                <w:sz w:val="16"/>
              </w:rPr>
            </w:pPr>
            <w:r w:rsidRPr="00BB165A">
              <w:rPr>
                <w:sz w:val="16"/>
              </w:rPr>
              <w:t>Instances where participating universities have noted that costs for a field level combination are not representative and do not capture true costs for that field and level combination.</w:t>
            </w:r>
          </w:p>
          <w:p w14:paraId="3640C526" w14:textId="31B44FB1" w:rsidR="00CB6DC1" w:rsidRPr="00BB165A" w:rsidRDefault="007A063D">
            <w:pPr>
              <w:rPr>
                <w:sz w:val="16"/>
              </w:rPr>
            </w:pPr>
            <w:r w:rsidRPr="00BB165A">
              <w:rPr>
                <w:sz w:val="16"/>
              </w:rPr>
              <w:t>Observations that fell into any of the above c</w:t>
            </w:r>
            <w:r w:rsidR="008822E3" w:rsidRPr="00BB165A">
              <w:rPr>
                <w:sz w:val="16"/>
              </w:rPr>
              <w:t>ategories were excluded in</w:t>
            </w:r>
            <w:r w:rsidRPr="00BB165A">
              <w:rPr>
                <w:sz w:val="16"/>
              </w:rPr>
              <w:t xml:space="preserve"> calculating the average and distribution of costs by </w:t>
            </w:r>
            <w:r w:rsidR="00B70C2F">
              <w:rPr>
                <w:sz w:val="16"/>
              </w:rPr>
              <w:t>FOE</w:t>
            </w:r>
            <w:r w:rsidRPr="00BB165A">
              <w:rPr>
                <w:sz w:val="16"/>
              </w:rPr>
              <w:t xml:space="preserve"> and level. </w:t>
            </w:r>
          </w:p>
        </w:tc>
      </w:tr>
    </w:tbl>
    <w:p w14:paraId="153789FB" w14:textId="7B4B6804" w:rsidR="0022424E" w:rsidRPr="00BB165A" w:rsidRDefault="00CA501C" w:rsidP="001548C2">
      <w:r w:rsidRPr="00BB165A">
        <w:br/>
      </w:r>
    </w:p>
    <w:p w14:paraId="0EB51EF4" w14:textId="77777777" w:rsidR="0022424E" w:rsidRPr="00BB165A" w:rsidRDefault="0022424E">
      <w:pPr>
        <w:spacing w:after="0"/>
      </w:pPr>
      <w:r w:rsidRPr="00BB165A">
        <w:br w:type="page"/>
      </w:r>
    </w:p>
    <w:tbl>
      <w:tblPr>
        <w:tblStyle w:val="TableGrid"/>
        <w:tblW w:w="0" w:type="auto"/>
        <w:shd w:val="clear" w:color="auto" w:fill="E7E6E6" w:themeFill="background2"/>
        <w:tblCellMar>
          <w:left w:w="108" w:type="dxa"/>
          <w:right w:w="108" w:type="dxa"/>
        </w:tblCellMar>
        <w:tblLook w:val="04A0" w:firstRow="1" w:lastRow="0" w:firstColumn="1" w:lastColumn="0" w:noHBand="0" w:noVBand="1"/>
      </w:tblPr>
      <w:tblGrid>
        <w:gridCol w:w="6945"/>
      </w:tblGrid>
      <w:tr w:rsidR="008822E3" w:rsidRPr="008B3BBC" w14:paraId="1FD847A0" w14:textId="77777777" w:rsidTr="000978C6">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tcPr>
          <w:p w14:paraId="55713607" w14:textId="77777777" w:rsidR="008822E3" w:rsidRPr="00BB165A" w:rsidRDefault="008822E3" w:rsidP="00495A65">
            <w:pPr>
              <w:rPr>
                <w:b/>
                <w:sz w:val="16"/>
              </w:rPr>
            </w:pPr>
            <w:r w:rsidRPr="00BB165A">
              <w:rPr>
                <w:b/>
                <w:sz w:val="16"/>
              </w:rPr>
              <w:t xml:space="preserve">Box 2.2: Interpreting ‘box and whisker’ plots </w:t>
            </w:r>
          </w:p>
          <w:p w14:paraId="73329E01" w14:textId="77777777" w:rsidR="004F307D" w:rsidRPr="00BB165A" w:rsidRDefault="00987C79" w:rsidP="00495A65">
            <w:pPr>
              <w:rPr>
                <w:sz w:val="16"/>
              </w:rPr>
            </w:pPr>
            <w:r w:rsidRPr="00BB165A">
              <w:rPr>
                <w:sz w:val="16"/>
              </w:rPr>
              <w:t xml:space="preserve">Box and whisker plots are commonly used in statistical analysis to show both central points (i.e. medians or means) and the distribution, dispersion or variance of values. They usefully provide further detail on the range of values for groups of data and provide the reader with a sense of confidence or certainty regarding the representativeness of a central point. </w:t>
            </w:r>
          </w:p>
          <w:p w14:paraId="77E4890A" w14:textId="77777777" w:rsidR="00987C79" w:rsidRPr="00BB165A" w:rsidRDefault="00987C79" w:rsidP="00495A65">
            <w:pPr>
              <w:rPr>
                <w:sz w:val="16"/>
              </w:rPr>
            </w:pPr>
            <w:r w:rsidRPr="00BB165A">
              <w:rPr>
                <w:sz w:val="16"/>
              </w:rPr>
              <w:t>For the purposes of this report:</w:t>
            </w:r>
          </w:p>
          <w:p w14:paraId="156A4E6E" w14:textId="77777777" w:rsidR="00987C79" w:rsidRPr="00BB165A" w:rsidRDefault="00987C79" w:rsidP="00495A65">
            <w:pPr>
              <w:pStyle w:val="ListBullet"/>
              <w:rPr>
                <w:sz w:val="16"/>
              </w:rPr>
            </w:pPr>
            <w:r w:rsidRPr="00BB165A">
              <w:rPr>
                <w:sz w:val="16"/>
              </w:rPr>
              <w:t xml:space="preserve">The central markers are measured at the mean of the distribution. </w:t>
            </w:r>
          </w:p>
          <w:p w14:paraId="2A4F86F0" w14:textId="0687C143" w:rsidR="00987C79" w:rsidRPr="00BB165A" w:rsidRDefault="00987C79" w:rsidP="00495A65">
            <w:pPr>
              <w:pStyle w:val="ListBullet"/>
              <w:rPr>
                <w:sz w:val="16"/>
              </w:rPr>
            </w:pPr>
            <w:r w:rsidRPr="00BB165A">
              <w:rPr>
                <w:sz w:val="16"/>
              </w:rPr>
              <w:t>The box includes half of all observations</w:t>
            </w:r>
            <w:r w:rsidR="0076659A" w:rsidRPr="00BB165A">
              <w:rPr>
                <w:sz w:val="16"/>
              </w:rPr>
              <w:t xml:space="preserve"> - namely those that lie within </w:t>
            </w:r>
            <w:r w:rsidRPr="00BB165A">
              <w:rPr>
                <w:sz w:val="16"/>
              </w:rPr>
              <w:t>the 25</w:t>
            </w:r>
            <w:r w:rsidRPr="00BB165A">
              <w:rPr>
                <w:sz w:val="16"/>
                <w:vertAlign w:val="superscript"/>
              </w:rPr>
              <w:t>th</w:t>
            </w:r>
            <w:r w:rsidRPr="00BB165A">
              <w:rPr>
                <w:sz w:val="16"/>
              </w:rPr>
              <w:t xml:space="preserve"> to 75</w:t>
            </w:r>
            <w:r w:rsidRPr="00BB165A">
              <w:rPr>
                <w:sz w:val="16"/>
                <w:vertAlign w:val="superscript"/>
              </w:rPr>
              <w:t>th</w:t>
            </w:r>
            <w:r w:rsidRPr="00BB165A">
              <w:rPr>
                <w:sz w:val="16"/>
              </w:rPr>
              <w:t xml:space="preserve"> percentile of the distribution. </w:t>
            </w:r>
          </w:p>
          <w:p w14:paraId="47F868C6" w14:textId="77777777" w:rsidR="008822E3" w:rsidRPr="00BB165A" w:rsidRDefault="00987C79" w:rsidP="00495A65">
            <w:pPr>
              <w:pStyle w:val="ListBullet"/>
              <w:rPr>
                <w:sz w:val="16"/>
              </w:rPr>
            </w:pPr>
            <w:r w:rsidRPr="00BB165A">
              <w:rPr>
                <w:sz w:val="16"/>
              </w:rPr>
              <w:t>The whiskers cover the remaining half of all observations, from the minimum point to the 25th percentile (the lower edge of the box), and from the 75th percentile (the upper edge of the box) to the maximum value.</w:t>
            </w:r>
          </w:p>
        </w:tc>
      </w:tr>
    </w:tbl>
    <w:p w14:paraId="7426A521" w14:textId="77777777" w:rsidR="000B1431" w:rsidRDefault="000B1431" w:rsidP="00283354">
      <w:pPr>
        <w:spacing w:after="0"/>
        <w:rPr>
          <w:rFonts w:eastAsiaTheme="majorEastAsia" w:cstheme="majorBidi"/>
          <w:b/>
          <w:bCs/>
        </w:rPr>
      </w:pPr>
    </w:p>
    <w:p w14:paraId="728A2F3A" w14:textId="77777777" w:rsidR="004B0757" w:rsidRPr="00BB165A" w:rsidRDefault="61A2CC66" w:rsidP="41789E75">
      <w:pPr>
        <w:pStyle w:val="Heading3un-numbered"/>
        <w:spacing w:before="240"/>
      </w:pPr>
      <w:r>
        <w:t>Field variation across sub-bachelor study</w:t>
      </w:r>
    </w:p>
    <w:p w14:paraId="3A42BA28" w14:textId="77777777" w:rsidR="004B0757" w:rsidRPr="00BB165A" w:rsidRDefault="004B0757" w:rsidP="004B0757">
      <w:r w:rsidRPr="00BB165A">
        <w:t>Due to differences in pedagogy, practical requirements, and contextual settings, different disciplines will likely have varying costs of delivery.</w:t>
      </w:r>
    </w:p>
    <w:p w14:paraId="2CEC7490" w14:textId="4C278B07" w:rsidR="004B0757" w:rsidRPr="00BB165A" w:rsidRDefault="004B0757" w:rsidP="004B0757">
      <w:r w:rsidRPr="00BB165A">
        <w:fldChar w:fldCharType="begin"/>
      </w:r>
      <w:r w:rsidRPr="00BB165A">
        <w:instrText xml:space="preserve"> REF _Ref529193092 \r \h  \* MERGEFORMAT </w:instrText>
      </w:r>
      <w:r w:rsidRPr="00BB165A">
        <w:fldChar w:fldCharType="separate"/>
      </w:r>
      <w:r w:rsidR="00804998">
        <w:t>Chart 2.13</w:t>
      </w:r>
      <w:r w:rsidRPr="00BB165A">
        <w:fldChar w:fldCharType="end"/>
      </w:r>
      <w:r w:rsidRPr="00BB165A">
        <w:t xml:space="preserve"> presents the distribution of unit costs by </w:t>
      </w:r>
      <w:r w:rsidR="00B70C2F">
        <w:t>FOE</w:t>
      </w:r>
      <w:r w:rsidRPr="00BB165A">
        <w:t xml:space="preserve"> for sub-bachelor programs in the 2019 and 2020 calendar years. Compared to estimates for bachelor and postgraduate, these costs have a relatively wide distribution of values. This is likely driven by the small sample sizes in many fields of education at this level, with many universities noting that it was often difficult to disentangle costs for sub-bachelor students within an FOE from costs for bachelor level students. </w:t>
      </w:r>
    </w:p>
    <w:p w14:paraId="06407E99" w14:textId="263C2BFF" w:rsidR="004B0757" w:rsidRPr="00BB165A" w:rsidRDefault="004B0757" w:rsidP="004B0757">
      <w:r w:rsidRPr="00BB165A">
        <w:t xml:space="preserve">Notably, there are a number of very high-cost observations (over $45,000) in fields such as Other Natural and Physical Sciences, Engineering and Related Technologies, Environmental Science and Other Agricultural, Environmental and Related Studies in both </w:t>
      </w:r>
      <w:r w:rsidR="00023109" w:rsidRPr="00BB165A">
        <w:t xml:space="preserve">the </w:t>
      </w:r>
      <w:r w:rsidRPr="00BB165A">
        <w:t>2019 and 2020 calendar years. Nonetheless average costs in 2019 and 2020 ranged between $14,000 and $21,000 per EFTSL for most fields except Other Agricultural, Environmental and Related Studies, which had relatively few total EFTSL (</w:t>
      </w:r>
      <w:r w:rsidR="00556598">
        <w:t>55 EFTSL in 2019 and 77 EFTSL in 2020</w:t>
      </w:r>
      <w:r w:rsidRPr="00BB165A">
        <w:t>).</w:t>
      </w:r>
    </w:p>
    <w:p w14:paraId="73457597" w14:textId="4924ABA5" w:rsidR="004B0757" w:rsidRDefault="004B0757" w:rsidP="004B0757">
      <w:r w:rsidRPr="00BB165A">
        <w:t xml:space="preserve">There was a </w:t>
      </w:r>
      <w:r w:rsidR="00BD239D">
        <w:t>0.</w:t>
      </w:r>
      <w:r w:rsidR="007B7E2E">
        <w:t>8</w:t>
      </w:r>
      <w:r w:rsidR="00A46861">
        <w:t>%</w:t>
      </w:r>
      <w:r w:rsidR="00BD239D">
        <w:t xml:space="preserve"> de</w:t>
      </w:r>
      <w:r w:rsidRPr="00BB165A">
        <w:t xml:space="preserve">crease in total cost per EFTSL for sub-bachelor education programs </w:t>
      </w:r>
      <w:r w:rsidR="00895788" w:rsidRPr="00BB165A">
        <w:t>in</w:t>
      </w:r>
      <w:r w:rsidRPr="00BB165A">
        <w:t xml:space="preserve"> 2020. The largest annual increase in cost per EFTSL was in Medical Science, where the cost of delivering sub-bachelor programs increased by </w:t>
      </w:r>
      <w:r w:rsidR="00A43242">
        <w:t>51</w:t>
      </w:r>
      <w:r w:rsidRPr="00BB165A">
        <w:t xml:space="preserve">% over this period. However, there were relatively few total EFTSL in this field (less than </w:t>
      </w:r>
      <w:r w:rsidR="004976FF">
        <w:t>1</w:t>
      </w:r>
      <w:r w:rsidR="009D49E7">
        <w:t>8</w:t>
      </w:r>
      <w:r w:rsidRPr="00BB165A">
        <w:t xml:space="preserve"> EFTSL</w:t>
      </w:r>
      <w:r w:rsidR="002B06CF">
        <w:t xml:space="preserve"> in 2019 compared to </w:t>
      </w:r>
      <w:r w:rsidR="009D49E7">
        <w:t xml:space="preserve">16 </w:t>
      </w:r>
      <w:r w:rsidR="00AA3A2E">
        <w:t>EFTSL in 2020</w:t>
      </w:r>
      <w:r w:rsidRPr="00BB165A">
        <w:t xml:space="preserve">). </w:t>
      </w:r>
      <w:r w:rsidR="0067694A">
        <w:t>Architecture and Building (</w:t>
      </w:r>
      <w:r w:rsidR="00A624D7">
        <w:t>1</w:t>
      </w:r>
      <w:r w:rsidR="00020ED6">
        <w:t>1</w:t>
      </w:r>
      <w:r w:rsidR="0067694A">
        <w:t>%) and Management and Commerce (</w:t>
      </w:r>
      <w:r w:rsidR="00A624D7">
        <w:t>10</w:t>
      </w:r>
      <w:r w:rsidR="0067694A">
        <w:t>%) also saw</w:t>
      </w:r>
      <w:r w:rsidR="00A624D7">
        <w:t xml:space="preserve"> relatively</w:t>
      </w:r>
      <w:r w:rsidR="0067694A">
        <w:t xml:space="preserve"> large increases.</w:t>
      </w:r>
      <w:r w:rsidRPr="00BB165A">
        <w:t xml:space="preserve"> The largest decrease in cost per EFTSL in the delivery of sub-bachelor programs was in Other Agricultural, Environmental and Related Studies</w:t>
      </w:r>
      <w:r w:rsidR="002D0EA2" w:rsidRPr="00BB165A">
        <w:t xml:space="preserve"> (3</w:t>
      </w:r>
      <w:r w:rsidR="00AE5078">
        <w:t>4</w:t>
      </w:r>
      <w:r w:rsidR="002D0EA2" w:rsidRPr="00BB165A">
        <w:t xml:space="preserve">%), followed by </w:t>
      </w:r>
      <w:r w:rsidRPr="00BB165A">
        <w:t>Environmental Sciences</w:t>
      </w:r>
      <w:r w:rsidR="002D0EA2" w:rsidRPr="00BB165A">
        <w:t xml:space="preserve"> (3</w:t>
      </w:r>
      <w:r w:rsidR="00B43034">
        <w:t>3</w:t>
      </w:r>
      <w:r w:rsidR="002D0EA2" w:rsidRPr="00BB165A">
        <w:t xml:space="preserve">%) </w:t>
      </w:r>
      <w:r w:rsidR="0058499B" w:rsidRPr="00BB165A">
        <w:t xml:space="preserve">– which </w:t>
      </w:r>
      <w:r w:rsidRPr="00BB165A">
        <w:t xml:space="preserve">experienced </w:t>
      </w:r>
      <w:r w:rsidR="003304D1">
        <w:t>a three-fold increase</w:t>
      </w:r>
      <w:r w:rsidRPr="00BB165A">
        <w:t xml:space="preserve"> in student load </w:t>
      </w:r>
      <w:r w:rsidR="00895788" w:rsidRPr="00BB165A">
        <w:t>in</w:t>
      </w:r>
      <w:r w:rsidRPr="00BB165A">
        <w:t xml:space="preserve"> 2020.</w:t>
      </w:r>
    </w:p>
    <w:p w14:paraId="2B242ACC" w14:textId="77777777" w:rsidR="004B0757" w:rsidRDefault="004B0757" w:rsidP="00283354">
      <w:pPr>
        <w:spacing w:after="0"/>
        <w:rPr>
          <w:rFonts w:eastAsiaTheme="majorEastAsia" w:cstheme="majorBidi"/>
          <w:b/>
          <w:bCs/>
        </w:rPr>
      </w:pPr>
    </w:p>
    <w:p w14:paraId="544B946E" w14:textId="77777777" w:rsidR="004B0757" w:rsidRDefault="004B0757" w:rsidP="00283354">
      <w:pPr>
        <w:spacing w:after="0"/>
        <w:rPr>
          <w:rFonts w:eastAsiaTheme="majorEastAsia" w:cstheme="majorBidi"/>
          <w:b/>
          <w:bCs/>
        </w:rPr>
      </w:pPr>
    </w:p>
    <w:p w14:paraId="37D9B018" w14:textId="258AAE40" w:rsidR="004B0757" w:rsidRPr="00283354" w:rsidRDefault="004B0757" w:rsidP="00283354">
      <w:pPr>
        <w:spacing w:after="0"/>
        <w:rPr>
          <w:rFonts w:eastAsiaTheme="majorEastAsia" w:cstheme="majorBidi"/>
          <w:b/>
          <w:bCs/>
        </w:rPr>
        <w:sectPr w:rsidR="004B0757" w:rsidRPr="00283354" w:rsidSect="005E48FD">
          <w:pgSz w:w="11906" w:h="16838" w:code="9"/>
          <w:pgMar w:top="1985" w:right="1416" w:bottom="1134" w:left="1418" w:header="680" w:footer="425" w:gutter="0"/>
          <w:cols w:space="284"/>
          <w:docGrid w:linePitch="360"/>
        </w:sectPr>
      </w:pPr>
    </w:p>
    <w:p w14:paraId="61DD320E" w14:textId="15C1D831" w:rsidR="00F31311" w:rsidRPr="00A235A1" w:rsidRDefault="001548C2" w:rsidP="00FB2F3E">
      <w:pPr>
        <w:pStyle w:val="CaptionChart"/>
      </w:pPr>
      <w:bookmarkStart w:id="373" w:name="_Ref529193092"/>
      <w:bookmarkStart w:id="374" w:name="_Toc20245970"/>
      <w:bookmarkStart w:id="375" w:name="_Toc105776362"/>
      <w:bookmarkStart w:id="376" w:name="_Toc528855713"/>
      <w:r w:rsidRPr="00A235A1">
        <w:t>: Average unit costs by field for sub-bachelor</w:t>
      </w:r>
      <w:bookmarkEnd w:id="373"/>
      <w:bookmarkEnd w:id="374"/>
      <w:r w:rsidR="0058499B">
        <w:t xml:space="preserve"> (2019 and 2020)</w:t>
      </w:r>
      <w:bookmarkEnd w:id="375"/>
    </w:p>
    <w:bookmarkEnd w:id="376"/>
    <w:p w14:paraId="6C5A964D" w14:textId="499F181C" w:rsidR="00FC28D6" w:rsidRPr="00A235A1" w:rsidRDefault="00FC28D6" w:rsidP="00691B65">
      <w:r>
        <w:rPr>
          <w:noProof/>
        </w:rPr>
        <w:drawing>
          <wp:inline distT="0" distB="0" distL="0" distR="0" wp14:anchorId="776CB59F" wp14:editId="0223CC75">
            <wp:extent cx="9201600" cy="4680000"/>
            <wp:effectExtent l="0" t="0" r="0" b="6350"/>
            <wp:docPr id="459974185" name="Chart 459974185" descr="Chart showing the Average unit costs by field for sub-bachelor (2019 and 2020). Box plots of 2019 and 2020 cost per EFTSL for sub bachelor student for each of the 22 Field of Education and total. Plots show the range of costs per EFTSL, the means and quartiles.">
              <a:extLst xmlns:a="http://schemas.openxmlformats.org/drawingml/2006/main">
                <a:ext uri="{FF2B5EF4-FFF2-40B4-BE49-F238E27FC236}">
                  <a16:creationId xmlns:a16="http://schemas.microsoft.com/office/drawing/2014/main" id="{00000000-0008-0000-2E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4F5C970" w14:textId="308D6F09" w:rsidR="000B1431" w:rsidRDefault="001548C2" w:rsidP="004B0757">
      <w:pPr>
        <w:pStyle w:val="Source"/>
      </w:pPr>
      <w:r w:rsidRPr="00A235A1">
        <w:t xml:space="preserve">Note: </w:t>
      </w:r>
      <w:r w:rsidR="003C37AC">
        <w:t>4</w:t>
      </w:r>
      <w:r w:rsidR="00E47623">
        <w:t>95</w:t>
      </w:r>
      <w:r w:rsidR="007D2B9B" w:rsidRPr="00A235A1">
        <w:t xml:space="preserve"> </w:t>
      </w:r>
      <w:r w:rsidRPr="00A235A1">
        <w:t xml:space="preserve">cost observations across </w:t>
      </w:r>
      <w:r w:rsidR="002D25BE">
        <w:t>3</w:t>
      </w:r>
      <w:r w:rsidR="003C37AC">
        <w:t>4</w:t>
      </w:r>
      <w:r w:rsidRPr="00A235A1">
        <w:t xml:space="preserve"> universities. Outliers excluded. Marker at </w:t>
      </w:r>
      <w:r w:rsidR="00D961F0" w:rsidRPr="00A235A1">
        <w:t>mean</w:t>
      </w:r>
      <w:r w:rsidRPr="00A235A1">
        <w:t>, box width between 25</w:t>
      </w:r>
      <w:r w:rsidRPr="00A235A1">
        <w:rPr>
          <w:vertAlign w:val="superscript"/>
        </w:rPr>
        <w:t>th</w:t>
      </w:r>
      <w:r w:rsidRPr="00A235A1">
        <w:t xml:space="preserve"> and 7</w:t>
      </w:r>
      <w:r w:rsidR="00526A4F" w:rsidRPr="00A235A1">
        <w:t>5</w:t>
      </w:r>
      <w:r w:rsidRPr="00A235A1">
        <w:rPr>
          <w:vertAlign w:val="superscript"/>
        </w:rPr>
        <w:t>th</w:t>
      </w:r>
      <w:r w:rsidRPr="00A235A1">
        <w:t xml:space="preserve"> percentile, and tails at minimum and maximum. </w:t>
      </w:r>
    </w:p>
    <w:p w14:paraId="40226DCC" w14:textId="4ABD2308" w:rsidR="004B0757" w:rsidRPr="004B0757" w:rsidRDefault="004B0757" w:rsidP="004B0757">
      <w:pPr>
        <w:sectPr w:rsidR="004B0757" w:rsidRPr="004B0757" w:rsidSect="000B1431">
          <w:pgSz w:w="16838" w:h="11906" w:orient="landscape" w:code="9"/>
          <w:pgMar w:top="1418" w:right="1985" w:bottom="1418" w:left="1134" w:header="680" w:footer="425" w:gutter="0"/>
          <w:cols w:space="284"/>
          <w:docGrid w:linePitch="360"/>
        </w:sectPr>
      </w:pPr>
    </w:p>
    <w:p w14:paraId="0D6D4A0D" w14:textId="354556DF" w:rsidR="001548C2" w:rsidRPr="00BB165A" w:rsidRDefault="001548C2" w:rsidP="001548C2">
      <w:pPr>
        <w:pStyle w:val="Heading3un-numbered"/>
      </w:pPr>
      <w:r w:rsidRPr="00BB165A">
        <w:t xml:space="preserve">Field variation across bachelor </w:t>
      </w:r>
      <w:r w:rsidR="00C502EF" w:rsidRPr="00BB165A">
        <w:t>study</w:t>
      </w:r>
    </w:p>
    <w:p w14:paraId="34BE86A0" w14:textId="37FAFBDC" w:rsidR="00CB6DC1" w:rsidRPr="00BB165A" w:rsidRDefault="008A3662" w:rsidP="00CB6DC1">
      <w:r w:rsidRPr="00BB165A">
        <w:fldChar w:fldCharType="begin"/>
      </w:r>
      <w:r w:rsidRPr="00BB165A">
        <w:instrText xml:space="preserve"> REF _Ref531001696 \r \h </w:instrText>
      </w:r>
      <w:r w:rsidR="008B3BBC" w:rsidRPr="00BB165A">
        <w:instrText xml:space="preserve"> \* MERGEFORMAT </w:instrText>
      </w:r>
      <w:r w:rsidRPr="00BB165A">
        <w:fldChar w:fldCharType="separate"/>
      </w:r>
      <w:r w:rsidR="00804998">
        <w:t>Chart 2.14</w:t>
      </w:r>
      <w:r w:rsidRPr="00BB165A">
        <w:fldChar w:fldCharType="end"/>
      </w:r>
      <w:r w:rsidR="00CB6DC1" w:rsidRPr="00BB165A">
        <w:t xml:space="preserve"> shows the average unit costs by field for bachelor studies.</w:t>
      </w:r>
      <w:r w:rsidR="007924B5" w:rsidRPr="00BB165A">
        <w:t xml:space="preserve"> T</w:t>
      </w:r>
      <w:r w:rsidR="00CB6DC1" w:rsidRPr="00BB165A">
        <w:t>he health science fields (Veterinary Studies</w:t>
      </w:r>
      <w:r w:rsidR="0087346C" w:rsidRPr="00BB165A">
        <w:t xml:space="preserve"> and </w:t>
      </w:r>
      <w:r w:rsidR="00CB6DC1" w:rsidRPr="00BB165A">
        <w:t xml:space="preserve">Dental Studies, and Medical Studies) comprise </w:t>
      </w:r>
      <w:r w:rsidR="00210E90" w:rsidRPr="00BB165A">
        <w:t>three of the four</w:t>
      </w:r>
      <w:r w:rsidR="00CB6DC1" w:rsidRPr="00BB165A">
        <w:t xml:space="preserve"> most costly fields</w:t>
      </w:r>
      <w:r w:rsidR="00A85AEC" w:rsidRPr="00BB165A">
        <w:t xml:space="preserve"> in both 2019 and 2020</w:t>
      </w:r>
      <w:r w:rsidR="00CB6DC1" w:rsidRPr="00BB165A">
        <w:t xml:space="preserve">, on average. Qualifications in these fields are known to involve intensive teaching delivery, higher capital and material costs, and placement costs. </w:t>
      </w:r>
    </w:p>
    <w:p w14:paraId="7B417436" w14:textId="2B76A94A" w:rsidR="00CB6DC1" w:rsidRPr="00BB165A" w:rsidRDefault="00CB6DC1" w:rsidP="00CB6DC1">
      <w:r w:rsidRPr="00BB165A">
        <w:t xml:space="preserve">Other Agriculture and Environmental Studies </w:t>
      </w:r>
      <w:r w:rsidR="00210E90" w:rsidRPr="00BB165A">
        <w:t xml:space="preserve">was the </w:t>
      </w:r>
      <w:r w:rsidR="00632784" w:rsidRPr="00BB165A">
        <w:t>fourth</w:t>
      </w:r>
      <w:r w:rsidRPr="00BB165A">
        <w:t xml:space="preserve"> highest unit cost field, which is likely a reflection of higher capital costs, as well as potentially greater delivery </w:t>
      </w:r>
      <w:r w:rsidR="00697754">
        <w:t xml:space="preserve">costs </w:t>
      </w:r>
      <w:r w:rsidRPr="00BB165A">
        <w:t xml:space="preserve">in regional areas. </w:t>
      </w:r>
      <w:r w:rsidR="00CA48E6" w:rsidRPr="00BB165A">
        <w:t>Overall</w:t>
      </w:r>
      <w:r w:rsidRPr="00BB165A">
        <w:t xml:space="preserve">, </w:t>
      </w:r>
      <w:r w:rsidR="002C4FB7" w:rsidRPr="00BB165A">
        <w:fldChar w:fldCharType="begin"/>
      </w:r>
      <w:r w:rsidR="002C4FB7" w:rsidRPr="00BB165A">
        <w:instrText xml:space="preserve"> REF _Ref531001696 \r \h </w:instrText>
      </w:r>
      <w:r w:rsidR="005E6B15" w:rsidRPr="00BB165A">
        <w:instrText xml:space="preserve"> \* MERGEFORMAT </w:instrText>
      </w:r>
      <w:r w:rsidR="002C4FB7" w:rsidRPr="00BB165A">
        <w:fldChar w:fldCharType="separate"/>
      </w:r>
      <w:r w:rsidR="00E83FB1">
        <w:t>Chart 2.13</w:t>
      </w:r>
      <w:r w:rsidR="002C4FB7" w:rsidRPr="00BB165A">
        <w:fldChar w:fldCharType="end"/>
      </w:r>
      <w:r w:rsidR="00DD117C" w:rsidRPr="00BB165A">
        <w:t xml:space="preserve"> </w:t>
      </w:r>
      <w:r w:rsidRPr="00BB165A">
        <w:t>suggests three broad groupings of costs</w:t>
      </w:r>
      <w:r w:rsidR="00CC31FD" w:rsidRPr="00BB165A">
        <w:t xml:space="preserve"> in 2019</w:t>
      </w:r>
      <w:r w:rsidR="00A41024" w:rsidRPr="00BB165A">
        <w:t xml:space="preserve"> and 2020</w:t>
      </w:r>
      <w:r w:rsidRPr="00BB165A">
        <w:t xml:space="preserve">: </w:t>
      </w:r>
    </w:p>
    <w:p w14:paraId="19142857" w14:textId="3B4AA477" w:rsidR="00CB6DC1" w:rsidRPr="00BB165A" w:rsidRDefault="00CB6DC1" w:rsidP="00CB6DC1">
      <w:pPr>
        <w:pStyle w:val="ListBullet"/>
      </w:pPr>
      <w:r w:rsidRPr="00BB165A">
        <w:t>Lower cost fields (</w:t>
      </w:r>
      <w:r w:rsidR="006456D9" w:rsidRPr="00BB165A">
        <w:t>1</w:t>
      </w:r>
      <w:r w:rsidR="002639EC">
        <w:t>1</w:t>
      </w:r>
      <w:r w:rsidR="00A41024" w:rsidRPr="00BB165A">
        <w:t xml:space="preserve"> fields in 2019 and </w:t>
      </w:r>
      <w:r w:rsidR="006F103E">
        <w:t xml:space="preserve">8 </w:t>
      </w:r>
      <w:r w:rsidR="00A41024" w:rsidRPr="00BB165A">
        <w:t>fields in 2020</w:t>
      </w:r>
      <w:r w:rsidRPr="00BB165A">
        <w:t>) from $1</w:t>
      </w:r>
      <w:r w:rsidR="006456D9" w:rsidRPr="00BB165A">
        <w:t>4</w:t>
      </w:r>
      <w:r w:rsidRPr="00BB165A">
        <w:t>,000 to $1</w:t>
      </w:r>
      <w:r w:rsidR="006456D9" w:rsidRPr="00BB165A">
        <w:t>8</w:t>
      </w:r>
      <w:r w:rsidRPr="00BB165A">
        <w:t>,000, which appear to be more traditional ‘classroom-based’ fields</w:t>
      </w:r>
    </w:p>
    <w:p w14:paraId="355C5AA9" w14:textId="3020A0C6" w:rsidR="00CB6DC1" w:rsidRPr="00BB165A" w:rsidRDefault="00CB6DC1" w:rsidP="00CB6DC1">
      <w:pPr>
        <w:pStyle w:val="ListBullet"/>
      </w:pPr>
      <w:r w:rsidRPr="00BB165A">
        <w:t>Mid-range cost fields (</w:t>
      </w:r>
      <w:r w:rsidR="00A41024" w:rsidRPr="00BB165A">
        <w:t xml:space="preserve">7 fields in 2019 and </w:t>
      </w:r>
      <w:r w:rsidR="00940D2E">
        <w:t xml:space="preserve">10 </w:t>
      </w:r>
      <w:r w:rsidR="00A41024" w:rsidRPr="00BB165A">
        <w:t>fields in 2020</w:t>
      </w:r>
      <w:r w:rsidRPr="00BB165A">
        <w:t>) from $</w:t>
      </w:r>
      <w:r w:rsidR="006456D9" w:rsidRPr="00BB165A">
        <w:t>19</w:t>
      </w:r>
      <w:r w:rsidRPr="00BB165A">
        <w:t>,000 to $</w:t>
      </w:r>
      <w:r w:rsidR="0069268A" w:rsidRPr="00BB165A">
        <w:t>2</w:t>
      </w:r>
      <w:r w:rsidR="00BD3DA8" w:rsidRPr="00BB165A">
        <w:t>7</w:t>
      </w:r>
      <w:r w:rsidRPr="00BB165A">
        <w:t xml:space="preserve">,000, which appear to include </w:t>
      </w:r>
      <w:r w:rsidR="00210E90" w:rsidRPr="00BB165A">
        <w:t xml:space="preserve">fields of education </w:t>
      </w:r>
      <w:r w:rsidRPr="00BB165A">
        <w:t>that may require greater material, practicum or applied components</w:t>
      </w:r>
    </w:p>
    <w:p w14:paraId="330EE30E" w14:textId="65610B6E" w:rsidR="00CB6DC1" w:rsidRPr="00BB165A" w:rsidRDefault="00CB6DC1" w:rsidP="00CB6DC1">
      <w:pPr>
        <w:pStyle w:val="ListBullet"/>
      </w:pPr>
      <w:r w:rsidRPr="00BB165A">
        <w:t>Higher cost fields (4</w:t>
      </w:r>
      <w:r w:rsidR="002F5DAF" w:rsidRPr="00BB165A">
        <w:t xml:space="preserve"> fields</w:t>
      </w:r>
      <w:r w:rsidR="00A41024" w:rsidRPr="00BB165A">
        <w:t xml:space="preserve"> in 2019 and 2020</w:t>
      </w:r>
      <w:r w:rsidRPr="00BB165A">
        <w:t>) from $</w:t>
      </w:r>
      <w:r w:rsidR="00210E90" w:rsidRPr="00BB165A">
        <w:t>2</w:t>
      </w:r>
      <w:r w:rsidR="003218EE">
        <w:t>8</w:t>
      </w:r>
      <w:r w:rsidR="006743A3" w:rsidRPr="00BB165A">
        <w:t>,000</w:t>
      </w:r>
      <w:r w:rsidRPr="00BB165A">
        <w:t xml:space="preserve"> to $</w:t>
      </w:r>
      <w:r w:rsidR="006743A3" w:rsidRPr="00BB165A">
        <w:t>5</w:t>
      </w:r>
      <w:r w:rsidR="00694280" w:rsidRPr="00BB165A">
        <w:t>1</w:t>
      </w:r>
      <w:r w:rsidR="006743A3" w:rsidRPr="00BB165A">
        <w:t>,</w:t>
      </w:r>
      <w:r w:rsidR="00694280" w:rsidRPr="00BB165A">
        <w:t>000</w:t>
      </w:r>
      <w:r w:rsidR="007924B5" w:rsidRPr="00BB165A">
        <w:t>.</w:t>
      </w:r>
      <w:r w:rsidRPr="00BB165A">
        <w:t xml:space="preserve"> </w:t>
      </w:r>
    </w:p>
    <w:p w14:paraId="272A172E" w14:textId="51B27428" w:rsidR="00237AAF" w:rsidRPr="00BB165A" w:rsidRDefault="004779FA" w:rsidP="006456D9">
      <w:r w:rsidRPr="00BB165A">
        <w:fldChar w:fldCharType="begin"/>
      </w:r>
      <w:r w:rsidRPr="00BB165A">
        <w:instrText xml:space="preserve"> REF _Ref531001696 \r \h </w:instrText>
      </w:r>
      <w:r w:rsidR="008B3BBC" w:rsidRPr="00BB165A">
        <w:instrText xml:space="preserve"> \* MERGEFORMAT </w:instrText>
      </w:r>
      <w:r w:rsidRPr="00BB165A">
        <w:fldChar w:fldCharType="separate"/>
      </w:r>
      <w:r w:rsidR="00E83FB1">
        <w:t>Chart 2.13</w:t>
      </w:r>
      <w:r w:rsidRPr="00BB165A">
        <w:fldChar w:fldCharType="end"/>
      </w:r>
      <w:r w:rsidRPr="00BB165A">
        <w:t xml:space="preserve"> </w:t>
      </w:r>
      <w:r w:rsidR="006456D9" w:rsidRPr="00BB165A">
        <w:t xml:space="preserve">presents the full distribution of unit costs by </w:t>
      </w:r>
      <w:r w:rsidR="00B70C2F">
        <w:t>FOE</w:t>
      </w:r>
      <w:r w:rsidR="006456D9" w:rsidRPr="00BB165A">
        <w:t xml:space="preserve"> for bachelor degrees. </w:t>
      </w:r>
      <w:r w:rsidR="0095552D">
        <w:t xml:space="preserve">With the </w:t>
      </w:r>
      <w:r w:rsidR="00117934">
        <w:t>main</w:t>
      </w:r>
      <w:r w:rsidR="0095552D">
        <w:t xml:space="preserve"> exception</w:t>
      </w:r>
      <w:r w:rsidR="002668D6">
        <w:t>s</w:t>
      </w:r>
      <w:r w:rsidR="0095552D">
        <w:t xml:space="preserve"> of</w:t>
      </w:r>
      <w:r w:rsidR="004A03B4" w:rsidRPr="00BB165A">
        <w:t xml:space="preserve"> Environmental Science and Other Agriculture and Environmental Studies</w:t>
      </w:r>
      <w:r w:rsidR="0095552D">
        <w:t xml:space="preserve"> where </w:t>
      </w:r>
      <w:r w:rsidR="005942E3">
        <w:t xml:space="preserve">cost variation was relatively large, </w:t>
      </w:r>
      <w:r w:rsidR="006456D9" w:rsidRPr="00BB165A">
        <w:t>the distribution of the ‘</w:t>
      </w:r>
      <w:r w:rsidR="00210E90" w:rsidRPr="00BB165A">
        <w:t xml:space="preserve">whiskers’ </w:t>
      </w:r>
      <w:r w:rsidR="006456D9" w:rsidRPr="00BB165A">
        <w:t xml:space="preserve">are </w:t>
      </w:r>
      <w:r w:rsidR="005942E3">
        <w:t>generally</w:t>
      </w:r>
      <w:r w:rsidR="005942E3" w:rsidRPr="00BB165A">
        <w:t xml:space="preserve"> </w:t>
      </w:r>
      <w:r w:rsidR="006456D9" w:rsidRPr="00BB165A">
        <w:t xml:space="preserve">narrower than for sub-bachelor programs, which suggest greater similarity in the costs of delivery across institutions. </w:t>
      </w:r>
    </w:p>
    <w:p w14:paraId="191C3769" w14:textId="7B046278" w:rsidR="006456D9" w:rsidRPr="00BB165A" w:rsidRDefault="006456D9" w:rsidP="006456D9">
      <w:r w:rsidRPr="00BB165A">
        <w:t xml:space="preserve">A number of fields such as </w:t>
      </w:r>
      <w:r w:rsidR="002B78E9" w:rsidRPr="00BB165A">
        <w:t>Architecture and Building</w:t>
      </w:r>
      <w:r w:rsidRPr="00BB165A">
        <w:t xml:space="preserve">, </w:t>
      </w:r>
      <w:r w:rsidR="002B78E9" w:rsidRPr="00BB165A">
        <w:t>Management and Commerce</w:t>
      </w:r>
      <w:r w:rsidRPr="00BB165A">
        <w:t>, and Communication and Media, among others, have very narrow estimates, which may also reflect a more standard approach to the delivery of teaching for qualifications in these fields. Higher cost fields typically also have greater dispersion in costs, for example Dental Studies and Veterinary Studies.</w:t>
      </w:r>
    </w:p>
    <w:p w14:paraId="1B51A622" w14:textId="326B3337" w:rsidR="005C5C8F" w:rsidRDefault="005C5C8F" w:rsidP="002C2178">
      <w:r w:rsidRPr="00BB165A">
        <w:t>Overall, there was a 0.</w:t>
      </w:r>
      <w:r w:rsidR="003C393A">
        <w:t>4</w:t>
      </w:r>
      <w:r w:rsidRPr="00BB165A">
        <w:t xml:space="preserve">% increase in total cost per EFTSL for bachelor level education programs </w:t>
      </w:r>
      <w:r w:rsidR="00FD4370" w:rsidRPr="00BB165A">
        <w:t>in</w:t>
      </w:r>
      <w:r w:rsidRPr="00BB165A">
        <w:t xml:space="preserve"> 2020. </w:t>
      </w:r>
      <w:r w:rsidR="00FD4370" w:rsidRPr="00BB165A">
        <w:t>The c</w:t>
      </w:r>
      <w:r w:rsidRPr="00BB165A">
        <w:t>ost of delivery of bachelor programs increased in 1</w:t>
      </w:r>
      <w:r w:rsidR="00C67166" w:rsidRPr="00BB165A">
        <w:t>3</w:t>
      </w:r>
      <w:r w:rsidRPr="00BB165A">
        <w:t xml:space="preserve"> out of 22 fields over this period</w:t>
      </w:r>
      <w:r w:rsidR="00572E16" w:rsidRPr="00BB165A">
        <w:t>. The largest increases were in Mixed Field Programmes (</w:t>
      </w:r>
      <w:r w:rsidR="0058067B" w:rsidRPr="00BB165A">
        <w:t>24.5%), Foreign Languages and Translating (6.</w:t>
      </w:r>
      <w:r w:rsidR="000D20CA">
        <w:t>2</w:t>
      </w:r>
      <w:r w:rsidR="0058067B" w:rsidRPr="00BB165A">
        <w:t>%)</w:t>
      </w:r>
      <w:r w:rsidR="00C03D55" w:rsidRPr="00BB165A">
        <w:t xml:space="preserve"> and </w:t>
      </w:r>
      <w:r w:rsidR="0058067B" w:rsidRPr="00BB165A">
        <w:t xml:space="preserve">Other </w:t>
      </w:r>
      <w:r w:rsidR="00C03D55" w:rsidRPr="00BB165A">
        <w:t xml:space="preserve">Creative </w:t>
      </w:r>
      <w:r w:rsidR="003B41A4">
        <w:t>A</w:t>
      </w:r>
      <w:r w:rsidR="005B4DA6">
        <w:t>rts</w:t>
      </w:r>
      <w:r w:rsidR="003B41A4" w:rsidRPr="00BB165A">
        <w:t xml:space="preserve"> </w:t>
      </w:r>
      <w:r w:rsidR="00C03D55" w:rsidRPr="00BB165A">
        <w:t>(</w:t>
      </w:r>
      <w:r w:rsidR="005B4DA6">
        <w:t>3.1</w:t>
      </w:r>
      <w:r w:rsidR="00C03D55" w:rsidRPr="00BB165A">
        <w:t>%). The largest decreases were in Food</w:t>
      </w:r>
      <w:r w:rsidR="005A1852" w:rsidRPr="00BB165A">
        <w:t xml:space="preserve">, </w:t>
      </w:r>
      <w:r w:rsidR="00C03D55" w:rsidRPr="00BB165A">
        <w:t>Hospitality</w:t>
      </w:r>
      <w:r w:rsidR="00E7768A" w:rsidRPr="00BB165A">
        <w:t>, and Personal Services</w:t>
      </w:r>
      <w:r w:rsidR="00C03D55" w:rsidRPr="00BB165A">
        <w:t xml:space="preserve"> (</w:t>
      </w:r>
      <w:r w:rsidR="00293190" w:rsidRPr="00BB165A">
        <w:t>-13.4%), Medical Studies (-6.</w:t>
      </w:r>
      <w:r w:rsidR="005B4DA6">
        <w:t>7</w:t>
      </w:r>
      <w:r w:rsidR="00293190" w:rsidRPr="00BB165A">
        <w:t>%) and Medical Science (</w:t>
      </w:r>
      <w:r w:rsidR="005A1852" w:rsidRPr="00BB165A">
        <w:t xml:space="preserve">-4.6%). </w:t>
      </w:r>
      <w:r w:rsidR="00E7768A" w:rsidRPr="00BB165A">
        <w:t>It is likely that the introduction of COVID</w:t>
      </w:r>
      <w:r w:rsidR="0098535F">
        <w:t>-19</w:t>
      </w:r>
      <w:r w:rsidR="00E7768A" w:rsidRPr="00BB165A">
        <w:t xml:space="preserve"> lockdowns and other restrictions </w:t>
      </w:r>
      <w:r w:rsidR="00374ECD" w:rsidRPr="00BB165A">
        <w:t>disrupted some costs in these fields related to placements</w:t>
      </w:r>
      <w:r w:rsidR="002C2178" w:rsidRPr="00BB165A">
        <w:t xml:space="preserve"> or practical in-person training.</w:t>
      </w:r>
      <w:r w:rsidR="00A5631F">
        <w:t xml:space="preserve"> </w:t>
      </w:r>
      <w:r w:rsidR="00E33533">
        <w:t>In the case of Food, Hospitality and Personal Services a reduction in enrolments may have als</w:t>
      </w:r>
      <w:r w:rsidR="00E034EC">
        <w:t xml:space="preserve">o reduced economies of scale. </w:t>
      </w:r>
    </w:p>
    <w:p w14:paraId="7FB7B087" w14:textId="77777777" w:rsidR="004B0757" w:rsidRDefault="004B0757" w:rsidP="006456D9">
      <w:pPr>
        <w:sectPr w:rsidR="004B0757" w:rsidSect="004B0757">
          <w:pgSz w:w="11906" w:h="16838" w:code="9"/>
          <w:pgMar w:top="1985" w:right="1418" w:bottom="1134" w:left="1418" w:header="680" w:footer="425" w:gutter="0"/>
          <w:cols w:space="284"/>
          <w:docGrid w:linePitch="360"/>
        </w:sectPr>
      </w:pPr>
    </w:p>
    <w:p w14:paraId="6A86721C" w14:textId="30182A8A" w:rsidR="00D71A57" w:rsidRPr="00D71A57" w:rsidRDefault="49E8F990" w:rsidP="00D71A57">
      <w:pPr>
        <w:pStyle w:val="CaptionChart"/>
      </w:pPr>
      <w:bookmarkStart w:id="377" w:name="_Ref531001696"/>
      <w:bookmarkStart w:id="378" w:name="_Toc20245972"/>
      <w:bookmarkStart w:id="379" w:name="_Toc105776363"/>
      <w:r>
        <w:t>: Distribution of unit costs by field for bachelor</w:t>
      </w:r>
      <w:bookmarkEnd w:id="377"/>
      <w:bookmarkEnd w:id="378"/>
      <w:r>
        <w:t xml:space="preserve"> </w:t>
      </w:r>
      <w:r w:rsidR="33206C0F">
        <w:t>(2019 and 2020)</w:t>
      </w:r>
      <w:bookmarkEnd w:id="379"/>
    </w:p>
    <w:p w14:paraId="7AB48FAF" w14:textId="46D97A91" w:rsidR="00FC28D6" w:rsidRDefault="00FC28D6" w:rsidP="00691B65">
      <w:r>
        <w:rPr>
          <w:noProof/>
        </w:rPr>
        <w:drawing>
          <wp:inline distT="0" distB="0" distL="0" distR="0" wp14:anchorId="203FD522" wp14:editId="3D71D886">
            <wp:extent cx="9201600" cy="4680000"/>
            <wp:effectExtent l="0" t="0" r="0" b="6350"/>
            <wp:docPr id="459974197" name="Chart 459974197" descr="Chart showing the Distribution of unit costs by field for bachelor (2019 and 2020). Box plots of 2019 and 2020 cost per EFTSL for bachelor student for each of the 22 Field of Education and total. Plots show the range of costs per EFTSL, the means and quartiles.">
              <a:extLst xmlns:a="http://schemas.openxmlformats.org/drawingml/2006/main">
                <a:ext uri="{FF2B5EF4-FFF2-40B4-BE49-F238E27FC236}">
                  <a16:creationId xmlns:a16="http://schemas.microsoft.com/office/drawing/2014/main" id="{00000000-0008-0000-2E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13803C7" w14:textId="5590884E" w:rsidR="006456D9" w:rsidRPr="00D71A57" w:rsidRDefault="006456D9" w:rsidP="006456D9">
      <w:pPr>
        <w:pStyle w:val="Source"/>
      </w:pPr>
      <w:r w:rsidRPr="00D71A57">
        <w:t xml:space="preserve">Note: </w:t>
      </w:r>
      <w:r w:rsidR="00610347">
        <w:t>1,28</w:t>
      </w:r>
      <w:r w:rsidR="003C37AC">
        <w:t>9</w:t>
      </w:r>
      <w:r w:rsidR="007D2B9B">
        <w:t xml:space="preserve"> </w:t>
      </w:r>
      <w:r w:rsidR="00D71A57" w:rsidRPr="00D71A57">
        <w:t xml:space="preserve">cost observations across </w:t>
      </w:r>
      <w:r w:rsidR="007D2B9B">
        <w:t>3</w:t>
      </w:r>
      <w:r w:rsidR="00DB6A5F">
        <w:t>7</w:t>
      </w:r>
      <w:r w:rsidR="007D2B9B" w:rsidRPr="00D71A57">
        <w:t xml:space="preserve"> </w:t>
      </w:r>
      <w:r w:rsidRPr="00D71A57">
        <w:t>universities. Outliers excluded. Marker at mean, box width between 25</w:t>
      </w:r>
      <w:r w:rsidRPr="00D71A57">
        <w:rPr>
          <w:vertAlign w:val="superscript"/>
        </w:rPr>
        <w:t>th</w:t>
      </w:r>
      <w:r w:rsidRPr="00D71A57">
        <w:t xml:space="preserve"> and 75</w:t>
      </w:r>
      <w:r w:rsidRPr="00D71A57">
        <w:rPr>
          <w:vertAlign w:val="superscript"/>
        </w:rPr>
        <w:t>th</w:t>
      </w:r>
      <w:r w:rsidRPr="00D71A57">
        <w:t xml:space="preserve"> percentile, and tails at minimum and maximum. </w:t>
      </w:r>
    </w:p>
    <w:p w14:paraId="6F1993C8" w14:textId="77777777" w:rsidR="001E6B91" w:rsidRDefault="001E6B91" w:rsidP="00CB6DC1"/>
    <w:p w14:paraId="4CECA058" w14:textId="7361196E" w:rsidR="00556F40" w:rsidRDefault="00556F40" w:rsidP="00CB6DC1">
      <w:pPr>
        <w:sectPr w:rsidR="00556F40" w:rsidSect="00556F40">
          <w:pgSz w:w="16838" w:h="11906" w:orient="landscape" w:code="9"/>
          <w:pgMar w:top="1418" w:right="1985" w:bottom="1418" w:left="1134" w:header="680" w:footer="425" w:gutter="0"/>
          <w:cols w:space="284"/>
          <w:docGrid w:linePitch="360"/>
        </w:sectPr>
      </w:pPr>
    </w:p>
    <w:p w14:paraId="0CF5DCFC" w14:textId="5ECB35D9" w:rsidR="00CB6DC1" w:rsidRPr="00BB165A" w:rsidRDefault="00CB6DC1" w:rsidP="00CB6DC1">
      <w:r w:rsidRPr="00BB165A">
        <w:t xml:space="preserve">Within each </w:t>
      </w:r>
      <w:r w:rsidR="00B70C2F">
        <w:t>FOE</w:t>
      </w:r>
      <w:r w:rsidRPr="00BB165A">
        <w:t xml:space="preserve">, there are varying levels of deviation or spread of costs across institutions. </w:t>
      </w:r>
      <w:r w:rsidR="00AB0F96" w:rsidRPr="00BB165A">
        <w:fldChar w:fldCharType="begin"/>
      </w:r>
      <w:r w:rsidR="00AB0F96" w:rsidRPr="00BB165A">
        <w:instrText xml:space="preserve"> REF _Ref529282511 \r \h </w:instrText>
      </w:r>
      <w:r w:rsidR="008B3BBC" w:rsidRPr="00BB165A">
        <w:instrText xml:space="preserve"> \* MERGEFORMAT </w:instrText>
      </w:r>
      <w:r w:rsidR="00AB0F96" w:rsidRPr="00BB165A">
        <w:fldChar w:fldCharType="separate"/>
      </w:r>
      <w:r w:rsidR="00804998">
        <w:t>Chart 2.15</w:t>
      </w:r>
      <w:r w:rsidR="00AB0F96" w:rsidRPr="00BB165A">
        <w:fldChar w:fldCharType="end"/>
      </w:r>
      <w:r w:rsidR="00AB0F96" w:rsidRPr="00BB165A">
        <w:t xml:space="preserve"> </w:t>
      </w:r>
      <w:r w:rsidR="00B77559" w:rsidRPr="00BB165A">
        <w:t xml:space="preserve">and </w:t>
      </w:r>
      <w:r w:rsidR="007B21AC">
        <w:fldChar w:fldCharType="begin"/>
      </w:r>
      <w:r w:rsidR="007B21AC">
        <w:instrText xml:space="preserve"> REF _Ref103252267 \r \h </w:instrText>
      </w:r>
      <w:r w:rsidR="007B21AC">
        <w:fldChar w:fldCharType="separate"/>
      </w:r>
      <w:r w:rsidR="00804998">
        <w:t>Chart 2.16</w:t>
      </w:r>
      <w:r w:rsidR="007B21AC">
        <w:fldChar w:fldCharType="end"/>
      </w:r>
      <w:r w:rsidR="007B21AC">
        <w:t xml:space="preserve"> </w:t>
      </w:r>
      <w:r w:rsidRPr="00BB165A">
        <w:t>show the difference in average unit costs between the 25</w:t>
      </w:r>
      <w:r w:rsidRPr="00BB165A">
        <w:rPr>
          <w:vertAlign w:val="superscript"/>
        </w:rPr>
        <w:t>th</w:t>
      </w:r>
      <w:r w:rsidRPr="00BB165A">
        <w:t xml:space="preserve"> and 75</w:t>
      </w:r>
      <w:r w:rsidRPr="00BB165A">
        <w:rPr>
          <w:vertAlign w:val="superscript"/>
        </w:rPr>
        <w:t>th</w:t>
      </w:r>
      <w:r w:rsidRPr="00BB165A">
        <w:t xml:space="preserve"> percentiles (a </w:t>
      </w:r>
      <w:r w:rsidRPr="00515921">
        <w:t>standard measure of deviation</w:t>
      </w:r>
      <w:r w:rsidR="001539AC" w:rsidRPr="00515921">
        <w:t xml:space="preserve"> or dispersion</w:t>
      </w:r>
      <w:r w:rsidRPr="00515921">
        <w:t>)</w:t>
      </w:r>
      <w:r w:rsidR="00B77559" w:rsidRPr="00515921">
        <w:t xml:space="preserve"> in the 2019 and 2020 calendar years respectively</w:t>
      </w:r>
      <w:r w:rsidRPr="00515921">
        <w:t xml:space="preserve">. On average, </w:t>
      </w:r>
      <w:r w:rsidR="001539AC" w:rsidRPr="00515921">
        <w:t xml:space="preserve">this range </w:t>
      </w:r>
      <w:r w:rsidR="0076511E" w:rsidRPr="00515921">
        <w:t xml:space="preserve">was </w:t>
      </w:r>
      <w:r w:rsidR="00BA4A8A">
        <w:t xml:space="preserve">approximately </w:t>
      </w:r>
      <w:r w:rsidR="0076511E" w:rsidRPr="00515921">
        <w:t>$</w:t>
      </w:r>
      <w:r w:rsidR="00375A13" w:rsidRPr="00515921">
        <w:t>7,</w:t>
      </w:r>
      <w:r w:rsidR="00BA4A8A">
        <w:t>000</w:t>
      </w:r>
      <w:r w:rsidR="0076511E" w:rsidRPr="00515921">
        <w:t xml:space="preserve"> </w:t>
      </w:r>
      <w:r w:rsidR="00A25FBE" w:rsidRPr="00515921">
        <w:t xml:space="preserve">in 2019 </w:t>
      </w:r>
      <w:r w:rsidR="0076511E" w:rsidRPr="00515921">
        <w:t xml:space="preserve">and </w:t>
      </w:r>
      <w:r w:rsidR="00B345A6" w:rsidRPr="00515921">
        <w:t>20</w:t>
      </w:r>
      <w:r w:rsidR="00515921" w:rsidRPr="00515921">
        <w:t>20</w:t>
      </w:r>
      <w:r w:rsidR="0026143C" w:rsidRPr="00515921">
        <w:t>, excluding</w:t>
      </w:r>
      <w:r w:rsidR="0026143C" w:rsidRPr="00BB165A">
        <w:t xml:space="preserve"> Mixed Field Programmes and Food and Hospitality, which have very low EFTSL</w:t>
      </w:r>
      <w:r w:rsidR="00AB0F96" w:rsidRPr="00BB165A">
        <w:t>.</w:t>
      </w:r>
      <w:r w:rsidRPr="00BB165A">
        <w:t xml:space="preserve"> </w:t>
      </w:r>
    </w:p>
    <w:p w14:paraId="054A96C3" w14:textId="06A5FB3E" w:rsidR="00E503DB" w:rsidRPr="00AB7CC8" w:rsidRDefault="00CB6DC1">
      <w:r w:rsidRPr="00BB165A">
        <w:t>Notably, this variation is greatest among higher cost fields</w:t>
      </w:r>
      <w:r w:rsidR="00146112" w:rsidRPr="00BB165A">
        <w:t xml:space="preserve">. For example, </w:t>
      </w:r>
      <w:r w:rsidRPr="00BB165A">
        <w:t xml:space="preserve">Veterinary Studies has a </w:t>
      </w:r>
      <w:r w:rsidR="00561A18" w:rsidRPr="00BB165A">
        <w:t xml:space="preserve">cost spread </w:t>
      </w:r>
      <w:r w:rsidRPr="00BB165A">
        <w:t xml:space="preserve">of </w:t>
      </w:r>
      <w:r w:rsidR="00AB0F96" w:rsidRPr="00BB165A">
        <w:t xml:space="preserve">around </w:t>
      </w:r>
      <w:r w:rsidRPr="00BB165A">
        <w:t>$</w:t>
      </w:r>
      <w:r w:rsidR="00AB72B2" w:rsidRPr="00BB165A">
        <w:t>22</w:t>
      </w:r>
      <w:r w:rsidR="0026143C" w:rsidRPr="00BB165A">
        <w:t>,</w:t>
      </w:r>
      <w:r w:rsidR="00AB72B2" w:rsidRPr="00BB165A">
        <w:t>900</w:t>
      </w:r>
      <w:r w:rsidRPr="00BB165A">
        <w:t xml:space="preserve"> compared to </w:t>
      </w:r>
      <w:r w:rsidR="00AB0F96" w:rsidRPr="00BB165A">
        <w:t xml:space="preserve">around </w:t>
      </w:r>
      <w:r w:rsidRPr="00BB165A">
        <w:t>$</w:t>
      </w:r>
      <w:r w:rsidR="009D6AE4" w:rsidRPr="00BB165A">
        <w:t>2,</w:t>
      </w:r>
      <w:r w:rsidR="00126669">
        <w:t>700</w:t>
      </w:r>
      <w:r w:rsidR="00AB0F96" w:rsidRPr="00BB165A">
        <w:t xml:space="preserve"> </w:t>
      </w:r>
      <w:r w:rsidRPr="00BB165A">
        <w:t xml:space="preserve">for </w:t>
      </w:r>
      <w:r w:rsidR="001C5ECF" w:rsidRPr="00BB165A">
        <w:t>Nursing in 2019</w:t>
      </w:r>
      <w:r w:rsidRPr="00BB165A">
        <w:t>. Large variations in cost may reflect a variety of drivers, including variations in ability to scale, standardisation of delivery, quality, product and investment lifecycles</w:t>
      </w:r>
      <w:r w:rsidR="00E55EAF" w:rsidRPr="00BB165A">
        <w:t xml:space="preserve"> and the efficiency with which universities deliver teaching and scholarship</w:t>
      </w:r>
      <w:r w:rsidRPr="00BB165A">
        <w:t>, among others.</w:t>
      </w:r>
      <w:r w:rsidRPr="00AB7CC8">
        <w:t xml:space="preserve"> </w:t>
      </w:r>
    </w:p>
    <w:p w14:paraId="511D90D9" w14:textId="582F57ED" w:rsidR="00187D98" w:rsidRPr="00BB165A" w:rsidRDefault="00187D98" w:rsidP="004F307D">
      <w:pPr>
        <w:pStyle w:val="CaptionChart"/>
      </w:pPr>
      <w:bookmarkStart w:id="380" w:name="_Ref529282511"/>
      <w:bookmarkStart w:id="381" w:name="_Toc20245974"/>
      <w:bookmarkStart w:id="382" w:name="_Toc105776364"/>
      <w:r w:rsidRPr="00BB165A">
        <w:t>: Average unit cost and dispersion by field for bachelor</w:t>
      </w:r>
      <w:bookmarkEnd w:id="380"/>
      <w:bookmarkEnd w:id="381"/>
      <w:r w:rsidR="009546D4">
        <w:t xml:space="preserve"> (</w:t>
      </w:r>
      <w:r w:rsidR="00DB6A5F" w:rsidRPr="00BB165A">
        <w:t>2019</w:t>
      </w:r>
      <w:r w:rsidR="009546D4">
        <w:t>)</w:t>
      </w:r>
      <w:bookmarkEnd w:id="382"/>
    </w:p>
    <w:p w14:paraId="53E1C0FF" w14:textId="5271EA36" w:rsidR="0053322A" w:rsidRPr="00BB165A" w:rsidRDefault="0053322A" w:rsidP="00312215">
      <w:r>
        <w:rPr>
          <w:noProof/>
        </w:rPr>
        <w:drawing>
          <wp:inline distT="0" distB="0" distL="0" distR="0" wp14:anchorId="7732EE5C" wp14:editId="60A598A7">
            <wp:extent cx="5760720" cy="2957830"/>
            <wp:effectExtent l="0" t="0" r="0" b="0"/>
            <wp:docPr id="459974200" name="Chart 459974200" descr="Chart showing average unit cost and dispersion by field for bachelor (2019). Chart shows the average cost per EFTSL for each Field of Education compared to the 75th percentile minus 25th percentile in columns.">
              <a:extLst xmlns:a="http://schemas.openxmlformats.org/drawingml/2006/main">
                <a:ext uri="{FF2B5EF4-FFF2-40B4-BE49-F238E27FC236}">
                  <a16:creationId xmlns:a16="http://schemas.microsoft.com/office/drawing/2014/main" id="{00000000-0008-0000-2E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A7D89C3" w14:textId="0E771E96" w:rsidR="00187D98" w:rsidRPr="00BB165A" w:rsidRDefault="00187D98" w:rsidP="00187D98">
      <w:pPr>
        <w:pStyle w:val="Source"/>
      </w:pPr>
      <w:r w:rsidRPr="00BB165A">
        <w:t xml:space="preserve">Note: </w:t>
      </w:r>
      <w:r w:rsidR="00DB6A5F" w:rsidRPr="00BB165A">
        <w:t>64</w:t>
      </w:r>
      <w:r w:rsidR="00781F7C">
        <w:t>4</w:t>
      </w:r>
      <w:r w:rsidRPr="00BB165A">
        <w:t xml:space="preserve"> cost observations across </w:t>
      </w:r>
      <w:r w:rsidR="00AB7CC8" w:rsidRPr="00BB165A">
        <w:t>3</w:t>
      </w:r>
      <w:r w:rsidR="00DB6A5F" w:rsidRPr="00BB165A">
        <w:t>7</w:t>
      </w:r>
      <w:r w:rsidRPr="00BB165A">
        <w:t xml:space="preserve"> universities.</w:t>
      </w:r>
      <w:r w:rsidR="006456D9" w:rsidRPr="00BB165A">
        <w:t xml:space="preserve"> </w:t>
      </w:r>
    </w:p>
    <w:p w14:paraId="629C4F18" w14:textId="406FB9B7" w:rsidR="00B57519" w:rsidRPr="00BB165A" w:rsidRDefault="00B57519" w:rsidP="00B57519">
      <w:pPr>
        <w:pStyle w:val="CaptionChart"/>
      </w:pPr>
      <w:bookmarkStart w:id="383" w:name="_Ref103252267"/>
      <w:bookmarkStart w:id="384" w:name="_Toc105776365"/>
      <w:r w:rsidRPr="00BB165A">
        <w:t>: Average unit cost and dispersion by field for bachelor</w:t>
      </w:r>
      <w:r w:rsidR="009546D4">
        <w:t xml:space="preserve"> (</w:t>
      </w:r>
      <w:r w:rsidRPr="00BB165A">
        <w:t>2020</w:t>
      </w:r>
      <w:bookmarkEnd w:id="383"/>
      <w:r w:rsidR="009546D4">
        <w:t>)</w:t>
      </w:r>
      <w:bookmarkEnd w:id="384"/>
    </w:p>
    <w:p w14:paraId="198E1C57" w14:textId="603311EA" w:rsidR="0053322A" w:rsidRPr="00BB165A" w:rsidRDefault="0053322A" w:rsidP="002D25BE">
      <w:r>
        <w:rPr>
          <w:noProof/>
        </w:rPr>
        <w:drawing>
          <wp:inline distT="0" distB="0" distL="0" distR="0" wp14:anchorId="2243305A" wp14:editId="77959692">
            <wp:extent cx="5615421" cy="3160569"/>
            <wp:effectExtent l="0" t="0" r="4445" b="1905"/>
            <wp:docPr id="459974201" name="Chart 459974201" descr="Chart showing average unit cost and dispersion by field for bachelor (2020). Chart shows the average cost per EFTSL for each Field of Education compared to the 75th percentile minus 25th percentile in columns.">
              <a:extLst xmlns:a="http://schemas.openxmlformats.org/drawingml/2006/main">
                <a:ext uri="{FF2B5EF4-FFF2-40B4-BE49-F238E27FC236}">
                  <a16:creationId xmlns:a16="http://schemas.microsoft.com/office/drawing/2014/main" id="{00000000-0008-0000-2E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0BEF0FD" w14:textId="60E350C7" w:rsidR="00B57519" w:rsidRPr="002D25BE" w:rsidRDefault="00B57519" w:rsidP="00B57519">
      <w:pPr>
        <w:pStyle w:val="Source"/>
      </w:pPr>
      <w:r w:rsidRPr="00BB165A">
        <w:t>Note: 64</w:t>
      </w:r>
      <w:r w:rsidR="00781F7C">
        <w:t>5</w:t>
      </w:r>
      <w:r w:rsidRPr="00BB165A">
        <w:t xml:space="preserve"> cost observations across 37 universities.</w:t>
      </w:r>
      <w:r w:rsidRPr="00AB7CC8">
        <w:t xml:space="preserve"> </w:t>
      </w:r>
    </w:p>
    <w:p w14:paraId="2D1ABE34" w14:textId="77777777" w:rsidR="001548C2" w:rsidRPr="00BB165A" w:rsidRDefault="001548C2" w:rsidP="001548C2">
      <w:pPr>
        <w:pStyle w:val="Heading3un-numbered"/>
      </w:pPr>
      <w:r w:rsidRPr="00BB165A">
        <w:t>Field variation across postgraduate</w:t>
      </w:r>
      <w:r w:rsidR="008822E3" w:rsidRPr="00BB165A">
        <w:t xml:space="preserve"> study</w:t>
      </w:r>
    </w:p>
    <w:p w14:paraId="75FFABDA" w14:textId="69AF887C" w:rsidR="00870193" w:rsidRPr="00BB165A" w:rsidRDefault="00355557" w:rsidP="00373338">
      <w:r w:rsidRPr="00BB165A">
        <w:fldChar w:fldCharType="begin"/>
      </w:r>
      <w:r w:rsidRPr="00BB165A">
        <w:instrText xml:space="preserve"> REF _Ref101178682 \r \h  \* MERGEFORMAT </w:instrText>
      </w:r>
      <w:r w:rsidRPr="00BB165A">
        <w:fldChar w:fldCharType="separate"/>
      </w:r>
      <w:r w:rsidR="00804998">
        <w:t>Chart 2.17</w:t>
      </w:r>
      <w:r w:rsidRPr="00BB165A">
        <w:fldChar w:fldCharType="end"/>
      </w:r>
      <w:r w:rsidRPr="00BB165A">
        <w:t xml:space="preserve"> </w:t>
      </w:r>
      <w:r w:rsidR="001548C2" w:rsidRPr="00BB165A">
        <w:t xml:space="preserve">presents the distribution of unit costs by </w:t>
      </w:r>
      <w:r w:rsidR="00B70C2F">
        <w:t>FOE</w:t>
      </w:r>
      <w:r w:rsidR="001548C2" w:rsidRPr="00BB165A">
        <w:t xml:space="preserve"> for postgraduate coursework degrees (excluding </w:t>
      </w:r>
      <w:r w:rsidR="00C502EF" w:rsidRPr="00BB165A">
        <w:t xml:space="preserve">higher degree research </w:t>
      </w:r>
      <w:r w:rsidR="001548C2" w:rsidRPr="00BB165A">
        <w:t>students).</w:t>
      </w:r>
      <w:r w:rsidR="00373338" w:rsidRPr="00BB165A">
        <w:t xml:space="preserve"> </w:t>
      </w:r>
      <w:r w:rsidR="008822E3" w:rsidRPr="00BB165A">
        <w:t>As for</w:t>
      </w:r>
      <w:r w:rsidR="001548C2" w:rsidRPr="00BB165A">
        <w:t xml:space="preserve"> bachelor degrees, the distribution of costs are relatively narrow</w:t>
      </w:r>
      <w:r w:rsidR="00373338" w:rsidRPr="00BB165A">
        <w:t xml:space="preserve"> compared to sub-bachelor</w:t>
      </w:r>
      <w:r w:rsidR="00870081">
        <w:t>. Aga</w:t>
      </w:r>
      <w:r w:rsidR="0062165F">
        <w:t xml:space="preserve">in, </w:t>
      </w:r>
      <w:r w:rsidR="00870193" w:rsidRPr="00BB165A">
        <w:t>higher cost disciplines tend to have wider distributions compared to lower cost fields.</w:t>
      </w:r>
    </w:p>
    <w:p w14:paraId="6C70B7AA" w14:textId="64AC6096" w:rsidR="001548C2" w:rsidRPr="00BB165A" w:rsidRDefault="00032FDD" w:rsidP="00373338">
      <w:r>
        <w:t>T</w:t>
      </w:r>
      <w:r w:rsidR="001548C2" w:rsidRPr="00BB165A">
        <w:t xml:space="preserve">he full range of estimated costs </w:t>
      </w:r>
      <w:r w:rsidR="00373338" w:rsidRPr="00BB165A">
        <w:t>are significantly wider than the estimates for bachelor degrees</w:t>
      </w:r>
      <w:r w:rsidR="00870193" w:rsidRPr="00BB165A">
        <w:t xml:space="preserve">. </w:t>
      </w:r>
      <w:r w:rsidR="00453001" w:rsidRPr="00BB165A">
        <w:t>There</w:t>
      </w:r>
      <w:r w:rsidR="001548C2" w:rsidRPr="00BB165A">
        <w:t xml:space="preserve"> appear to be a number of university observations with relatively high average costs (compared to their peer institutions), and in many instances the maximum value (the top </w:t>
      </w:r>
      <w:r w:rsidR="00373338" w:rsidRPr="00BB165A">
        <w:t>whisker</w:t>
      </w:r>
      <w:r w:rsidR="001548C2" w:rsidRPr="00BB165A">
        <w:t xml:space="preserve">) is </w:t>
      </w:r>
      <w:r w:rsidR="00F7747E" w:rsidRPr="00BB165A">
        <w:t xml:space="preserve">substantially </w:t>
      </w:r>
      <w:r w:rsidR="001548C2" w:rsidRPr="00BB165A">
        <w:t>larger than the 75</w:t>
      </w:r>
      <w:r w:rsidR="001548C2" w:rsidRPr="00BB165A">
        <w:rPr>
          <w:vertAlign w:val="superscript"/>
        </w:rPr>
        <w:t xml:space="preserve">th </w:t>
      </w:r>
      <w:r w:rsidR="001548C2" w:rsidRPr="00BB165A">
        <w:t>percentile (the upper box)</w:t>
      </w:r>
      <w:r w:rsidR="00373338" w:rsidRPr="00BB165A">
        <w:t>.</w:t>
      </w:r>
    </w:p>
    <w:p w14:paraId="3B42DD22" w14:textId="0216051A" w:rsidR="001548C2" w:rsidRPr="00BB165A" w:rsidRDefault="001548C2" w:rsidP="00373338">
      <w:r w:rsidRPr="00BB165A">
        <w:t xml:space="preserve">For </w:t>
      </w:r>
      <w:r w:rsidR="00FA5426" w:rsidRPr="00BB165A">
        <w:t>example,</w:t>
      </w:r>
      <w:r w:rsidR="00700815" w:rsidRPr="00BB165A">
        <w:t xml:space="preserve"> in 2019</w:t>
      </w:r>
      <w:r w:rsidRPr="00BB165A">
        <w:t>, for</w:t>
      </w:r>
      <w:r w:rsidR="00D45BEA" w:rsidRPr="00BB165A">
        <w:t xml:space="preserve"> </w:t>
      </w:r>
      <w:r w:rsidR="003B2E62" w:rsidRPr="00BB165A">
        <w:t xml:space="preserve">Environmental </w:t>
      </w:r>
      <w:r w:rsidR="00FA1F0C">
        <w:t>Studies</w:t>
      </w:r>
      <w:r w:rsidRPr="00BB165A">
        <w:t xml:space="preserve">, </w:t>
      </w:r>
      <w:r w:rsidR="00B20F29" w:rsidRPr="00BB165A">
        <w:t xml:space="preserve">approximately </w:t>
      </w:r>
      <w:r w:rsidR="006A12EC" w:rsidRPr="00BB165A">
        <w:t>4</w:t>
      </w:r>
      <w:r w:rsidR="00624134" w:rsidRPr="00BB165A">
        <w:t>4</w:t>
      </w:r>
      <w:r w:rsidR="006A12EC" w:rsidRPr="00BB165A">
        <w:t>%</w:t>
      </w:r>
      <w:r w:rsidR="001D0935" w:rsidRPr="00BB165A">
        <w:t xml:space="preserve"> </w:t>
      </w:r>
      <w:r w:rsidRPr="00BB165A">
        <w:t>of universities have costs between $2</w:t>
      </w:r>
      <w:r w:rsidR="00624134" w:rsidRPr="00BB165A">
        <w:t>2</w:t>
      </w:r>
      <w:r w:rsidR="006743A3" w:rsidRPr="00BB165A">
        <w:t>,000 and $3</w:t>
      </w:r>
      <w:r w:rsidR="00624134" w:rsidRPr="00BB165A">
        <w:t>2</w:t>
      </w:r>
      <w:r w:rsidRPr="00BB165A">
        <w:t xml:space="preserve">,000, and </w:t>
      </w:r>
      <w:r w:rsidR="000353FE" w:rsidRPr="00BB165A">
        <w:t>76</w:t>
      </w:r>
      <w:r w:rsidR="00CF737B" w:rsidRPr="00BB165A">
        <w:t>%</w:t>
      </w:r>
      <w:r w:rsidRPr="00BB165A">
        <w:t xml:space="preserve"> have costs between $1</w:t>
      </w:r>
      <w:r w:rsidR="006743A3" w:rsidRPr="00BB165A">
        <w:t>5</w:t>
      </w:r>
      <w:r w:rsidRPr="00BB165A">
        <w:t>,000 and $3</w:t>
      </w:r>
      <w:r w:rsidR="000353FE" w:rsidRPr="00BB165A">
        <w:t>2</w:t>
      </w:r>
      <w:r w:rsidRPr="00BB165A">
        <w:t>,000 (a range of $</w:t>
      </w:r>
      <w:r w:rsidR="00880A82" w:rsidRPr="00BB165A">
        <w:t>17</w:t>
      </w:r>
      <w:r w:rsidRPr="00BB165A">
        <w:t>,000)</w:t>
      </w:r>
      <w:r w:rsidR="00CF53EB" w:rsidRPr="00BB165A">
        <w:t>. T</w:t>
      </w:r>
      <w:r w:rsidRPr="00BB165A">
        <w:t>he highest cost university has a unit cost of $</w:t>
      </w:r>
      <w:r w:rsidR="0039120B" w:rsidRPr="00BB165A">
        <w:t>65</w:t>
      </w:r>
      <w:r w:rsidR="00BF0688" w:rsidRPr="00BB165A">
        <w:t>,</w:t>
      </w:r>
      <w:r w:rsidR="0039120B" w:rsidRPr="00BB165A">
        <w:t>9</w:t>
      </w:r>
      <w:r w:rsidR="00F2242D">
        <w:t>00</w:t>
      </w:r>
      <w:r w:rsidR="00BF0688" w:rsidRPr="00BB165A">
        <w:t>,</w:t>
      </w:r>
      <w:r w:rsidRPr="00BB165A">
        <w:t xml:space="preserve"> which is </w:t>
      </w:r>
      <w:r w:rsidR="00BB1E8E" w:rsidRPr="00BB165A">
        <w:t xml:space="preserve">more than </w:t>
      </w:r>
      <w:r w:rsidR="0039120B" w:rsidRPr="00BB165A">
        <w:t>double the</w:t>
      </w:r>
      <w:r w:rsidRPr="00BB165A">
        <w:t xml:space="preserve"> </w:t>
      </w:r>
      <w:r w:rsidR="00193FCB" w:rsidRPr="00BB165A">
        <w:t>average</w:t>
      </w:r>
      <w:r w:rsidR="00BB1E8E" w:rsidRPr="00BB165A">
        <w:t xml:space="preserve"> cost</w:t>
      </w:r>
      <w:r w:rsidR="0039120B" w:rsidRPr="00BB165A">
        <w:t xml:space="preserve"> per EFTSL in this field</w:t>
      </w:r>
      <w:r w:rsidR="00193FCB" w:rsidRPr="00BB165A">
        <w:t>.</w:t>
      </w:r>
      <w:r w:rsidRPr="00BB165A">
        <w:t xml:space="preserve"> </w:t>
      </w:r>
    </w:p>
    <w:p w14:paraId="0F2A3C3E" w14:textId="77777777" w:rsidR="00AB0F96" w:rsidRPr="00BB165A" w:rsidRDefault="00AB0F96" w:rsidP="00373338">
      <w:r w:rsidRPr="00BB165A">
        <w:t xml:space="preserve">Consultations with universities and their accompanying statements provide some rationale for higher unit costs, and include: </w:t>
      </w:r>
    </w:p>
    <w:p w14:paraId="6255D6A9" w14:textId="77777777" w:rsidR="00AB0F96" w:rsidRPr="00BB165A" w:rsidRDefault="00AB0F96" w:rsidP="004F307D">
      <w:pPr>
        <w:pStyle w:val="ListBullet"/>
      </w:pPr>
      <w:r w:rsidRPr="00BB165A">
        <w:t>The introduction of a new school or course program to the university, where the costs of delivery are expected to moderate in future years</w:t>
      </w:r>
      <w:r w:rsidR="00140B71" w:rsidRPr="00BB165A">
        <w:t xml:space="preserve"> due to</w:t>
      </w:r>
      <w:r w:rsidRPr="00BB165A">
        <w:t xml:space="preserve"> reduced upfront costs and increasing scale</w:t>
      </w:r>
    </w:p>
    <w:p w14:paraId="1218FDD2" w14:textId="4D777691" w:rsidR="00AB0F96" w:rsidRPr="00BB165A" w:rsidRDefault="00AB0F96" w:rsidP="004F307D">
      <w:pPr>
        <w:pStyle w:val="ListBullet"/>
      </w:pPr>
      <w:r w:rsidRPr="00BB165A">
        <w:t>Higher costs associated with advanced facilities and equipment</w:t>
      </w:r>
    </w:p>
    <w:p w14:paraId="63CE0E65" w14:textId="08363ED1" w:rsidR="00AB0F96" w:rsidRPr="00BB165A" w:rsidRDefault="00AB0F96" w:rsidP="004F307D">
      <w:pPr>
        <w:pStyle w:val="ListBullet"/>
      </w:pPr>
      <w:r w:rsidRPr="00BB165A">
        <w:t xml:space="preserve">Low enrolments and/or class sizes. </w:t>
      </w:r>
    </w:p>
    <w:p w14:paraId="730B1FDD" w14:textId="77777777" w:rsidR="00AB0F96" w:rsidRPr="00BB165A" w:rsidRDefault="00AB0F96">
      <w:r w:rsidRPr="00BB165A">
        <w:t xml:space="preserve">Similarly, the rationale for lower than average unit costs include: </w:t>
      </w:r>
    </w:p>
    <w:p w14:paraId="0CD26610" w14:textId="77777777" w:rsidR="00AB0F96" w:rsidRPr="00BB165A" w:rsidRDefault="00AB0F96" w:rsidP="004F307D">
      <w:pPr>
        <w:pStyle w:val="ListBullet"/>
      </w:pPr>
      <w:r w:rsidRPr="00BB165A">
        <w:t>Larger share of delivery online, reducing the amount of staff hours</w:t>
      </w:r>
    </w:p>
    <w:p w14:paraId="7EA22231" w14:textId="77777777" w:rsidR="00AB0F96" w:rsidRPr="00BB165A" w:rsidRDefault="00AB0F96" w:rsidP="004F307D">
      <w:pPr>
        <w:pStyle w:val="ListBullet"/>
      </w:pPr>
      <w:r w:rsidRPr="00BB165A">
        <w:t xml:space="preserve">Courses with relatively inexpensive teaching formats </w:t>
      </w:r>
    </w:p>
    <w:p w14:paraId="2D069C5A" w14:textId="77A3F832" w:rsidR="00AB0F96" w:rsidRPr="00BB165A" w:rsidRDefault="00AB0F96" w:rsidP="004F307D">
      <w:pPr>
        <w:pStyle w:val="ListBullet"/>
      </w:pPr>
      <w:r w:rsidRPr="00BB165A">
        <w:t>Large enrolments and/or class sizes.</w:t>
      </w:r>
    </w:p>
    <w:p w14:paraId="35D80969" w14:textId="77777777" w:rsidR="00D95D2F" w:rsidRPr="00BB165A" w:rsidRDefault="00140B71" w:rsidP="00495A65">
      <w:r w:rsidRPr="00BB165A">
        <w:t>These reasons for differences in costs were notably not confined to postgraduate level study and were also raised in the context of bachelor and sub-bachelor level programs.</w:t>
      </w:r>
    </w:p>
    <w:p w14:paraId="41FCAC6D" w14:textId="045E0FF5" w:rsidR="008E132A" w:rsidRPr="00BB165A" w:rsidRDefault="00C17F59" w:rsidP="00C17F59">
      <w:r w:rsidRPr="00BB165A">
        <w:t xml:space="preserve">Overall, there was a </w:t>
      </w:r>
      <w:r w:rsidR="00837394">
        <w:t>1.0</w:t>
      </w:r>
      <w:r w:rsidRPr="00BB165A">
        <w:t xml:space="preserve">% </w:t>
      </w:r>
      <w:r w:rsidR="0027769A">
        <w:t>increase</w:t>
      </w:r>
      <w:r w:rsidR="00EA47C7" w:rsidRPr="00BB165A">
        <w:t xml:space="preserve"> in</w:t>
      </w:r>
      <w:r w:rsidRPr="00BB165A">
        <w:t xml:space="preserve"> total cost per EFTSL for </w:t>
      </w:r>
      <w:r w:rsidR="008E132A" w:rsidRPr="00BB165A">
        <w:t>postgraduate level</w:t>
      </w:r>
      <w:r w:rsidRPr="00BB165A">
        <w:t xml:space="preserve"> education programs between 2019 and 2020. </w:t>
      </w:r>
    </w:p>
    <w:p w14:paraId="0DF12174" w14:textId="54948735" w:rsidR="00C17F59" w:rsidRPr="00BB165A" w:rsidRDefault="002C1261" w:rsidP="00C17F59">
      <w:r w:rsidRPr="00BB165A">
        <w:t>The c</w:t>
      </w:r>
      <w:r w:rsidR="00C17F59" w:rsidRPr="00BB165A">
        <w:t xml:space="preserve">ost of delivery of </w:t>
      </w:r>
      <w:r w:rsidR="00357C85" w:rsidRPr="00BB165A">
        <w:t xml:space="preserve">postgraduate </w:t>
      </w:r>
      <w:r w:rsidR="00C17F59" w:rsidRPr="00BB165A">
        <w:t xml:space="preserve">programs </w:t>
      </w:r>
      <w:r w:rsidR="00357C85" w:rsidRPr="00BB165A">
        <w:t>declined</w:t>
      </w:r>
      <w:r w:rsidR="00C17F59" w:rsidRPr="00BB165A">
        <w:t xml:space="preserve"> in </w:t>
      </w:r>
      <w:r w:rsidR="0040462E">
        <w:t>8</w:t>
      </w:r>
      <w:r w:rsidR="0040462E" w:rsidRPr="00BB165A">
        <w:t xml:space="preserve"> </w:t>
      </w:r>
      <w:r w:rsidR="00C17F59" w:rsidRPr="00BB165A">
        <w:t xml:space="preserve">out of 22 fields over this period, notably </w:t>
      </w:r>
      <w:r w:rsidR="00BB4E06" w:rsidRPr="00BB165A">
        <w:t xml:space="preserve">in </w:t>
      </w:r>
      <w:r w:rsidR="00C17F59" w:rsidRPr="00BB165A">
        <w:t>fields such as</w:t>
      </w:r>
      <w:r w:rsidR="00193C90" w:rsidRPr="00BB165A">
        <w:t xml:space="preserve"> Health</w:t>
      </w:r>
      <w:r w:rsidR="00C17F59" w:rsidRPr="00BB165A">
        <w:t>,</w:t>
      </w:r>
      <w:r w:rsidR="00193C90" w:rsidRPr="00BB165A">
        <w:t xml:space="preserve"> Information and Technology,</w:t>
      </w:r>
      <w:r w:rsidR="00C17F59" w:rsidRPr="00BB165A">
        <w:t xml:space="preserve"> and </w:t>
      </w:r>
      <w:r w:rsidR="004359D5" w:rsidRPr="00BB165A">
        <w:t>Architecture and Building</w:t>
      </w:r>
      <w:r w:rsidR="00C17F59" w:rsidRPr="00BB165A">
        <w:t>. The largest annual increase in cost per EFTSL was observed in</w:t>
      </w:r>
      <w:r w:rsidR="00B86464" w:rsidRPr="00BB165A">
        <w:t xml:space="preserve"> </w:t>
      </w:r>
      <w:r w:rsidR="00017F6E" w:rsidRPr="00BB165A">
        <w:t>Foreign Languages and Translating</w:t>
      </w:r>
      <w:r w:rsidR="00C17F59" w:rsidRPr="00BB165A">
        <w:t xml:space="preserve">, where the cost of delivering </w:t>
      </w:r>
      <w:r w:rsidR="0006698C" w:rsidRPr="00BB165A">
        <w:t>postgraduate</w:t>
      </w:r>
      <w:r w:rsidR="00C17F59" w:rsidRPr="00BB165A">
        <w:t xml:space="preserve"> programs increased by </w:t>
      </w:r>
      <w:r w:rsidR="005B3B05" w:rsidRPr="00BB165A">
        <w:t>18</w:t>
      </w:r>
      <w:r w:rsidR="00017F6E" w:rsidRPr="00BB165A">
        <w:t>.4</w:t>
      </w:r>
      <w:r w:rsidR="00C17F59" w:rsidRPr="00BB165A">
        <w:t>%</w:t>
      </w:r>
      <w:r w:rsidR="005B3B05" w:rsidRPr="00BB165A">
        <w:t xml:space="preserve">. The student load in this field decreased </w:t>
      </w:r>
      <w:r w:rsidR="00E77220" w:rsidRPr="00BB165A">
        <w:t>4.9</w:t>
      </w:r>
      <w:r w:rsidR="00F12C74" w:rsidRPr="00BB165A">
        <w:t>% in</w:t>
      </w:r>
      <w:r w:rsidR="00C17F59" w:rsidRPr="00BB165A">
        <w:t xml:space="preserve"> 2020. The largest decline in cost per EFTSL was observed in </w:t>
      </w:r>
      <w:r w:rsidR="00E77220" w:rsidRPr="00BB165A">
        <w:t xml:space="preserve">Environmental Studies </w:t>
      </w:r>
      <w:r w:rsidR="008B32EB" w:rsidRPr="00BB165A">
        <w:t>at 7.</w:t>
      </w:r>
      <w:r w:rsidR="00A17288">
        <w:t>1</w:t>
      </w:r>
      <w:r w:rsidR="008B32EB" w:rsidRPr="00BB165A">
        <w:t xml:space="preserve">%. The student load in this field increased </w:t>
      </w:r>
      <w:r w:rsidR="00D84A9E" w:rsidRPr="00BB165A">
        <w:t>12.4% in 2020.</w:t>
      </w:r>
      <w:r w:rsidR="00C17F59" w:rsidRPr="00BB165A">
        <w:t xml:space="preserve"> </w:t>
      </w:r>
    </w:p>
    <w:p w14:paraId="71A8E78F" w14:textId="5B9CE0A1" w:rsidR="00BA7A5E" w:rsidRPr="006743A3" w:rsidRDefault="00140B71" w:rsidP="00495A65">
      <w:r>
        <w:t xml:space="preserve"> </w:t>
      </w:r>
    </w:p>
    <w:p w14:paraId="58853D10" w14:textId="77777777" w:rsidR="008503DB" w:rsidRDefault="008503DB" w:rsidP="001548C2">
      <w:pPr>
        <w:pStyle w:val="CaptionChart"/>
        <w:sectPr w:rsidR="008503DB" w:rsidSect="005E48FD">
          <w:pgSz w:w="11906" w:h="16838" w:code="9"/>
          <w:pgMar w:top="1985" w:right="1416" w:bottom="1134" w:left="1418" w:header="680" w:footer="425" w:gutter="0"/>
          <w:cols w:space="284"/>
          <w:docGrid w:linePitch="360"/>
        </w:sectPr>
      </w:pPr>
      <w:bookmarkStart w:id="385" w:name="_Toc528855717"/>
      <w:bookmarkStart w:id="386" w:name="_Ref529194045"/>
      <w:bookmarkStart w:id="387" w:name="_Toc20245975"/>
    </w:p>
    <w:p w14:paraId="77C841FF" w14:textId="2A815AA5" w:rsidR="001548C2" w:rsidRPr="006743A3" w:rsidRDefault="001548C2" w:rsidP="001548C2">
      <w:pPr>
        <w:pStyle w:val="CaptionChart"/>
      </w:pPr>
      <w:bookmarkStart w:id="388" w:name="_Ref101178682"/>
      <w:bookmarkStart w:id="389" w:name="_Toc105776366"/>
      <w:r w:rsidRPr="006743A3">
        <w:t>: Average unit costs by field for postgraduate</w:t>
      </w:r>
      <w:bookmarkEnd w:id="385"/>
      <w:bookmarkEnd w:id="386"/>
      <w:bookmarkEnd w:id="387"/>
      <w:bookmarkEnd w:id="388"/>
      <w:r w:rsidRPr="006743A3">
        <w:t xml:space="preserve"> </w:t>
      </w:r>
      <w:r w:rsidR="00395E5F">
        <w:t>(2019 and 2020)</w:t>
      </w:r>
      <w:r w:rsidR="00740560" w:rsidRPr="00740560">
        <w:rPr>
          <w:noProof/>
        </w:rPr>
        <w:t xml:space="preserve"> </w:t>
      </w:r>
      <w:bookmarkEnd w:id="389"/>
    </w:p>
    <w:p w14:paraId="7BB9D2B1" w14:textId="0E5E070B" w:rsidR="0053322A" w:rsidRPr="006743A3" w:rsidRDefault="0053322A" w:rsidP="00691B65">
      <w:r>
        <w:rPr>
          <w:noProof/>
        </w:rPr>
        <w:drawing>
          <wp:inline distT="0" distB="0" distL="0" distR="0" wp14:anchorId="4840F5DB" wp14:editId="3DDF58DF">
            <wp:extent cx="9201600" cy="4680000"/>
            <wp:effectExtent l="0" t="0" r="0" b="6350"/>
            <wp:docPr id="459974204" name="Chart 459974204" descr="Chart showing average unit costs by field for postgraduate (2019 and 2020). Presented by field of education, box plots are used to show the range of costs per EFTSL, 25th and 75th percentiles and mean.">
              <a:extLst xmlns:a="http://schemas.openxmlformats.org/drawingml/2006/main">
                <a:ext uri="{FF2B5EF4-FFF2-40B4-BE49-F238E27FC236}">
                  <a16:creationId xmlns:a16="http://schemas.microsoft.com/office/drawing/2014/main" id="{00000000-0008-0000-2E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8154718" w14:textId="6FA2BAC3" w:rsidR="001548C2" w:rsidRPr="006743A3" w:rsidRDefault="001548C2" w:rsidP="001548C2">
      <w:pPr>
        <w:pStyle w:val="Source"/>
      </w:pPr>
      <w:r w:rsidRPr="006743A3">
        <w:t xml:space="preserve">Note: </w:t>
      </w:r>
      <w:r w:rsidR="00480D56">
        <w:t>1,06</w:t>
      </w:r>
      <w:r w:rsidR="003C37AC">
        <w:t>3</w:t>
      </w:r>
      <w:r w:rsidRPr="006743A3">
        <w:t xml:space="preserve"> cost observations across </w:t>
      </w:r>
      <w:r w:rsidR="006743A3" w:rsidRPr="006743A3">
        <w:t>3</w:t>
      </w:r>
      <w:r w:rsidR="00AD3B37">
        <w:t>7</w:t>
      </w:r>
      <w:r w:rsidRPr="006743A3">
        <w:t xml:space="preserve"> universities. Outliers excluded. Marker at </w:t>
      </w:r>
      <w:r w:rsidR="00B93ABB" w:rsidRPr="006743A3">
        <w:t>mean</w:t>
      </w:r>
      <w:r w:rsidRPr="006743A3">
        <w:t>, box width between 25</w:t>
      </w:r>
      <w:r w:rsidRPr="006743A3">
        <w:rPr>
          <w:vertAlign w:val="superscript"/>
        </w:rPr>
        <w:t>th</w:t>
      </w:r>
      <w:r w:rsidRPr="006743A3">
        <w:t xml:space="preserve"> and 7</w:t>
      </w:r>
      <w:r w:rsidR="00526A4F" w:rsidRPr="006743A3">
        <w:t>5</w:t>
      </w:r>
      <w:r w:rsidRPr="006743A3">
        <w:rPr>
          <w:vertAlign w:val="superscript"/>
        </w:rPr>
        <w:t>th</w:t>
      </w:r>
      <w:r w:rsidRPr="006743A3">
        <w:t xml:space="preserve"> percentile, and tails at minimum and maximum.</w:t>
      </w:r>
    </w:p>
    <w:p w14:paraId="1827D862" w14:textId="77777777" w:rsidR="008503DB" w:rsidRDefault="008503DB" w:rsidP="00CB6DC1">
      <w:pPr>
        <w:pStyle w:val="Heading3un-numbered"/>
        <w:sectPr w:rsidR="008503DB" w:rsidSect="008503DB">
          <w:pgSz w:w="16838" w:h="11906" w:orient="landscape" w:code="9"/>
          <w:pgMar w:top="1418" w:right="1985" w:bottom="1418" w:left="1134" w:header="680" w:footer="425" w:gutter="0"/>
          <w:cols w:space="284"/>
          <w:docGrid w:linePitch="360"/>
        </w:sectPr>
      </w:pPr>
    </w:p>
    <w:p w14:paraId="6355565B" w14:textId="0A847FCF" w:rsidR="00CB6DC1" w:rsidRPr="003D0550" w:rsidRDefault="00CB6DC1" w:rsidP="00CB6DC1">
      <w:pPr>
        <w:pStyle w:val="Heading3un-numbered"/>
      </w:pPr>
      <w:r w:rsidRPr="003D0550">
        <w:t xml:space="preserve">Variation between levels </w:t>
      </w:r>
    </w:p>
    <w:p w14:paraId="5BDEDDF6" w14:textId="67D9A286" w:rsidR="00A4300D" w:rsidRPr="00BB165A" w:rsidRDefault="00A4300D" w:rsidP="00A4300D">
      <w:r w:rsidRPr="00BB165A">
        <w:t xml:space="preserve">Consultations with universities suggested some systematic variation in costs by levels of education. </w:t>
      </w:r>
      <w:r w:rsidR="00140B71" w:rsidRPr="00BB165A">
        <w:t>The cost of</w:t>
      </w:r>
      <w:r w:rsidRPr="00BB165A">
        <w:t xml:space="preserve"> postgraduate studies </w:t>
      </w:r>
      <w:r w:rsidR="00140B71" w:rsidRPr="00BB165A">
        <w:t xml:space="preserve">was </w:t>
      </w:r>
      <w:r w:rsidR="006E60AC" w:rsidRPr="00BB165A">
        <w:t xml:space="preserve">on average </w:t>
      </w:r>
      <w:r w:rsidR="00443C86" w:rsidRPr="00BB165A">
        <w:t>2</w:t>
      </w:r>
      <w:r w:rsidR="00DF4566">
        <w:t>0</w:t>
      </w:r>
      <w:r w:rsidRPr="00BB165A">
        <w:t>%</w:t>
      </w:r>
      <w:r w:rsidR="006E60AC" w:rsidRPr="00BB165A">
        <w:t xml:space="preserve"> higher</w:t>
      </w:r>
      <w:r w:rsidR="00E6127D">
        <w:t xml:space="preserve"> in 2019 </w:t>
      </w:r>
      <w:r w:rsidR="000A70DD">
        <w:t xml:space="preserve">and </w:t>
      </w:r>
      <w:r w:rsidR="00A04450">
        <w:t xml:space="preserve">21% higher in </w:t>
      </w:r>
      <w:r w:rsidR="000A70DD">
        <w:t>2020</w:t>
      </w:r>
      <w:r w:rsidRPr="00BB165A">
        <w:t xml:space="preserve"> compared to bachelor studie</w:t>
      </w:r>
      <w:r w:rsidR="000A70DD">
        <w:t>s</w:t>
      </w:r>
      <w:r w:rsidRPr="00BB165A">
        <w:t xml:space="preserve">. </w:t>
      </w:r>
      <w:r w:rsidR="00B86172" w:rsidRPr="00BB165A">
        <w:t xml:space="preserve">This equates to </w:t>
      </w:r>
      <w:r w:rsidR="00A67CF6" w:rsidRPr="00BB165A">
        <w:t>$</w:t>
      </w:r>
      <w:r w:rsidR="00F16E5E">
        <w:t>3,</w:t>
      </w:r>
      <w:r w:rsidR="00840F11">
        <w:t>600</w:t>
      </w:r>
      <w:r w:rsidR="00A67CF6" w:rsidRPr="00BB165A">
        <w:t xml:space="preserve"> in 2019 </w:t>
      </w:r>
      <w:r w:rsidR="00AD2D9B">
        <w:t>and</w:t>
      </w:r>
      <w:r w:rsidR="00B86172" w:rsidRPr="00BB165A">
        <w:t xml:space="preserve"> </w:t>
      </w:r>
      <w:r w:rsidR="00031D29">
        <w:t xml:space="preserve">$3,700 in </w:t>
      </w:r>
      <w:r w:rsidR="00A67CF6" w:rsidRPr="00BB165A">
        <w:t xml:space="preserve">2020. </w:t>
      </w:r>
      <w:r w:rsidRPr="00BB165A">
        <w:t>This may reflect more specialised and intensive qualifications, smaller class sizes, more senior teaching staff, among other reasons.</w:t>
      </w:r>
    </w:p>
    <w:p w14:paraId="0FF61EB5" w14:textId="233CED89" w:rsidR="00A4300D" w:rsidRPr="00BB165A" w:rsidRDefault="00CA3C8F" w:rsidP="00A4300D">
      <w:r>
        <w:t xml:space="preserve">On the other hand, the average cost per EFTSL for </w:t>
      </w:r>
      <w:r w:rsidR="00A4300D" w:rsidRPr="00BB165A">
        <w:t xml:space="preserve">sub-bachelor studies </w:t>
      </w:r>
      <w:r>
        <w:t xml:space="preserve">was </w:t>
      </w:r>
      <w:r w:rsidR="00F16E5E">
        <w:t>0.</w:t>
      </w:r>
      <w:r w:rsidR="0065480E">
        <w:t>8</w:t>
      </w:r>
      <w:r w:rsidR="00ED56AA">
        <w:t xml:space="preserve">% </w:t>
      </w:r>
      <w:r w:rsidR="0065480E">
        <w:t>higher</w:t>
      </w:r>
      <w:r>
        <w:t xml:space="preserve"> than bachelor level study</w:t>
      </w:r>
      <w:r w:rsidR="0080671D" w:rsidRPr="00BB165A">
        <w:t xml:space="preserve"> in 2019 and </w:t>
      </w:r>
      <w:r w:rsidR="00F16E5E">
        <w:t>0.</w:t>
      </w:r>
      <w:r w:rsidR="00F20221">
        <w:t>1</w:t>
      </w:r>
      <w:r w:rsidR="0080671D" w:rsidRPr="00BB165A">
        <w:t xml:space="preserve">% </w:t>
      </w:r>
      <w:r>
        <w:t xml:space="preserve">lower </w:t>
      </w:r>
      <w:r w:rsidR="0080671D" w:rsidRPr="00BB165A">
        <w:t>in 2020</w:t>
      </w:r>
      <w:r w:rsidR="00A4300D" w:rsidRPr="00BB165A">
        <w:t xml:space="preserve">. </w:t>
      </w:r>
      <w:r w:rsidR="00D45BEA" w:rsidRPr="00BB165A">
        <w:t>S</w:t>
      </w:r>
      <w:r w:rsidR="00930B51" w:rsidRPr="00BB165A">
        <w:t xml:space="preserve">ome of this difference may be driven by differences in enrolments by FOE between bachelor and sub-bachelor level study. </w:t>
      </w:r>
    </w:p>
    <w:p w14:paraId="7004AE4A" w14:textId="00143EAB" w:rsidR="00A4300D" w:rsidRPr="00BB165A" w:rsidRDefault="00A4300D" w:rsidP="00A4300D">
      <w:r w:rsidRPr="00BB165A">
        <w:t>Notably</w:t>
      </w:r>
      <w:r w:rsidRPr="002C0A04">
        <w:t xml:space="preserve">, </w:t>
      </w:r>
      <w:r w:rsidR="002C0A04" w:rsidRPr="002C0A04">
        <w:t xml:space="preserve">9 </w:t>
      </w:r>
      <w:r w:rsidRPr="006D4D82">
        <w:t xml:space="preserve">of </w:t>
      </w:r>
      <w:r w:rsidR="00CF5ADD" w:rsidRPr="006D4D82">
        <w:t>3</w:t>
      </w:r>
      <w:r w:rsidR="00577D34" w:rsidRPr="006D4D82">
        <w:t>7</w:t>
      </w:r>
      <w:r w:rsidRPr="006D4D82">
        <w:t xml:space="preserve"> </w:t>
      </w:r>
      <w:r w:rsidRPr="002C0A04">
        <w:t>universities</w:t>
      </w:r>
      <w:r w:rsidRPr="00BB165A">
        <w:t xml:space="preserve"> indicated they were unable to systematically attribute costs between levels of education for a given </w:t>
      </w:r>
      <w:r w:rsidR="00B25F56" w:rsidRPr="00BB165A">
        <w:t>f</w:t>
      </w:r>
      <w:r w:rsidR="00471E84" w:rsidRPr="00BB165A">
        <w:t xml:space="preserve">aculty or </w:t>
      </w:r>
      <w:r w:rsidR="00B25F56" w:rsidRPr="00BB165A">
        <w:t>s</w:t>
      </w:r>
      <w:r w:rsidR="00471E84" w:rsidRPr="00BB165A">
        <w:t>chool</w:t>
      </w:r>
      <w:r w:rsidRPr="00BB165A">
        <w:t xml:space="preserve">. In other words, these universities </w:t>
      </w:r>
      <w:r w:rsidR="00B25F56" w:rsidRPr="00BB165A">
        <w:t>had generally equivalent costs for each of</w:t>
      </w:r>
      <w:r w:rsidR="006E60AC" w:rsidRPr="00BB165A">
        <w:t xml:space="preserve"> the</w:t>
      </w:r>
      <w:r w:rsidR="00B25F56" w:rsidRPr="00BB165A">
        <w:t xml:space="preserve"> three levels in a given</w:t>
      </w:r>
      <w:r w:rsidRPr="00BB165A">
        <w:t xml:space="preserve"> </w:t>
      </w:r>
      <w:r w:rsidR="00B25F56" w:rsidRPr="00BB165A">
        <w:t>faculty or school</w:t>
      </w:r>
      <w:r w:rsidR="00930B51" w:rsidRPr="00BB165A">
        <w:t xml:space="preserve"> unless specific</w:t>
      </w:r>
      <w:r w:rsidR="002C4FB7" w:rsidRPr="00BB165A">
        <w:t xml:space="preserve"> expenditure</w:t>
      </w:r>
      <w:r w:rsidR="00930B51" w:rsidRPr="00BB165A">
        <w:t xml:space="preserve"> items were clearly attributable to study at a given level</w:t>
      </w:r>
      <w:r w:rsidR="002C4FB7" w:rsidRPr="00BB165A">
        <w:t xml:space="preserve"> and incorporated in the results</w:t>
      </w:r>
      <w:r w:rsidR="00930B51" w:rsidRPr="00BB165A">
        <w:t xml:space="preserve">. </w:t>
      </w:r>
      <w:r w:rsidR="001249AB" w:rsidRPr="00BB165A">
        <w:t>In many of these cases</w:t>
      </w:r>
      <w:r w:rsidR="0022424E" w:rsidRPr="00BB165A">
        <w:t>,</w:t>
      </w:r>
      <w:r w:rsidR="001249AB" w:rsidRPr="00BB165A">
        <w:t xml:space="preserve"> </w:t>
      </w:r>
      <w:r w:rsidR="00B25F56" w:rsidRPr="00BB165A">
        <w:t xml:space="preserve">universities simply used EFTSL to separate costs within faculties or schools and across levels, such that costs per EFTSL were equivalent for all levels of study. </w:t>
      </w:r>
      <w:r w:rsidR="0022424E" w:rsidRPr="00BB165A">
        <w:t>Thus,</w:t>
      </w:r>
      <w:r w:rsidR="00471E84" w:rsidRPr="00BB165A">
        <w:t xml:space="preserve"> any difference within a </w:t>
      </w:r>
      <w:r w:rsidR="00B70C2F">
        <w:t>FOE</w:t>
      </w:r>
      <w:r w:rsidR="00471E84" w:rsidRPr="00BB165A">
        <w:t xml:space="preserve"> was driven </w:t>
      </w:r>
      <w:r w:rsidR="00B25F56" w:rsidRPr="00BB165A">
        <w:t xml:space="preserve">solely </w:t>
      </w:r>
      <w:r w:rsidR="00471E84" w:rsidRPr="00BB165A">
        <w:t>by the different mix of faculties or schools within an FOE</w:t>
      </w:r>
      <w:r w:rsidRPr="00BB165A">
        <w:t xml:space="preserve">. </w:t>
      </w:r>
    </w:p>
    <w:p w14:paraId="7E9F30FC" w14:textId="0E729280" w:rsidR="00A4300D" w:rsidRPr="00344B4D" w:rsidRDefault="00A4300D" w:rsidP="00A4300D">
      <w:r w:rsidRPr="00BB165A">
        <w:t xml:space="preserve">These limitations were raised in consultations and accompanying statements by universities and should be considered when comparing unit cost calculations between levels for a given field. Where a university has assumed a constant unit cost, this will lead to convergence in costs between levels, but in other instances, where a university has </w:t>
      </w:r>
      <w:r w:rsidR="001249AB" w:rsidRPr="00BB165A">
        <w:t>used a cost allocation methodology that captures variation in costs between levels</w:t>
      </w:r>
      <w:r w:rsidRPr="00BB165A">
        <w:t>, variation</w:t>
      </w:r>
      <w:r w:rsidR="0004420F">
        <w:t>s</w:t>
      </w:r>
      <w:r w:rsidRPr="00BB165A">
        <w:t xml:space="preserve"> may be higher.</w:t>
      </w:r>
      <w:r w:rsidRPr="00344B4D">
        <w:t xml:space="preserve"> </w:t>
      </w:r>
    </w:p>
    <w:p w14:paraId="3C272729" w14:textId="77777777" w:rsidR="008C72C2" w:rsidRPr="00E06AF2" w:rsidRDefault="001548C2">
      <w:pPr>
        <w:pStyle w:val="Heading2"/>
      </w:pPr>
      <w:bookmarkStart w:id="390" w:name="_Toc20257491"/>
      <w:bookmarkStart w:id="391" w:name="_Toc20257744"/>
      <w:bookmarkStart w:id="392" w:name="_Toc20309557"/>
      <w:bookmarkStart w:id="393" w:name="_Toc20257492"/>
      <w:bookmarkStart w:id="394" w:name="_Toc20257745"/>
      <w:bookmarkStart w:id="395" w:name="_Toc20309558"/>
      <w:bookmarkStart w:id="396" w:name="_Toc20257493"/>
      <w:bookmarkStart w:id="397" w:name="_Toc20257746"/>
      <w:bookmarkStart w:id="398" w:name="_Toc20309559"/>
      <w:bookmarkStart w:id="399" w:name="_Toc20257494"/>
      <w:bookmarkStart w:id="400" w:name="_Toc20257747"/>
      <w:bookmarkStart w:id="401" w:name="_Toc20309560"/>
      <w:bookmarkStart w:id="402" w:name="_Toc20257495"/>
      <w:bookmarkStart w:id="403" w:name="_Toc20257748"/>
      <w:bookmarkStart w:id="404" w:name="_Toc20309561"/>
      <w:bookmarkStart w:id="405" w:name="_Toc532376022"/>
      <w:bookmarkStart w:id="406" w:name="_Toc532376023"/>
      <w:bookmarkStart w:id="407" w:name="_Toc532376024"/>
      <w:bookmarkStart w:id="408" w:name="_Toc532376025"/>
      <w:bookmarkStart w:id="409" w:name="_Toc532376026"/>
      <w:bookmarkStart w:id="410" w:name="_Toc529546279"/>
      <w:bookmarkStart w:id="411" w:name="_Toc529546927"/>
      <w:bookmarkStart w:id="412" w:name="_Toc529546280"/>
      <w:bookmarkStart w:id="413" w:name="_Toc529546928"/>
      <w:bookmarkStart w:id="414" w:name="_Toc528855684"/>
      <w:bookmarkStart w:id="415" w:name="_Ref532214635"/>
      <w:bookmarkStart w:id="416" w:name="_Ref534706426"/>
      <w:bookmarkStart w:id="417" w:name="_Ref534713016"/>
      <w:bookmarkStart w:id="418" w:name="_Toc20246010"/>
      <w:bookmarkStart w:id="419" w:name="_Toc1057761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sidRPr="00E06AF2">
        <w:t>Comparing costs to base funding levels</w:t>
      </w:r>
      <w:bookmarkEnd w:id="414"/>
      <w:bookmarkEnd w:id="415"/>
      <w:bookmarkEnd w:id="416"/>
      <w:bookmarkEnd w:id="417"/>
      <w:bookmarkEnd w:id="418"/>
      <w:bookmarkEnd w:id="419"/>
      <w:r w:rsidRPr="00E06AF2">
        <w:t xml:space="preserve"> </w:t>
      </w:r>
    </w:p>
    <w:p w14:paraId="45163439" w14:textId="77777777" w:rsidR="00E06AF2" w:rsidRPr="00976920" w:rsidRDefault="00E06AF2" w:rsidP="00E06AF2">
      <w:bookmarkStart w:id="420" w:name="_Toc529454468"/>
      <w:bookmarkStart w:id="421" w:name="_Toc529454560"/>
      <w:bookmarkStart w:id="422" w:name="_Toc529459972"/>
      <w:bookmarkStart w:id="423" w:name="_Toc529546344"/>
      <w:bookmarkStart w:id="424" w:name="_Toc529546984"/>
      <w:bookmarkStart w:id="425" w:name="_Toc529454470"/>
      <w:bookmarkStart w:id="426" w:name="_Toc529454562"/>
      <w:bookmarkStart w:id="427" w:name="_Toc529459974"/>
      <w:bookmarkStart w:id="428" w:name="_Toc529546346"/>
      <w:bookmarkStart w:id="429" w:name="_Toc529546986"/>
      <w:bookmarkStart w:id="430" w:name="_Toc529454471"/>
      <w:bookmarkStart w:id="431" w:name="_Toc529454563"/>
      <w:bookmarkStart w:id="432" w:name="_Toc529459975"/>
      <w:bookmarkStart w:id="433" w:name="_Toc529546347"/>
      <w:bookmarkStart w:id="434" w:name="_Toc529546987"/>
      <w:bookmarkStart w:id="435" w:name="_Toc529454472"/>
      <w:bookmarkStart w:id="436" w:name="_Toc529454564"/>
      <w:bookmarkStart w:id="437" w:name="_Toc529459976"/>
      <w:bookmarkStart w:id="438" w:name="_Toc529546348"/>
      <w:bookmarkStart w:id="439" w:name="_Toc529546988"/>
      <w:bookmarkStart w:id="440" w:name="_Toc529454473"/>
      <w:bookmarkStart w:id="441" w:name="_Toc529454565"/>
      <w:bookmarkStart w:id="442" w:name="_Toc529459977"/>
      <w:bookmarkStart w:id="443" w:name="_Toc529546349"/>
      <w:bookmarkStart w:id="444" w:name="_Toc529546989"/>
      <w:bookmarkStart w:id="445" w:name="_Toc529454474"/>
      <w:bookmarkStart w:id="446" w:name="_Toc529454566"/>
      <w:bookmarkStart w:id="447" w:name="_Toc529459978"/>
      <w:bookmarkStart w:id="448" w:name="_Toc529546350"/>
      <w:bookmarkStart w:id="449" w:name="_Toc529546990"/>
      <w:bookmarkStart w:id="450" w:name="_Toc529454475"/>
      <w:bookmarkStart w:id="451" w:name="_Toc529454567"/>
      <w:bookmarkStart w:id="452" w:name="_Toc529459979"/>
      <w:bookmarkStart w:id="453" w:name="_Toc529546351"/>
      <w:bookmarkStart w:id="454" w:name="_Toc529546991"/>
      <w:bookmarkStart w:id="455" w:name="_Toc529454476"/>
      <w:bookmarkStart w:id="456" w:name="_Toc529454568"/>
      <w:bookmarkStart w:id="457" w:name="_Toc529459980"/>
      <w:bookmarkStart w:id="458" w:name="_Toc529546352"/>
      <w:bookmarkStart w:id="459" w:name="_Toc529546992"/>
      <w:bookmarkStart w:id="460" w:name="_Toc529454477"/>
      <w:bookmarkStart w:id="461" w:name="_Toc529454569"/>
      <w:bookmarkStart w:id="462" w:name="_Toc529459981"/>
      <w:bookmarkStart w:id="463" w:name="_Toc529546353"/>
      <w:bookmarkStart w:id="464" w:name="_Toc529546993"/>
      <w:bookmarkStart w:id="465" w:name="_Toc529454478"/>
      <w:bookmarkStart w:id="466" w:name="_Toc529454570"/>
      <w:bookmarkStart w:id="467" w:name="_Toc529459982"/>
      <w:bookmarkStart w:id="468" w:name="_Toc529546354"/>
      <w:bookmarkStart w:id="469" w:name="_Toc529546994"/>
      <w:bookmarkStart w:id="470" w:name="_Toc529454479"/>
      <w:bookmarkStart w:id="471" w:name="_Toc529454571"/>
      <w:bookmarkStart w:id="472" w:name="_Toc529459983"/>
      <w:bookmarkStart w:id="473" w:name="_Toc529546355"/>
      <w:bookmarkStart w:id="474" w:name="_Toc529546995"/>
      <w:bookmarkStart w:id="475" w:name="_Ref534706432"/>
      <w:bookmarkStart w:id="476" w:name="_Toc528855685"/>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sidRPr="00976920">
        <w:t xml:space="preserve">As a broad measure of funding adequacy at the field level, previous studies have examined the relativities between average unit costs and average base funding according to CGS classifications. Importantly, caution should be taken in drawing inferences regarding the sufficiency of CGS funding from these results. While not specifically stated in the </w:t>
      </w:r>
      <w:r w:rsidRPr="00976920">
        <w:rPr>
          <w:i/>
        </w:rPr>
        <w:t>Higher Education Support Act 2003</w:t>
      </w:r>
      <w:r w:rsidRPr="00976920">
        <w:t>, there is a general view that CGS funding is intended to cover some level of base research activity (which was excluded from the definition of teaching and scholarship costs used in this study), and the cost of such research may vary as a proportion of teaching costs.</w:t>
      </w:r>
    </w:p>
    <w:p w14:paraId="7FDE50DC" w14:textId="61E6D270" w:rsidR="00E06AF2" w:rsidRPr="00634BA1" w:rsidRDefault="00E06AF2" w:rsidP="00E06AF2">
      <w:r w:rsidRPr="00634BA1">
        <w:t xml:space="preserve">On average, the cost of delivering teaching and scholarship for bachelor studies was </w:t>
      </w:r>
      <w:r w:rsidR="00E04AB6">
        <w:t>89</w:t>
      </w:r>
      <w:r w:rsidRPr="00634BA1">
        <w:t>% of the average base funding across all 3</w:t>
      </w:r>
      <w:r w:rsidR="00976920" w:rsidRPr="00634BA1">
        <w:t>7</w:t>
      </w:r>
      <w:r w:rsidRPr="00634BA1">
        <w:t xml:space="preserve"> institutions </w:t>
      </w:r>
      <w:r w:rsidR="004E11D8" w:rsidRPr="00634BA1">
        <w:t>in 2019 and</w:t>
      </w:r>
      <w:r w:rsidR="002F41BA">
        <w:t xml:space="preserve"> </w:t>
      </w:r>
      <w:r w:rsidR="00A879C7">
        <w:t>88</w:t>
      </w:r>
      <w:r w:rsidR="002F41BA">
        <w:t>% in</w:t>
      </w:r>
      <w:r w:rsidR="004E11D8" w:rsidRPr="00634BA1">
        <w:t xml:space="preserve"> 2020 </w:t>
      </w:r>
      <w:r w:rsidRPr="00634BA1">
        <w:t>(</w:t>
      </w:r>
      <w:r w:rsidRPr="00634BA1">
        <w:fldChar w:fldCharType="begin"/>
      </w:r>
      <w:r w:rsidRPr="00634BA1">
        <w:instrText xml:space="preserve"> REF _Ref534708069 \r \h  \* MERGEFORMAT </w:instrText>
      </w:r>
      <w:r w:rsidRPr="00634BA1">
        <w:fldChar w:fldCharType="separate"/>
      </w:r>
      <w:r w:rsidR="00804998">
        <w:t>Chart 2.18</w:t>
      </w:r>
      <w:r w:rsidRPr="00634BA1">
        <w:fldChar w:fldCharType="end"/>
      </w:r>
      <w:r w:rsidRPr="00634BA1">
        <w:t>). A number of fields had an average cost greater than average funding. These include</w:t>
      </w:r>
      <w:r w:rsidR="00634BA1" w:rsidRPr="00634BA1">
        <w:t xml:space="preserve"> </w:t>
      </w:r>
      <w:r w:rsidRPr="00634BA1">
        <w:t>Veterinary Studies, Food, Hospitality and Personal Services</w:t>
      </w:r>
      <w:r w:rsidR="00A95AA7" w:rsidRPr="00634BA1">
        <w:t>,</w:t>
      </w:r>
      <w:r w:rsidRPr="00634BA1">
        <w:t xml:space="preserve"> Mixed Field Programmes,</w:t>
      </w:r>
      <w:r w:rsidR="00A95AA7" w:rsidRPr="00634BA1">
        <w:t xml:space="preserve"> Creative Arts – Othe</w:t>
      </w:r>
      <w:r w:rsidR="00634BA1" w:rsidRPr="00634BA1">
        <w:t>r</w:t>
      </w:r>
      <w:r w:rsidR="00A95AA7" w:rsidRPr="00634BA1">
        <w:t>,</w:t>
      </w:r>
      <w:r w:rsidRPr="00634BA1">
        <w:t xml:space="preserve"> </w:t>
      </w:r>
      <w:r w:rsidR="00A95AA7" w:rsidRPr="00634BA1">
        <w:t>Dental Studies</w:t>
      </w:r>
      <w:r w:rsidR="00F66DF7">
        <w:t xml:space="preserve"> and</w:t>
      </w:r>
      <w:r w:rsidRPr="00634BA1">
        <w:t xml:space="preserve"> Management and Commerce</w:t>
      </w:r>
      <w:r w:rsidR="00634BA1" w:rsidRPr="00634BA1">
        <w:t>.</w:t>
      </w:r>
    </w:p>
    <w:p w14:paraId="03E6C8BD" w14:textId="6AED7413" w:rsidR="00E06AF2" w:rsidRPr="000304B7" w:rsidRDefault="00E06AF2" w:rsidP="00E06AF2">
      <w:pPr>
        <w:pStyle w:val="CaptionChart"/>
      </w:pPr>
      <w:bookmarkStart w:id="477" w:name="_Ref534708069"/>
      <w:bookmarkStart w:id="478" w:name="_Toc20245978"/>
      <w:bookmarkStart w:id="479" w:name="_Toc105776367"/>
      <w:r w:rsidRPr="000304B7">
        <w:t xml:space="preserve">: Average unit costs as a proportion of base funding for bachelor </w:t>
      </w:r>
      <w:r w:rsidR="00991314">
        <w:t>(</w:t>
      </w:r>
      <w:r w:rsidR="00FB786D" w:rsidRPr="000304B7">
        <w:t>2019 and 2020</w:t>
      </w:r>
      <w:r w:rsidR="00991314">
        <w:t>)</w:t>
      </w:r>
      <w:r w:rsidR="00FB786D" w:rsidRPr="000304B7">
        <w:t xml:space="preserve"> </w:t>
      </w:r>
      <w:r w:rsidRPr="000304B7">
        <w:t>(</w:t>
      </w:r>
      <w:r w:rsidR="00FB786D" w:rsidRPr="000304B7">
        <w:t>37 universities</w:t>
      </w:r>
      <w:r w:rsidRPr="000304B7">
        <w:t>)</w:t>
      </w:r>
      <w:bookmarkEnd w:id="477"/>
      <w:bookmarkEnd w:id="478"/>
      <w:bookmarkEnd w:id="479"/>
    </w:p>
    <w:p w14:paraId="1349E446" w14:textId="67B5F9F7" w:rsidR="00FA4985" w:rsidRPr="008B3BBC" w:rsidRDefault="004B670D" w:rsidP="00691B65">
      <w:pPr>
        <w:rPr>
          <w:highlight w:val="yellow"/>
        </w:rPr>
      </w:pPr>
      <w:r>
        <w:rPr>
          <w:noProof/>
        </w:rPr>
        <w:drawing>
          <wp:inline distT="0" distB="0" distL="0" distR="0" wp14:anchorId="2B6505B3" wp14:editId="3EE3F32D">
            <wp:extent cx="5598458" cy="2836004"/>
            <wp:effectExtent l="0" t="0" r="2540" b="2540"/>
            <wp:docPr id="32" name="Chart 32" descr="Chart showing average unit costs as a proportion of base funding for bachelor (2019 and 2020) (37 universities). Displayed by field of education for both years in columns. 100 per cent displayed as a line.">
              <a:extLst xmlns:a="http://schemas.openxmlformats.org/drawingml/2006/main">
                <a:ext uri="{FF2B5EF4-FFF2-40B4-BE49-F238E27FC236}">
                  <a16:creationId xmlns:a16="http://schemas.microsoft.com/office/drawing/2014/main" id="{00000000-0008-0000-3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981A8D8" w14:textId="1BA8EDA9" w:rsidR="002C4FB7" w:rsidRPr="0036693B" w:rsidRDefault="002C4FB7" w:rsidP="002C4FB7">
      <w:r w:rsidRPr="0036693B">
        <w:t xml:space="preserve">Fields such as Food, Hospitality and Personal Services, Mixed Field Programmes, Veterinary Studies and Dental Studies were delivered at a relatively small scale and by only a few universities. </w:t>
      </w:r>
      <w:r w:rsidR="00C93F96">
        <w:t>While</w:t>
      </w:r>
      <w:r>
        <w:t xml:space="preserve"> larger fields</w:t>
      </w:r>
      <w:r w:rsidR="00C93F96">
        <w:t xml:space="preserve"> </w:t>
      </w:r>
      <w:r w:rsidR="0069581A">
        <w:t>such as</w:t>
      </w:r>
      <w:r>
        <w:t xml:space="preserve"> </w:t>
      </w:r>
      <w:r w:rsidRPr="0036693B">
        <w:t>Management and Commerce and Creative Arts – Other</w:t>
      </w:r>
      <w:r w:rsidR="000A34BD">
        <w:t xml:space="preserve"> had</w:t>
      </w:r>
      <w:r w:rsidRPr="0036693B">
        <w:t xml:space="preserve"> </w:t>
      </w:r>
      <w:r w:rsidR="0069581A" w:rsidRPr="00634BA1">
        <w:t>average cost</w:t>
      </w:r>
      <w:r w:rsidR="001F70C6">
        <w:t>s</w:t>
      </w:r>
      <w:r w:rsidR="0069581A" w:rsidRPr="00634BA1">
        <w:t xml:space="preserve"> greater than average funding</w:t>
      </w:r>
      <w:r w:rsidRPr="0036693B">
        <w:t>.</w:t>
      </w:r>
      <w:r w:rsidR="00DF60CE">
        <w:t xml:space="preserve"> Management and Commerce ha</w:t>
      </w:r>
      <w:r w:rsidR="009A2295">
        <w:t>d</w:t>
      </w:r>
      <w:r w:rsidR="00DF60CE">
        <w:t xml:space="preserve"> the equal lowest amount of base funding per EFTSL of the 22 FOEs examined, while Creative Arts – Other ha</w:t>
      </w:r>
      <w:r w:rsidR="009A2295">
        <w:t>d</w:t>
      </w:r>
      <w:r w:rsidR="00DF60CE">
        <w:t xml:space="preserve"> a base funding level that is below the mean across all 22 FOEs.</w:t>
      </w:r>
      <w:r w:rsidR="00DF60CE" w:rsidRPr="0036693B">
        <w:t xml:space="preserve"> </w:t>
      </w:r>
    </w:p>
    <w:p w14:paraId="74A1029E" w14:textId="7D5F8BBF" w:rsidR="00546FA7" w:rsidRDefault="00A3611F" w:rsidP="0067298B">
      <w:r w:rsidRPr="006D4D82">
        <w:t xml:space="preserve">Importantly, the ratio of teaching costs relative to CSP funding has been calculated based on the maximum CSP funding rates that can be received by a university. </w:t>
      </w:r>
      <w:r w:rsidR="007C64D5">
        <w:t xml:space="preserve">That is, </w:t>
      </w:r>
      <w:r w:rsidR="00BB79C8">
        <w:t xml:space="preserve">the ratios presented in this report </w:t>
      </w:r>
      <w:r w:rsidR="00F82650">
        <w:t xml:space="preserve">do not account for </w:t>
      </w:r>
      <w:r w:rsidR="005F0B8E">
        <w:t xml:space="preserve">instances where </w:t>
      </w:r>
      <w:r w:rsidR="00B5451C">
        <w:t xml:space="preserve">enrolments at a particular university </w:t>
      </w:r>
      <w:r w:rsidR="00B86795">
        <w:t xml:space="preserve">in a particular field </w:t>
      </w:r>
      <w:r w:rsidR="00B5451C">
        <w:t>exceed</w:t>
      </w:r>
      <w:r w:rsidR="00D61C2A">
        <w:t xml:space="preserve"> the </w:t>
      </w:r>
      <w:r w:rsidR="00CA2BF4">
        <w:t>number of CGS places.</w:t>
      </w:r>
    </w:p>
    <w:p w14:paraId="3C7A62A3" w14:textId="77777777" w:rsidR="00F81EE8" w:rsidRPr="000304B7" w:rsidRDefault="00F81EE8" w:rsidP="00F81EE8">
      <w:pPr>
        <w:pStyle w:val="Heading4un-numbered"/>
      </w:pPr>
      <w:r w:rsidRPr="000304B7">
        <w:t>2018 common sample (32 universities)</w:t>
      </w:r>
    </w:p>
    <w:p w14:paraId="51196289" w14:textId="1E5440A3" w:rsidR="00A9716F" w:rsidRPr="00615FCA" w:rsidRDefault="00A9716F" w:rsidP="00A9716F">
      <w:r w:rsidRPr="00615FCA">
        <w:t>Among universities that provided data for both 2018 and 202</w:t>
      </w:r>
      <w:r w:rsidR="007843D7">
        <w:t>0</w:t>
      </w:r>
      <w:r w:rsidRPr="00615FCA">
        <w:t xml:space="preserve"> (i.e. comparing a common sample), the average proportion of bachelor teaching costs relative to base funding was </w:t>
      </w:r>
      <w:r w:rsidR="00E12801">
        <w:t>8</w:t>
      </w:r>
      <w:r w:rsidR="00F234D8">
        <w:t>9</w:t>
      </w:r>
      <w:r w:rsidRPr="00615FCA">
        <w:t>% in 2</w:t>
      </w:r>
      <w:r w:rsidR="00EB43CC" w:rsidRPr="00615FCA">
        <w:t>020</w:t>
      </w:r>
      <w:r w:rsidR="00F234D8">
        <w:t xml:space="preserve">. It has remained unchanged since </w:t>
      </w:r>
      <w:r w:rsidRPr="00615FCA">
        <w:t>2018</w:t>
      </w:r>
      <w:r w:rsidR="00EE5E27">
        <w:t xml:space="preserve"> (</w:t>
      </w:r>
      <w:r w:rsidR="00945E9E">
        <w:fldChar w:fldCharType="begin"/>
      </w:r>
      <w:r w:rsidR="00945E9E">
        <w:instrText xml:space="preserve"> REF _Ref103152126 \r \h </w:instrText>
      </w:r>
      <w:r w:rsidR="00945E9E">
        <w:fldChar w:fldCharType="separate"/>
      </w:r>
      <w:r w:rsidR="00804998">
        <w:t>Chart 2.19</w:t>
      </w:r>
      <w:r w:rsidR="00945E9E">
        <w:fldChar w:fldCharType="end"/>
      </w:r>
      <w:r w:rsidR="00EE5E27">
        <w:t>)</w:t>
      </w:r>
      <w:r w:rsidR="00EB43CC" w:rsidRPr="00615FCA">
        <w:t xml:space="preserve">. </w:t>
      </w:r>
    </w:p>
    <w:p w14:paraId="55E60400" w14:textId="7E3741E7" w:rsidR="00A9716F" w:rsidRPr="00F276A3" w:rsidRDefault="00A9716F" w:rsidP="00A9716F">
      <w:r w:rsidRPr="00F276A3">
        <w:t xml:space="preserve">Among the 22 fields, </w:t>
      </w:r>
      <w:r w:rsidR="00D033CA">
        <w:t>thirteen</w:t>
      </w:r>
      <w:r w:rsidR="00D033CA" w:rsidRPr="00F276A3">
        <w:t xml:space="preserve"> </w:t>
      </w:r>
      <w:r w:rsidRPr="00F276A3">
        <w:t>experienced decreasing cost-to-funding ratios from 201</w:t>
      </w:r>
      <w:r w:rsidR="00D33879" w:rsidRPr="00F276A3">
        <w:t>8</w:t>
      </w:r>
      <w:r w:rsidRPr="00F276A3">
        <w:t xml:space="preserve"> to 20</w:t>
      </w:r>
      <w:r w:rsidR="00D33879" w:rsidRPr="00F276A3">
        <w:t>20</w:t>
      </w:r>
      <w:r w:rsidR="008929A5">
        <w:t xml:space="preserve">, </w:t>
      </w:r>
      <w:r w:rsidR="00367817">
        <w:t xml:space="preserve">seven </w:t>
      </w:r>
      <w:r w:rsidR="00AF4812" w:rsidRPr="00F276A3">
        <w:t xml:space="preserve">remained </w:t>
      </w:r>
      <w:r w:rsidRPr="00F276A3">
        <w:t>relatively stable (within one percentage point higher or lower)</w:t>
      </w:r>
      <w:r w:rsidR="008929A5">
        <w:t xml:space="preserve">, and </w:t>
      </w:r>
      <w:r w:rsidR="00214BB0">
        <w:t xml:space="preserve">nine </w:t>
      </w:r>
      <w:r w:rsidR="008929A5">
        <w:t>experienced an increase in cost-to-funding ratios</w:t>
      </w:r>
      <w:r w:rsidRPr="00F276A3">
        <w:t xml:space="preserve">. </w:t>
      </w:r>
      <w:r w:rsidR="008A12FA">
        <w:t>Five</w:t>
      </w:r>
      <w:r w:rsidR="008A12FA" w:rsidRPr="00F276A3">
        <w:t xml:space="preserve"> </w:t>
      </w:r>
      <w:r w:rsidRPr="00F276A3">
        <w:t>fields experienced movements greater than 5 percentage points</w:t>
      </w:r>
      <w:r w:rsidR="00F8453D">
        <w:t>:</w:t>
      </w:r>
      <w:r w:rsidRPr="00F276A3">
        <w:rPr>
          <w:rStyle w:val="FootnoteReference"/>
        </w:rPr>
        <w:footnoteReference w:id="20"/>
      </w:r>
      <w:r w:rsidR="00AF4812" w:rsidRPr="00F276A3">
        <w:t xml:space="preserve"> </w:t>
      </w:r>
    </w:p>
    <w:p w14:paraId="5981C83A" w14:textId="0C7AB4D1" w:rsidR="00EB7C93" w:rsidRPr="00F276A3" w:rsidRDefault="00EB7C93" w:rsidP="00A9716F">
      <w:pPr>
        <w:pStyle w:val="ListBullet"/>
      </w:pPr>
      <w:r w:rsidRPr="00F276A3">
        <w:t xml:space="preserve">Food, Hospitality and Personal Services </w:t>
      </w:r>
      <w:r w:rsidR="009D7BF4" w:rsidRPr="00F276A3">
        <w:t xml:space="preserve">decreased </w:t>
      </w:r>
      <w:r w:rsidRPr="00F276A3">
        <w:t>from</w:t>
      </w:r>
      <w:r w:rsidR="00913692" w:rsidRPr="00F276A3">
        <w:t xml:space="preserve"> 208</w:t>
      </w:r>
      <w:r w:rsidRPr="00F276A3">
        <w:t xml:space="preserve">% to </w:t>
      </w:r>
      <w:r w:rsidR="00C42188">
        <w:t>96</w:t>
      </w:r>
      <w:r w:rsidRPr="00F276A3">
        <w:t>%</w:t>
      </w:r>
    </w:p>
    <w:p w14:paraId="22D67F6B" w14:textId="3B3160F0" w:rsidR="00D26DBA" w:rsidRDefault="00BF6FB9" w:rsidP="00D26DBA">
      <w:pPr>
        <w:pStyle w:val="ListBullet"/>
      </w:pPr>
      <w:r>
        <w:t>Vet</w:t>
      </w:r>
      <w:r w:rsidR="00562238">
        <w:t>erinary</w:t>
      </w:r>
      <w:r w:rsidRPr="00F276A3">
        <w:t xml:space="preserve"> </w:t>
      </w:r>
      <w:r w:rsidR="00D26DBA" w:rsidRPr="00F276A3">
        <w:t xml:space="preserve">Studies </w:t>
      </w:r>
      <w:r w:rsidR="00562238">
        <w:t>decreased</w:t>
      </w:r>
      <w:r w:rsidR="00562238" w:rsidRPr="00F276A3">
        <w:t xml:space="preserve"> </w:t>
      </w:r>
      <w:r w:rsidR="00D26DBA" w:rsidRPr="00F276A3">
        <w:t xml:space="preserve">from </w:t>
      </w:r>
      <w:r w:rsidR="00562238">
        <w:t>148</w:t>
      </w:r>
      <w:r w:rsidR="00D26DBA" w:rsidRPr="00F276A3">
        <w:t xml:space="preserve">% to </w:t>
      </w:r>
      <w:r w:rsidR="00562238">
        <w:t>135</w:t>
      </w:r>
      <w:r w:rsidR="00D26DBA" w:rsidRPr="00F276A3">
        <w:t>%</w:t>
      </w:r>
    </w:p>
    <w:p w14:paraId="2691FF43" w14:textId="3D937BB5" w:rsidR="00F8326F" w:rsidRPr="00F276A3" w:rsidRDefault="00F8326F" w:rsidP="00D26DBA">
      <w:pPr>
        <w:pStyle w:val="ListBullet"/>
      </w:pPr>
      <w:r>
        <w:t xml:space="preserve">Mixed Field Programmes decreased from </w:t>
      </w:r>
      <w:r w:rsidR="004A166E">
        <w:t>148% to 138%</w:t>
      </w:r>
    </w:p>
    <w:p w14:paraId="6CFB4DF0" w14:textId="7060BA2A" w:rsidR="00D26DBA" w:rsidRDefault="009D7BF4" w:rsidP="00A9716F">
      <w:pPr>
        <w:pStyle w:val="ListBullet"/>
      </w:pPr>
      <w:r w:rsidRPr="00F276A3">
        <w:t>Medical Studies</w:t>
      </w:r>
      <w:r w:rsidR="00D10765" w:rsidRPr="00F276A3">
        <w:t xml:space="preserve"> decreased from 88% to </w:t>
      </w:r>
      <w:r w:rsidR="006934B0">
        <w:t>8</w:t>
      </w:r>
      <w:r w:rsidR="00AB3857">
        <w:t>0</w:t>
      </w:r>
      <w:r w:rsidR="00D10765" w:rsidRPr="00F276A3">
        <w:t>%</w:t>
      </w:r>
    </w:p>
    <w:p w14:paraId="0FC5BD47" w14:textId="35F92354" w:rsidR="00AB3857" w:rsidRPr="00F276A3" w:rsidRDefault="00AB3857" w:rsidP="00A9716F">
      <w:pPr>
        <w:pStyle w:val="ListBullet"/>
      </w:pPr>
      <w:r>
        <w:t xml:space="preserve">Environmental Studies decreased from </w:t>
      </w:r>
      <w:r w:rsidR="0080362A">
        <w:t>73% to 65%.</w:t>
      </w:r>
    </w:p>
    <w:p w14:paraId="6E2D9EAF" w14:textId="0AD34138" w:rsidR="006A7642" w:rsidRDefault="006A7642" w:rsidP="000304B7">
      <w:pPr>
        <w:pStyle w:val="CaptionChart"/>
        <w:numPr>
          <w:ilvl w:val="0"/>
          <w:numId w:val="0"/>
        </w:numPr>
        <w:sectPr w:rsidR="006A7642" w:rsidSect="00995055">
          <w:pgSz w:w="11906" w:h="16838" w:code="9"/>
          <w:pgMar w:top="1985" w:right="1418" w:bottom="1134" w:left="1418" w:header="680" w:footer="425" w:gutter="0"/>
          <w:cols w:space="284"/>
          <w:docGrid w:linePitch="360"/>
        </w:sectPr>
      </w:pPr>
    </w:p>
    <w:p w14:paraId="083FEC25" w14:textId="5117DDBB" w:rsidR="009218FC" w:rsidRPr="00F276A3" w:rsidRDefault="008523EA" w:rsidP="006D4D82">
      <w:pPr>
        <w:pStyle w:val="CaptionChart"/>
      </w:pPr>
      <w:bookmarkStart w:id="480" w:name="_Ref103152126"/>
      <w:bookmarkStart w:id="481" w:name="_Toc105776368"/>
      <w:r>
        <w:t xml:space="preserve">: </w:t>
      </w:r>
      <w:r w:rsidR="00A663FA">
        <w:t xml:space="preserve">Distribution of average unit costs to base funding ratio </w:t>
      </w:r>
      <w:r w:rsidR="00752150">
        <w:t xml:space="preserve">for bachelor studies, </w:t>
      </w:r>
      <w:r w:rsidR="006A7642">
        <w:t>2018 common sample (32 universities).</w:t>
      </w:r>
      <w:bookmarkEnd w:id="480"/>
      <w:bookmarkEnd w:id="481"/>
      <w:r w:rsidR="006A7642">
        <w:t xml:space="preserve"> </w:t>
      </w:r>
    </w:p>
    <w:p w14:paraId="57A8BD0B" w14:textId="4C066B5C" w:rsidR="006A7642" w:rsidRDefault="00BB53D9" w:rsidP="00BD3AA7">
      <w:pPr>
        <w:rPr>
          <w:highlight w:val="yellow"/>
        </w:rPr>
        <w:sectPr w:rsidR="006A7642" w:rsidSect="006A7642">
          <w:pgSz w:w="16838" w:h="11906" w:orient="landscape" w:code="9"/>
          <w:pgMar w:top="1418" w:right="1985" w:bottom="1418" w:left="1134" w:header="680" w:footer="425" w:gutter="0"/>
          <w:cols w:space="284"/>
          <w:docGrid w:linePitch="360"/>
        </w:sectPr>
      </w:pPr>
      <w:r>
        <w:rPr>
          <w:noProof/>
        </w:rPr>
        <w:drawing>
          <wp:inline distT="0" distB="0" distL="0" distR="0" wp14:anchorId="2D518C14" wp14:editId="4A73EC79">
            <wp:extent cx="9201600" cy="4680000"/>
            <wp:effectExtent l="0" t="0" r="0" b="6350"/>
            <wp:docPr id="597878528" name="Chart 597878528" descr="Chart showing the distribution of average unit costs to base funding ratio for bachelor studies, 2018 common sample (32 universities). Shows the ratio for 2018, 2019 and 2020 by field of education. Means are points and range is displayed as a line.">
              <a:extLst xmlns:a="http://schemas.openxmlformats.org/drawingml/2006/main">
                <a:ext uri="{FF2B5EF4-FFF2-40B4-BE49-F238E27FC236}">
                  <a16:creationId xmlns:a16="http://schemas.microsoft.com/office/drawing/2014/main" id="{3853C69B-BDA1-4DCD-B28D-B249A58A63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8D6066E" w14:textId="77777777" w:rsidR="00E06AF2" w:rsidRPr="002404D8" w:rsidRDefault="00E06AF2" w:rsidP="00E06AF2">
      <w:pPr>
        <w:pStyle w:val="Heading4un-numbered"/>
      </w:pPr>
      <w:r w:rsidRPr="002404D8">
        <w:t>2017 common sample (25 universities)</w:t>
      </w:r>
    </w:p>
    <w:p w14:paraId="75C19242" w14:textId="47EE7103" w:rsidR="00E06AF2" w:rsidRPr="00917BE2" w:rsidRDefault="00E06AF2" w:rsidP="00E06AF2">
      <w:r w:rsidRPr="00917BE2">
        <w:t>Among universities that provided data for both 2017 and 2018</w:t>
      </w:r>
      <w:r w:rsidR="003A0F8F">
        <w:t xml:space="preserve"> to</w:t>
      </w:r>
      <w:r w:rsidR="0089750E">
        <w:t xml:space="preserve"> 2020</w:t>
      </w:r>
      <w:r w:rsidRPr="00917BE2">
        <w:t xml:space="preserve"> (i.e. comparing a common sample), the average proportion of bachelor teaching costs relative to base funding was </w:t>
      </w:r>
      <w:r w:rsidR="00C8198D">
        <w:t>88</w:t>
      </w:r>
      <w:r w:rsidRPr="00917BE2">
        <w:t>% in 20</w:t>
      </w:r>
      <w:r w:rsidR="00917BE2" w:rsidRPr="00917BE2">
        <w:t>20</w:t>
      </w:r>
      <w:r w:rsidRPr="00917BE2">
        <w:t>, compared to 8</w:t>
      </w:r>
      <w:r w:rsidR="00C8198D">
        <w:t>9</w:t>
      </w:r>
      <w:r w:rsidRPr="00917BE2">
        <w:t xml:space="preserve">% in 2017. </w:t>
      </w:r>
    </w:p>
    <w:p w14:paraId="1E14E830" w14:textId="5489EBB8" w:rsidR="00683D14" w:rsidRPr="00401A64" w:rsidRDefault="00E06AF2" w:rsidP="00683D14">
      <w:r w:rsidRPr="00401A64">
        <w:t xml:space="preserve">Among the 22 fields, </w:t>
      </w:r>
      <w:r w:rsidR="00BF2059">
        <w:t>fifteen</w:t>
      </w:r>
      <w:r w:rsidR="00BF2059" w:rsidRPr="00401A64">
        <w:t xml:space="preserve"> </w:t>
      </w:r>
      <w:r w:rsidR="00683D14" w:rsidRPr="00401A64">
        <w:t xml:space="preserve">experienced decreasing cost-to-funding ratios from 2017 to </w:t>
      </w:r>
      <w:r w:rsidR="003E6D09">
        <w:t>2020</w:t>
      </w:r>
      <w:r w:rsidR="00683D14" w:rsidRPr="00401A64">
        <w:t xml:space="preserve">, </w:t>
      </w:r>
      <w:r w:rsidR="00B2574C">
        <w:t xml:space="preserve">while </w:t>
      </w:r>
      <w:r w:rsidR="00650BBB">
        <w:t xml:space="preserve">seven </w:t>
      </w:r>
      <w:r w:rsidR="009E2313" w:rsidRPr="00401A64">
        <w:t>increased</w:t>
      </w:r>
      <w:r w:rsidR="00650BBB">
        <w:t xml:space="preserve">. </w:t>
      </w:r>
      <w:r w:rsidR="00193D48">
        <w:t>Four</w:t>
      </w:r>
      <w:r w:rsidR="00683D14" w:rsidRPr="00401A64">
        <w:t xml:space="preserve"> were relatively stable (within one percentage point higher or lower)</w:t>
      </w:r>
      <w:r w:rsidR="00131C75">
        <w:t>, while</w:t>
      </w:r>
      <w:r w:rsidR="009E2313" w:rsidRPr="00401A64">
        <w:t xml:space="preserve"> </w:t>
      </w:r>
      <w:r w:rsidR="00131C75">
        <w:t>t</w:t>
      </w:r>
      <w:r w:rsidR="00427B6C">
        <w:t xml:space="preserve">wo </w:t>
      </w:r>
      <w:r w:rsidR="00683D14" w:rsidRPr="00401A64">
        <w:t xml:space="preserve">fields experienced movements greater than </w:t>
      </w:r>
      <w:r w:rsidR="009E2313" w:rsidRPr="00401A64">
        <w:t>5</w:t>
      </w:r>
      <w:r w:rsidR="00683D14" w:rsidRPr="00401A64">
        <w:t xml:space="preserve"> percentage points.</w:t>
      </w:r>
      <w:r w:rsidR="00683D14" w:rsidRPr="00401A64">
        <w:rPr>
          <w:rStyle w:val="FootnoteReference"/>
        </w:rPr>
        <w:footnoteReference w:id="21"/>
      </w:r>
    </w:p>
    <w:p w14:paraId="231C36CE" w14:textId="4A24D114" w:rsidR="00E06AF2" w:rsidRPr="00401A64" w:rsidRDefault="00E06AF2" w:rsidP="00046245">
      <w:pPr>
        <w:pStyle w:val="ListBullet"/>
      </w:pPr>
      <w:r w:rsidRPr="00401A64">
        <w:t>Mixed Field Programmes increased from 7</w:t>
      </w:r>
      <w:r w:rsidR="00DE2279" w:rsidRPr="00401A64">
        <w:t>5</w:t>
      </w:r>
      <w:r w:rsidRPr="00401A64">
        <w:t xml:space="preserve">% to </w:t>
      </w:r>
      <w:r w:rsidR="00C84988" w:rsidRPr="00401A64">
        <w:t>1</w:t>
      </w:r>
      <w:r w:rsidR="00DA1616">
        <w:t>2</w:t>
      </w:r>
      <w:r w:rsidR="00CE2DC9">
        <w:t>5</w:t>
      </w:r>
      <w:r w:rsidRPr="00401A64">
        <w:t>%</w:t>
      </w:r>
    </w:p>
    <w:p w14:paraId="460B8655" w14:textId="0175C0F0" w:rsidR="00341516" w:rsidRPr="00401A64" w:rsidRDefault="00341516" w:rsidP="00341516">
      <w:pPr>
        <w:pStyle w:val="ListBullet"/>
      </w:pPr>
      <w:r w:rsidRPr="00401A64">
        <w:t xml:space="preserve">Food, Hospitality and Personal Services decreased from </w:t>
      </w:r>
      <w:r w:rsidR="00401A64" w:rsidRPr="00401A64">
        <w:t>18</w:t>
      </w:r>
      <w:r w:rsidR="00131C75">
        <w:t>5</w:t>
      </w:r>
      <w:r w:rsidRPr="00401A64">
        <w:t xml:space="preserve">% to </w:t>
      </w:r>
      <w:r w:rsidR="00401A64" w:rsidRPr="00401A64">
        <w:t>96</w:t>
      </w:r>
      <w:r w:rsidRPr="00401A64">
        <w:t>%</w:t>
      </w:r>
      <w:r w:rsidR="00401A64" w:rsidRPr="00401A64">
        <w:t>.</w:t>
      </w:r>
    </w:p>
    <w:p w14:paraId="3853635B" w14:textId="77777777" w:rsidR="001D6E8D" w:rsidRDefault="001D6E8D" w:rsidP="001D6E8D">
      <w:pPr>
        <w:pStyle w:val="ListBullet"/>
        <w:numPr>
          <w:ilvl w:val="0"/>
          <w:numId w:val="0"/>
        </w:numPr>
      </w:pPr>
    </w:p>
    <w:p w14:paraId="3E2800F2" w14:textId="3C65687A" w:rsidR="001D6E8D" w:rsidRPr="00401A64" w:rsidRDefault="001D6E8D" w:rsidP="001D6E8D">
      <w:pPr>
        <w:pStyle w:val="ListBullet"/>
        <w:numPr>
          <w:ilvl w:val="0"/>
          <w:numId w:val="0"/>
        </w:numPr>
      </w:pPr>
      <w:r w:rsidRPr="005538E9">
        <w:t xml:space="preserve">A comparison of average unit costs to base funding ratio for all </w:t>
      </w:r>
      <w:r>
        <w:t xml:space="preserve">22 fields in </w:t>
      </w:r>
      <w:r w:rsidRPr="005538E9">
        <w:t>2017</w:t>
      </w:r>
      <w:r>
        <w:t xml:space="preserve">, </w:t>
      </w:r>
      <w:r w:rsidRPr="005538E9">
        <w:t>2018</w:t>
      </w:r>
      <w:r>
        <w:t>, 2019 and 2020</w:t>
      </w:r>
      <w:r w:rsidRPr="005538E9">
        <w:t xml:space="preserve"> is included in Appendix C.</w:t>
      </w:r>
    </w:p>
    <w:p w14:paraId="4006FD0D" w14:textId="77777777" w:rsidR="00E06AF2" w:rsidRPr="002404D8" w:rsidRDefault="00E06AF2" w:rsidP="00E06AF2">
      <w:pPr>
        <w:pStyle w:val="Heading4un-numbered"/>
      </w:pPr>
      <w:r w:rsidRPr="002404D8">
        <w:t>2015 common sample (17 universities)</w:t>
      </w:r>
    </w:p>
    <w:p w14:paraId="6726B1F7" w14:textId="6BE8C482" w:rsidR="00E06AF2" w:rsidRPr="005538E9" w:rsidRDefault="00E06AF2" w:rsidP="00E06AF2">
      <w:r w:rsidRPr="005538E9">
        <w:t>Among universities that provided data for 2015, 2017 and 2018</w:t>
      </w:r>
      <w:r w:rsidR="006724CC">
        <w:t xml:space="preserve"> to</w:t>
      </w:r>
      <w:r w:rsidR="0089750E">
        <w:t xml:space="preserve"> 2020</w:t>
      </w:r>
      <w:r w:rsidRPr="005538E9">
        <w:t xml:space="preserve"> (i.e. comparing a common sample), the average proportion of bachelor teaching costs relative to base funding was 85% in 2015</w:t>
      </w:r>
      <w:r w:rsidR="00AE2646" w:rsidRPr="005538E9">
        <w:t xml:space="preserve"> and </w:t>
      </w:r>
      <w:r w:rsidR="002F6C2E">
        <w:t>8</w:t>
      </w:r>
      <w:r w:rsidR="00E12801">
        <w:t>8</w:t>
      </w:r>
      <w:r w:rsidRPr="005538E9">
        <w:t xml:space="preserve">% in </w:t>
      </w:r>
      <w:r w:rsidR="00151944" w:rsidRPr="005538E9">
        <w:t>2020</w:t>
      </w:r>
      <w:r w:rsidRPr="005538E9">
        <w:t xml:space="preserve">. </w:t>
      </w:r>
    </w:p>
    <w:p w14:paraId="6F495F2E" w14:textId="6C108683" w:rsidR="00C80060" w:rsidRPr="005538E9" w:rsidRDefault="00E06AF2" w:rsidP="00732C31">
      <w:r w:rsidRPr="005538E9">
        <w:t xml:space="preserve">For the common sample, among the 19 fields that are directly comparable, </w:t>
      </w:r>
      <w:r w:rsidR="00E4310F">
        <w:t>eleven</w:t>
      </w:r>
      <w:r w:rsidR="00E4310F" w:rsidRPr="005538E9">
        <w:t xml:space="preserve"> </w:t>
      </w:r>
      <w:r w:rsidRPr="005538E9">
        <w:t>experienced decreasing cost-to-funding ratios from 2015 to 20</w:t>
      </w:r>
      <w:r w:rsidR="008F440E" w:rsidRPr="005538E9">
        <w:t>20</w:t>
      </w:r>
      <w:r w:rsidR="0072072D">
        <w:t xml:space="preserve"> and eight</w:t>
      </w:r>
      <w:r w:rsidR="0072072D" w:rsidRPr="005538E9">
        <w:t xml:space="preserve"> </w:t>
      </w:r>
      <w:r w:rsidRPr="005538E9">
        <w:t>increased</w:t>
      </w:r>
      <w:r w:rsidR="0072072D">
        <w:t xml:space="preserve">. </w:t>
      </w:r>
    </w:p>
    <w:p w14:paraId="6CD54CB6" w14:textId="4E06644F" w:rsidR="00F374AA" w:rsidRDefault="00131B52">
      <w:pPr>
        <w:pStyle w:val="ListBullet"/>
        <w:numPr>
          <w:ilvl w:val="0"/>
          <w:numId w:val="0"/>
        </w:numPr>
      </w:pPr>
      <w:r w:rsidRPr="005538E9">
        <w:t>A comparison of average unit costs to base funding ratio for all 19 fields in 2015, 2017</w:t>
      </w:r>
      <w:r w:rsidR="001D6E8D">
        <w:t xml:space="preserve">, </w:t>
      </w:r>
      <w:r w:rsidRPr="005538E9">
        <w:t>2018</w:t>
      </w:r>
      <w:r w:rsidR="001D6E8D">
        <w:t>, 2019,</w:t>
      </w:r>
      <w:r w:rsidRPr="005538E9">
        <w:t xml:space="preserve"> and </w:t>
      </w:r>
      <w:r w:rsidR="001D6E8D">
        <w:t>2020</w:t>
      </w:r>
      <w:r w:rsidRPr="005538E9">
        <w:t xml:space="preserve"> is included in </w:t>
      </w:r>
      <w:r w:rsidR="004A247D" w:rsidRPr="005538E9">
        <w:t xml:space="preserve">Appendix </w:t>
      </w:r>
      <w:r w:rsidR="001D6E8D">
        <w:t>D</w:t>
      </w:r>
      <w:r w:rsidR="004A247D" w:rsidRPr="005538E9">
        <w:t>.</w:t>
      </w:r>
    </w:p>
    <w:p w14:paraId="4DECDCA0" w14:textId="34E42F5C" w:rsidR="001548C2" w:rsidRPr="00BB165A" w:rsidRDefault="00D521C2" w:rsidP="00466770">
      <w:pPr>
        <w:pStyle w:val="Heading2"/>
      </w:pPr>
      <w:bookmarkStart w:id="482" w:name="_Toc20417343"/>
      <w:bookmarkStart w:id="483" w:name="_Toc20417344"/>
      <w:bookmarkStart w:id="484" w:name="_Toc20417345"/>
      <w:bookmarkStart w:id="485" w:name="_Toc20246011"/>
      <w:bookmarkStart w:id="486" w:name="_Ref23433694"/>
      <w:bookmarkStart w:id="487" w:name="_Toc105776190"/>
      <w:bookmarkEnd w:id="475"/>
      <w:bookmarkEnd w:id="476"/>
      <w:bookmarkEnd w:id="482"/>
      <w:bookmarkEnd w:id="483"/>
      <w:bookmarkEnd w:id="484"/>
      <w:r w:rsidRPr="00BB165A">
        <w:t>Comparing changes in cost over time</w:t>
      </w:r>
      <w:bookmarkEnd w:id="485"/>
      <w:bookmarkEnd w:id="486"/>
      <w:bookmarkEnd w:id="487"/>
    </w:p>
    <w:p w14:paraId="73B56E9E" w14:textId="19034E3D" w:rsidR="00F81EE8" w:rsidRPr="00BB165A" w:rsidRDefault="00F81EE8" w:rsidP="00F81EE8">
      <w:pPr>
        <w:pStyle w:val="Heading4un-numbered"/>
      </w:pPr>
      <w:r w:rsidRPr="00BB165A">
        <w:t>2018 common sample (32 universities)</w:t>
      </w:r>
    </w:p>
    <w:p w14:paraId="5E76194C" w14:textId="7EED0F5D" w:rsidR="00F81EE8" w:rsidRPr="00F81EE8" w:rsidRDefault="00DF4BDD" w:rsidP="00F81EE8">
      <w:r w:rsidRPr="00BB165A">
        <w:t>The average cost across all fields and levels of education in 2020 was $18,</w:t>
      </w:r>
      <w:r w:rsidR="004B2664" w:rsidRPr="00BB165A">
        <w:t>8</w:t>
      </w:r>
      <w:r w:rsidRPr="00BB165A">
        <w:t xml:space="preserve">00 which is </w:t>
      </w:r>
      <w:r w:rsidR="00352B3C" w:rsidRPr="00BB165A">
        <w:t>1.7% or around $3</w:t>
      </w:r>
      <w:r w:rsidR="00915D57">
        <w:t>0</w:t>
      </w:r>
      <w:r w:rsidR="004B0B32" w:rsidRPr="00BB165A">
        <w:t>0</w:t>
      </w:r>
      <w:r w:rsidR="00B74EC9" w:rsidRPr="00BB165A">
        <w:t xml:space="preserve"> higher than the average cost in 2018 (among the 32 universities that provided data for all years between 2018 and 2020).</w:t>
      </w:r>
    </w:p>
    <w:p w14:paraId="6FC8638E" w14:textId="5C598D6E" w:rsidR="00B74EC9" w:rsidRPr="00BB165A" w:rsidRDefault="00B74EC9" w:rsidP="00F81EE8">
      <w:r w:rsidRPr="00BB165A">
        <w:t xml:space="preserve">In the case of bachelor degree students, the average cost per EFTSL </w:t>
      </w:r>
      <w:r w:rsidR="00403D16" w:rsidRPr="00BB165A">
        <w:t xml:space="preserve">rose from </w:t>
      </w:r>
      <w:r w:rsidR="006B3322" w:rsidRPr="00BB165A">
        <w:t>$17,</w:t>
      </w:r>
      <w:r w:rsidR="00686068" w:rsidRPr="00BB165A">
        <w:t xml:space="preserve">600 </w:t>
      </w:r>
      <w:r w:rsidR="005479A0" w:rsidRPr="00BB165A">
        <w:t>to $</w:t>
      </w:r>
      <w:r w:rsidR="007B6E25" w:rsidRPr="00BB165A">
        <w:t>17,8</w:t>
      </w:r>
      <w:r w:rsidR="00686068" w:rsidRPr="00BB165A">
        <w:t>00</w:t>
      </w:r>
      <w:r w:rsidR="007B6E25" w:rsidRPr="00BB165A">
        <w:t>, a</w:t>
      </w:r>
      <w:r w:rsidR="00C34B14" w:rsidRPr="00BB165A">
        <w:t xml:space="preserve"> </w:t>
      </w:r>
      <w:r w:rsidR="00124E5D" w:rsidRPr="00BB165A">
        <w:t>1.</w:t>
      </w:r>
      <w:r w:rsidR="00E92521">
        <w:t>3</w:t>
      </w:r>
      <w:r w:rsidR="00C34B14" w:rsidRPr="00BB165A">
        <w:t xml:space="preserve">% increase for the common sample. </w:t>
      </w:r>
      <w:r w:rsidR="005479A0" w:rsidRPr="00BB165A">
        <w:t xml:space="preserve">All 22 fields experienced </w:t>
      </w:r>
      <w:r w:rsidR="001726B2" w:rsidRPr="00BB165A">
        <w:t xml:space="preserve">average annual </w:t>
      </w:r>
      <w:r w:rsidR="005479A0" w:rsidRPr="00BB165A">
        <w:t xml:space="preserve">growth </w:t>
      </w:r>
      <w:r w:rsidR="001726B2" w:rsidRPr="00BB165A">
        <w:t xml:space="preserve">of </w:t>
      </w:r>
      <w:r w:rsidR="00DC6918" w:rsidRPr="00BB165A">
        <w:t xml:space="preserve">less than </w:t>
      </w:r>
      <w:r w:rsidR="001726B2" w:rsidRPr="00BB165A">
        <w:t>3</w:t>
      </w:r>
      <w:r w:rsidR="00DC6918" w:rsidRPr="00BB165A">
        <w:t xml:space="preserve">%. </w:t>
      </w:r>
      <w:r w:rsidR="00826DFD" w:rsidRPr="00BB165A">
        <w:t>Overall,</w:t>
      </w:r>
      <w:r w:rsidR="00DC6918" w:rsidRPr="00BB165A">
        <w:t xml:space="preserve"> the largest </w:t>
      </w:r>
      <w:r w:rsidR="00B91DBD" w:rsidRPr="00BB165A">
        <w:t xml:space="preserve">unit cost changes in percentage terms were mostly in fields that were delivered at a relatively </w:t>
      </w:r>
      <w:r w:rsidR="00FB47F5" w:rsidRPr="00BB165A">
        <w:t>small scale and by only a few universities</w:t>
      </w:r>
      <w:r w:rsidR="00FB36A9" w:rsidRPr="00BB165A">
        <w:t xml:space="preserve"> such as</w:t>
      </w:r>
      <w:r w:rsidR="00FB47F5" w:rsidRPr="00BB165A">
        <w:t xml:space="preserve"> </w:t>
      </w:r>
      <w:r w:rsidR="008D2CEB" w:rsidRPr="00BB165A">
        <w:t xml:space="preserve">Food, Hospitality and Personal Services </w:t>
      </w:r>
      <w:r w:rsidR="00FB47F5" w:rsidRPr="00BB165A">
        <w:t>(</w:t>
      </w:r>
      <w:r w:rsidR="00FB36A9" w:rsidRPr="00BB165A">
        <w:t>31% annual decrease</w:t>
      </w:r>
      <w:r w:rsidR="00FB47F5" w:rsidRPr="00BB165A">
        <w:t>)</w:t>
      </w:r>
      <w:r w:rsidR="008D2CEB" w:rsidRPr="00BB165A">
        <w:t>.</w:t>
      </w:r>
    </w:p>
    <w:p w14:paraId="05C671C4" w14:textId="25A8944E" w:rsidR="00434B7A" w:rsidRDefault="000A6764" w:rsidP="00F81EE8">
      <w:r>
        <w:t>Across all levels of education</w:t>
      </w:r>
      <w:r w:rsidR="00262F15">
        <w:t>,</w:t>
      </w:r>
      <w:r w:rsidR="00FB47F5" w:rsidRPr="00BB165A">
        <w:t xml:space="preserve"> the largest </w:t>
      </w:r>
      <w:r w:rsidR="009036D0">
        <w:t>CAGRs</w:t>
      </w:r>
      <w:r w:rsidR="009036D0" w:rsidRPr="00BB165A">
        <w:t xml:space="preserve"> </w:t>
      </w:r>
      <w:r w:rsidR="00B66A90" w:rsidRPr="00BB165A">
        <w:t xml:space="preserve">were in </w:t>
      </w:r>
      <w:r w:rsidR="007D4268" w:rsidRPr="00BB165A">
        <w:t>Creative Arts Other</w:t>
      </w:r>
      <w:r w:rsidR="00C5617A" w:rsidRPr="00BB165A">
        <w:t xml:space="preserve"> (+</w:t>
      </w:r>
      <w:r w:rsidR="00905639">
        <w:t>3.5</w:t>
      </w:r>
      <w:r w:rsidR="00EB1E2B">
        <w:t>%</w:t>
      </w:r>
      <w:r w:rsidR="00D72B51">
        <w:t xml:space="preserve">) </w:t>
      </w:r>
      <w:r w:rsidR="00CF78C0" w:rsidRPr="00BB165A">
        <w:t>and</w:t>
      </w:r>
      <w:r w:rsidR="00516A6A" w:rsidRPr="00BB165A">
        <w:t xml:space="preserve"> Environmental</w:t>
      </w:r>
      <w:r w:rsidR="003F3D82" w:rsidRPr="00BB165A">
        <w:t xml:space="preserve"> Studies</w:t>
      </w:r>
      <w:r w:rsidR="00D913D6" w:rsidRPr="00BB165A">
        <w:t xml:space="preserve"> (-4.</w:t>
      </w:r>
      <w:r w:rsidR="00EB1E2B">
        <w:t>4</w:t>
      </w:r>
      <w:r w:rsidR="00D913D6" w:rsidRPr="00BB165A">
        <w:t>%)</w:t>
      </w:r>
      <w:r w:rsidR="00806F13" w:rsidRPr="00BB165A">
        <w:t xml:space="preserve">. </w:t>
      </w:r>
      <w:r w:rsidR="00D913D6" w:rsidRPr="00BB165A">
        <w:t>There was a significant decline</w:t>
      </w:r>
      <w:r w:rsidR="002230CE" w:rsidRPr="00BB165A">
        <w:t xml:space="preserve"> in bachelor EFTSL in </w:t>
      </w:r>
      <w:r w:rsidR="00CE19ED">
        <w:t xml:space="preserve">the </w:t>
      </w:r>
      <w:r w:rsidR="002230CE" w:rsidRPr="00BB165A">
        <w:t>Creative Arts Other field of education</w:t>
      </w:r>
      <w:r w:rsidR="00CE19ED">
        <w:t>, while the decline in costs f</w:t>
      </w:r>
      <w:r w:rsidR="00DA3169" w:rsidRPr="00BB165A">
        <w:t xml:space="preserve">or Environmental </w:t>
      </w:r>
      <w:r w:rsidR="003F3D82" w:rsidRPr="00BB165A">
        <w:t>S</w:t>
      </w:r>
      <w:r w:rsidR="00DA3169" w:rsidRPr="00BB165A">
        <w:t xml:space="preserve">tudies </w:t>
      </w:r>
      <w:r w:rsidR="00CE19ED">
        <w:t xml:space="preserve">was </w:t>
      </w:r>
      <w:r w:rsidR="00DA3169" w:rsidRPr="00BB165A">
        <w:t>due to a small group of universities experiencing large declines in cost per EFSTL</w:t>
      </w:r>
      <w:r w:rsidR="003F3D82" w:rsidRPr="00BB165A">
        <w:t>.</w:t>
      </w:r>
      <w:r w:rsidR="003F3D82">
        <w:t xml:space="preserve"> </w:t>
      </w:r>
    </w:p>
    <w:p w14:paraId="118805B0" w14:textId="6CDF0C51" w:rsidR="00863F40" w:rsidRDefault="00B82EFB" w:rsidP="00B82EFB">
      <w:pPr>
        <w:pStyle w:val="CaptionChart"/>
      </w:pPr>
      <w:bookmarkStart w:id="488" w:name="_Toc105776369"/>
      <w:r>
        <w:t xml:space="preserve">: </w:t>
      </w:r>
      <w:r w:rsidRPr="00B82EFB">
        <w:t>Comparing average costs between 201</w:t>
      </w:r>
      <w:r>
        <w:t>8</w:t>
      </w:r>
      <w:r w:rsidRPr="00B82EFB">
        <w:t xml:space="preserve"> and 2020 for all levels of study (201</w:t>
      </w:r>
      <w:r>
        <w:t>8</w:t>
      </w:r>
      <w:r w:rsidRPr="00B82EFB">
        <w:t xml:space="preserve"> common sample (</w:t>
      </w:r>
      <w:r>
        <w:t>32</w:t>
      </w:r>
      <w:r w:rsidRPr="00B82EFB">
        <w:t xml:space="preserve"> universities)), CAGR</w:t>
      </w:r>
      <w:bookmarkEnd w:id="488"/>
    </w:p>
    <w:p w14:paraId="5856A7C6" w14:textId="6E871726" w:rsidR="00600EB1" w:rsidRPr="00F81EE8" w:rsidRDefault="00600EB1" w:rsidP="00F81EE8">
      <w:r>
        <w:rPr>
          <w:noProof/>
        </w:rPr>
        <w:drawing>
          <wp:inline distT="0" distB="0" distL="0" distR="0" wp14:anchorId="4F8FEE36" wp14:editId="6EA09D64">
            <wp:extent cx="4398162" cy="3213226"/>
            <wp:effectExtent l="0" t="0" r="2540" b="6350"/>
            <wp:docPr id="597878529" name="Chart 597878529" descr="Chart compares average cost growth from 2018 to 2020 for all levels of study (2018 common sample (32 universities)). Ranges from -4.4 per cent for environmental studies to +3.5 per cent for Creative Arts - Other. Columns indicate the percentage change.">
              <a:extLst xmlns:a="http://schemas.openxmlformats.org/drawingml/2006/main">
                <a:ext uri="{FF2B5EF4-FFF2-40B4-BE49-F238E27FC236}">
                  <a16:creationId xmlns:a16="http://schemas.microsoft.com/office/drawing/2014/main" id="{E0B1CE32-F5E7-43C6-A1B9-363CA99DE7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04F890C" w14:textId="2C65B7E7" w:rsidR="00B82EFB" w:rsidRDefault="00B82EFB" w:rsidP="00B82EFB">
      <w:pPr>
        <w:pStyle w:val="Source"/>
        <w:spacing w:before="0"/>
      </w:pPr>
      <w:r w:rsidRPr="00BB165A">
        <w:t>Note: chart excludes growth in costs for Food, Hospitality and Personal Services (-31% CAGR)</w:t>
      </w:r>
      <w:r>
        <w:t>.</w:t>
      </w:r>
    </w:p>
    <w:p w14:paraId="69E38557" w14:textId="1B78BBD5" w:rsidR="00760D72" w:rsidRPr="00760D72" w:rsidRDefault="003A6263" w:rsidP="00760D72">
      <w:r>
        <w:fldChar w:fldCharType="begin"/>
      </w:r>
      <w:r>
        <w:instrText xml:space="preserve"> REF _Ref105568337 \r \h </w:instrText>
      </w:r>
      <w:r>
        <w:fldChar w:fldCharType="separate"/>
      </w:r>
      <w:r w:rsidR="003C0A34">
        <w:t>Chart 2.21</w:t>
      </w:r>
      <w:r>
        <w:fldChar w:fldCharType="end"/>
      </w:r>
      <w:r>
        <w:t xml:space="preserve">, </w:t>
      </w:r>
      <w:r>
        <w:fldChar w:fldCharType="begin"/>
      </w:r>
      <w:r>
        <w:instrText xml:space="preserve"> REF _Ref105568367 \r \h </w:instrText>
      </w:r>
      <w:r>
        <w:fldChar w:fldCharType="separate"/>
      </w:r>
      <w:r w:rsidR="003C0A34">
        <w:t>Chart 2.22</w:t>
      </w:r>
      <w:r>
        <w:fldChar w:fldCharType="end"/>
      </w:r>
      <w:r>
        <w:t xml:space="preserve"> and </w:t>
      </w:r>
      <w:r>
        <w:fldChar w:fldCharType="begin"/>
      </w:r>
      <w:r>
        <w:instrText xml:space="preserve"> REF _Ref105568415 \r \h </w:instrText>
      </w:r>
      <w:r>
        <w:fldChar w:fldCharType="separate"/>
      </w:r>
      <w:r w:rsidR="003C0A34">
        <w:t>Chart 2.23</w:t>
      </w:r>
      <w:r>
        <w:fldChar w:fldCharType="end"/>
      </w:r>
      <w:r>
        <w:t xml:space="preserve"> </w:t>
      </w:r>
      <w:r w:rsidR="00760D72" w:rsidRPr="00BB165A">
        <w:t>describe the changes in averages and distribution of average unit costs across each field and level of education, among universities that provided data for all years between 2018 and 2020 (i.e. common to all studies). In general, the mean and ranges of dispersion at a FOE level are relatively similar across years</w:t>
      </w:r>
      <w:r w:rsidR="002E65F4">
        <w:t xml:space="preserve"> while o</w:t>
      </w:r>
      <w:r w:rsidR="00B35300">
        <w:t>verall bachelor level degrees tend to have less</w:t>
      </w:r>
      <w:r w:rsidR="00901F63">
        <w:t xml:space="preserve"> variability compared to other levels of study. </w:t>
      </w:r>
    </w:p>
    <w:p w14:paraId="4DC6CB67" w14:textId="77777777" w:rsidR="00995055" w:rsidRDefault="00995055" w:rsidP="00995055"/>
    <w:p w14:paraId="66E92C86" w14:textId="77777777" w:rsidR="00995055" w:rsidRDefault="00995055" w:rsidP="00995055">
      <w:pPr>
        <w:pStyle w:val="CaptionChart"/>
        <w:sectPr w:rsidR="00995055" w:rsidSect="00995055">
          <w:pgSz w:w="11906" w:h="16838" w:code="9"/>
          <w:pgMar w:top="1985" w:right="1418" w:bottom="1134" w:left="1418" w:header="680" w:footer="425" w:gutter="0"/>
          <w:cols w:space="284"/>
          <w:docGrid w:linePitch="360"/>
        </w:sectPr>
      </w:pPr>
    </w:p>
    <w:p w14:paraId="00580D5C" w14:textId="7DD84146" w:rsidR="00995055" w:rsidRPr="00BB165A" w:rsidRDefault="00995055" w:rsidP="00DF1A7B">
      <w:pPr>
        <w:pStyle w:val="CaptionChart"/>
      </w:pPr>
      <w:bookmarkStart w:id="489" w:name="_Ref105568337"/>
      <w:bookmarkStart w:id="490" w:name="_Toc105776370"/>
      <w:r w:rsidRPr="00BB165A">
        <w:t>: Comparing costs between 2018 and 2020 for sub-bachelor (2018 common sample (32 universities))</w:t>
      </w:r>
      <w:bookmarkEnd w:id="489"/>
      <w:bookmarkEnd w:id="490"/>
    </w:p>
    <w:p w14:paraId="3216763B" w14:textId="02A6210E" w:rsidR="009A5FDA" w:rsidRPr="00BB165A" w:rsidRDefault="00283886" w:rsidP="00995055">
      <w:r>
        <w:rPr>
          <w:noProof/>
        </w:rPr>
        <w:drawing>
          <wp:inline distT="0" distB="0" distL="0" distR="0" wp14:anchorId="3A4EC66A" wp14:editId="48AC202E">
            <wp:extent cx="9201600" cy="4680000"/>
            <wp:effectExtent l="0" t="0" r="0" b="6350"/>
            <wp:docPr id="597878531" name="Chart 597878531" descr="Chart comparing costs between 2018 and 2020 for sub-bachelor (2018 common sample (32 universities)). Shows the costs for 2018, 2019 and 2020 by field of education. Means are displayed as points, range as a line.">
              <a:extLst xmlns:a="http://schemas.openxmlformats.org/drawingml/2006/main">
                <a:ext uri="{FF2B5EF4-FFF2-40B4-BE49-F238E27FC236}">
                  <a16:creationId xmlns:a16="http://schemas.microsoft.com/office/drawing/2014/main" id="{FD08D471-CE5D-46F0-9F34-4015C61F6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7FE8241" w14:textId="77777777" w:rsidR="00995055" w:rsidRPr="00BB165A" w:rsidRDefault="00995055" w:rsidP="00995055"/>
    <w:p w14:paraId="25353BB7" w14:textId="4FF528F9" w:rsidR="00995055" w:rsidRPr="00BB165A" w:rsidRDefault="00CA7A43" w:rsidP="005B4A1F">
      <w:pPr>
        <w:pStyle w:val="CaptionChart"/>
      </w:pPr>
      <w:bookmarkStart w:id="491" w:name="_Ref105568367"/>
      <w:bookmarkStart w:id="492" w:name="_Toc105776371"/>
      <w:r w:rsidRPr="00BB165A">
        <w:t>: Comparing costs between 2018 and 2020 for bachelor (2018 common sample (32 universities))</w:t>
      </w:r>
      <w:bookmarkEnd w:id="491"/>
      <w:bookmarkEnd w:id="492"/>
    </w:p>
    <w:p w14:paraId="64DBB052" w14:textId="1386E770" w:rsidR="005D272D" w:rsidRPr="00BB165A" w:rsidRDefault="00427E6C" w:rsidP="00995055">
      <w:r>
        <w:rPr>
          <w:noProof/>
        </w:rPr>
        <w:drawing>
          <wp:inline distT="0" distB="0" distL="0" distR="0" wp14:anchorId="045D2A50" wp14:editId="5E17EA4A">
            <wp:extent cx="9201600" cy="4680000"/>
            <wp:effectExtent l="0" t="0" r="0" b="6350"/>
            <wp:docPr id="597878533" name="Chart 597878533" descr="Chart comparing costs between 2018 and 2020 bachelor (2018 common sample (32 universities)). Shows the costs for 2018, 2019 and 2020 by field of education. Means are displayed as points, range as a line.">
              <a:extLst xmlns:a="http://schemas.openxmlformats.org/drawingml/2006/main">
                <a:ext uri="{FF2B5EF4-FFF2-40B4-BE49-F238E27FC236}">
                  <a16:creationId xmlns:a16="http://schemas.microsoft.com/office/drawing/2014/main" id="{706141D6-C696-4189-A32B-C26F12F1A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E573564" w14:textId="119B18A1" w:rsidR="00567C9E" w:rsidRDefault="00567C9E">
      <w:pPr>
        <w:spacing w:after="0"/>
      </w:pPr>
      <w:r>
        <w:br w:type="page"/>
      </w:r>
    </w:p>
    <w:p w14:paraId="7BB44D7C" w14:textId="022FD7EA" w:rsidR="00CA7A43" w:rsidRPr="00BB165A" w:rsidRDefault="009B68F2" w:rsidP="009B68F2">
      <w:pPr>
        <w:pStyle w:val="CaptionChart"/>
      </w:pPr>
      <w:bookmarkStart w:id="493" w:name="_Toc105753207"/>
      <w:bookmarkStart w:id="494" w:name="_Toc105753265"/>
      <w:bookmarkStart w:id="495" w:name="_Toc105773968"/>
      <w:bookmarkStart w:id="496" w:name="_Toc105776247"/>
      <w:bookmarkStart w:id="497" w:name="_Toc105776309"/>
      <w:bookmarkStart w:id="498" w:name="_Toc105776372"/>
      <w:bookmarkStart w:id="499" w:name="_Ref105568415"/>
      <w:bookmarkStart w:id="500" w:name="_Toc105776373"/>
      <w:bookmarkEnd w:id="493"/>
      <w:bookmarkEnd w:id="494"/>
      <w:bookmarkEnd w:id="495"/>
      <w:bookmarkEnd w:id="496"/>
      <w:bookmarkEnd w:id="497"/>
      <w:bookmarkEnd w:id="498"/>
      <w:r w:rsidRPr="00BB165A">
        <w:t>: Comparing costs between 2018 and 2020 for postgraduate (2018 common sample (32 universities))</w:t>
      </w:r>
      <w:bookmarkEnd w:id="499"/>
      <w:bookmarkEnd w:id="500"/>
    </w:p>
    <w:p w14:paraId="6F762B8D" w14:textId="71D8D88C" w:rsidR="00CA7A43" w:rsidRDefault="00AC6AC1" w:rsidP="00416131">
      <w:r>
        <w:rPr>
          <w:noProof/>
        </w:rPr>
        <w:drawing>
          <wp:inline distT="0" distB="0" distL="0" distR="0" wp14:anchorId="26F863B4" wp14:editId="333546E4">
            <wp:extent cx="9201600" cy="4680000"/>
            <wp:effectExtent l="0" t="0" r="0" b="0"/>
            <wp:docPr id="597878530" name="Chart 597878530" descr="Chart comparing costs between 2018 and 2020 postgraduate (2018 common sample (32 universities)). Shows the costs for 2018, 2019 and 2020 by field of education. Means are displayed as points, range as a line.">
              <a:extLst xmlns:a="http://schemas.openxmlformats.org/drawingml/2006/main">
                <a:ext uri="{FF2B5EF4-FFF2-40B4-BE49-F238E27FC236}">
                  <a16:creationId xmlns:a16="http://schemas.microsoft.com/office/drawing/2014/main" id="{5E66FA8C-AA55-40EB-BC24-1D4DA9E0F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4CECA61" w14:textId="75858E26" w:rsidR="00CA7A43" w:rsidRPr="00995055" w:rsidRDefault="00DE3D1F" w:rsidP="00DE3D1F">
      <w:pPr>
        <w:tabs>
          <w:tab w:val="left" w:pos="810"/>
        </w:tabs>
        <w:sectPr w:rsidR="00CA7A43" w:rsidRPr="00995055" w:rsidSect="00995055">
          <w:pgSz w:w="16838" w:h="11906" w:orient="landscape" w:code="9"/>
          <w:pgMar w:top="1418" w:right="1985" w:bottom="1418" w:left="1134" w:header="680" w:footer="425" w:gutter="0"/>
          <w:cols w:space="284"/>
          <w:docGrid w:linePitch="360"/>
        </w:sectPr>
      </w:pPr>
      <w:r>
        <w:tab/>
      </w:r>
    </w:p>
    <w:p w14:paraId="12D8BF5E" w14:textId="77777777" w:rsidR="00DB7C55" w:rsidRPr="00BB165A" w:rsidRDefault="00DB7C55" w:rsidP="00DB7C55">
      <w:pPr>
        <w:pStyle w:val="Heading4un-numbered"/>
      </w:pPr>
      <w:r w:rsidRPr="00BB165A">
        <w:t>2017 common sample (25 universities)</w:t>
      </w:r>
    </w:p>
    <w:p w14:paraId="20323970" w14:textId="20002A50" w:rsidR="00700937" w:rsidRPr="00BB165A" w:rsidRDefault="00C463AA" w:rsidP="004F307D">
      <w:pPr>
        <w:rPr>
          <w:color w:val="000000" w:themeColor="text1"/>
        </w:rPr>
      </w:pPr>
      <w:r w:rsidRPr="00BB165A">
        <w:rPr>
          <w:color w:val="000000" w:themeColor="text1"/>
        </w:rPr>
        <w:t xml:space="preserve">The average cost across all fields and levels of education in </w:t>
      </w:r>
      <w:r w:rsidR="00DC19FC" w:rsidRPr="00BB165A">
        <w:rPr>
          <w:color w:val="000000" w:themeColor="text1"/>
        </w:rPr>
        <w:t>2020</w:t>
      </w:r>
      <w:r w:rsidRPr="00BB165A">
        <w:rPr>
          <w:color w:val="000000" w:themeColor="text1"/>
        </w:rPr>
        <w:t xml:space="preserve"> was $18,</w:t>
      </w:r>
      <w:r w:rsidR="008A383B" w:rsidRPr="00BB165A">
        <w:rPr>
          <w:color w:val="000000" w:themeColor="text1"/>
        </w:rPr>
        <w:t>7</w:t>
      </w:r>
      <w:r w:rsidR="00C80477" w:rsidRPr="00BB165A">
        <w:rPr>
          <w:color w:val="000000" w:themeColor="text1"/>
        </w:rPr>
        <w:t>00</w:t>
      </w:r>
      <w:r w:rsidR="00DB7C55" w:rsidRPr="00BB165A">
        <w:rPr>
          <w:color w:val="000000" w:themeColor="text1"/>
        </w:rPr>
        <w:t>,</w:t>
      </w:r>
      <w:r w:rsidRPr="00BB165A">
        <w:rPr>
          <w:color w:val="000000" w:themeColor="text1"/>
        </w:rPr>
        <w:t xml:space="preserve"> which is </w:t>
      </w:r>
      <w:r w:rsidR="00BF140F" w:rsidRPr="00BB165A">
        <w:rPr>
          <w:color w:val="000000" w:themeColor="text1"/>
        </w:rPr>
        <w:t>1</w:t>
      </w:r>
      <w:r w:rsidR="00C80477" w:rsidRPr="00BB165A">
        <w:rPr>
          <w:color w:val="000000" w:themeColor="text1"/>
        </w:rPr>
        <w:t>.</w:t>
      </w:r>
      <w:r w:rsidR="00FC7167">
        <w:rPr>
          <w:color w:val="000000" w:themeColor="text1"/>
        </w:rPr>
        <w:t>8</w:t>
      </w:r>
      <w:r w:rsidRPr="00BB165A">
        <w:rPr>
          <w:color w:val="000000" w:themeColor="text1"/>
        </w:rPr>
        <w:t>% or around $</w:t>
      </w:r>
      <w:r w:rsidR="00FB4F82" w:rsidRPr="00BB165A">
        <w:rPr>
          <w:color w:val="000000" w:themeColor="text1"/>
        </w:rPr>
        <w:t>3</w:t>
      </w:r>
      <w:r w:rsidR="00D23736">
        <w:rPr>
          <w:color w:val="000000" w:themeColor="text1"/>
        </w:rPr>
        <w:t>00</w:t>
      </w:r>
      <w:r w:rsidR="000811A9" w:rsidRPr="00BB165A">
        <w:rPr>
          <w:color w:val="000000" w:themeColor="text1"/>
        </w:rPr>
        <w:t xml:space="preserve"> </w:t>
      </w:r>
      <w:r w:rsidRPr="00BB165A">
        <w:rPr>
          <w:color w:val="000000" w:themeColor="text1"/>
        </w:rPr>
        <w:t>higher than the average cost in 201</w:t>
      </w:r>
      <w:r w:rsidR="00DB7C55" w:rsidRPr="00BB165A">
        <w:rPr>
          <w:color w:val="000000" w:themeColor="text1"/>
        </w:rPr>
        <w:t xml:space="preserve">7 (among the 25 universities that provided data for </w:t>
      </w:r>
      <w:r w:rsidR="00DC19FC" w:rsidRPr="00BB165A">
        <w:rPr>
          <w:color w:val="000000" w:themeColor="text1"/>
        </w:rPr>
        <w:t>all years between 2017 and 2020</w:t>
      </w:r>
      <w:r w:rsidR="00A67626" w:rsidRPr="00BB165A">
        <w:rPr>
          <w:color w:val="000000" w:themeColor="text1"/>
        </w:rPr>
        <w:t>)</w:t>
      </w:r>
      <w:r w:rsidRPr="00BB165A">
        <w:rPr>
          <w:color w:val="000000" w:themeColor="text1"/>
        </w:rPr>
        <w:t xml:space="preserve">. </w:t>
      </w:r>
    </w:p>
    <w:p w14:paraId="0BE7DDF3" w14:textId="41640B44" w:rsidR="0045415D" w:rsidRPr="00BB165A" w:rsidRDefault="00700937" w:rsidP="00AE55C9">
      <w:pPr>
        <w:rPr>
          <w:color w:val="000000" w:themeColor="text1"/>
        </w:rPr>
      </w:pPr>
      <w:r w:rsidRPr="00BB165A">
        <w:rPr>
          <w:color w:val="000000" w:themeColor="text1"/>
        </w:rPr>
        <w:t>In the case of bachelor degree students, the average cost per EFTSL rose from $1</w:t>
      </w:r>
      <w:r w:rsidR="004B4ED0" w:rsidRPr="00BB165A">
        <w:rPr>
          <w:color w:val="000000" w:themeColor="text1"/>
        </w:rPr>
        <w:t xml:space="preserve">7,300 in 2017 </w:t>
      </w:r>
      <w:r w:rsidRPr="00BB165A">
        <w:rPr>
          <w:color w:val="000000" w:themeColor="text1"/>
        </w:rPr>
        <w:t>to $1</w:t>
      </w:r>
      <w:r w:rsidR="004B4ED0" w:rsidRPr="00BB165A">
        <w:rPr>
          <w:color w:val="000000" w:themeColor="text1"/>
        </w:rPr>
        <w:t>7,</w:t>
      </w:r>
      <w:r w:rsidR="009D5678">
        <w:rPr>
          <w:color w:val="000000" w:themeColor="text1"/>
        </w:rPr>
        <w:t>7</w:t>
      </w:r>
      <w:r w:rsidR="004B4ED0" w:rsidRPr="00BB165A">
        <w:rPr>
          <w:color w:val="000000" w:themeColor="text1"/>
        </w:rPr>
        <w:t>00</w:t>
      </w:r>
      <w:r w:rsidR="003879BC" w:rsidRPr="00BB165A">
        <w:rPr>
          <w:color w:val="000000" w:themeColor="text1"/>
        </w:rPr>
        <w:t xml:space="preserve"> </w:t>
      </w:r>
      <w:r w:rsidR="004B4ED0" w:rsidRPr="00BB165A">
        <w:rPr>
          <w:color w:val="000000" w:themeColor="text1"/>
        </w:rPr>
        <w:t xml:space="preserve">in </w:t>
      </w:r>
      <w:r w:rsidR="00E72947" w:rsidRPr="00BB165A">
        <w:rPr>
          <w:color w:val="000000" w:themeColor="text1"/>
        </w:rPr>
        <w:t>2020</w:t>
      </w:r>
      <w:r w:rsidRPr="00BB165A">
        <w:rPr>
          <w:color w:val="000000" w:themeColor="text1"/>
        </w:rPr>
        <w:t xml:space="preserve">, a </w:t>
      </w:r>
      <w:r w:rsidR="003B28F3" w:rsidRPr="00BB165A">
        <w:rPr>
          <w:color w:val="000000" w:themeColor="text1"/>
        </w:rPr>
        <w:t xml:space="preserve">CAGR of </w:t>
      </w:r>
      <w:r w:rsidR="00BD7C70" w:rsidRPr="00BB165A">
        <w:rPr>
          <w:color w:val="000000" w:themeColor="text1"/>
        </w:rPr>
        <w:t>0.8</w:t>
      </w:r>
      <w:r w:rsidR="004B4ED0" w:rsidRPr="00BB165A">
        <w:rPr>
          <w:color w:val="000000" w:themeColor="text1"/>
        </w:rPr>
        <w:t>%</w:t>
      </w:r>
      <w:r w:rsidRPr="00BB165A">
        <w:rPr>
          <w:color w:val="000000" w:themeColor="text1"/>
        </w:rPr>
        <w:t xml:space="preserve"> </w:t>
      </w:r>
      <w:r w:rsidR="009B2718" w:rsidRPr="00BB165A">
        <w:rPr>
          <w:color w:val="000000" w:themeColor="text1"/>
        </w:rPr>
        <w:t>for the common sample</w:t>
      </w:r>
      <w:r w:rsidRPr="00BB165A">
        <w:rPr>
          <w:color w:val="000000" w:themeColor="text1"/>
        </w:rPr>
        <w:t>.</w:t>
      </w:r>
      <w:r w:rsidR="004B4ED0" w:rsidRPr="00BB165A">
        <w:rPr>
          <w:color w:val="000000" w:themeColor="text1"/>
        </w:rPr>
        <w:t xml:space="preserve"> </w:t>
      </w:r>
    </w:p>
    <w:p w14:paraId="26F15067" w14:textId="3030915A" w:rsidR="00C714D8" w:rsidRPr="00BB165A" w:rsidRDefault="009E5569" w:rsidP="00AE55C9">
      <w:pPr>
        <w:rPr>
          <w:color w:val="000000" w:themeColor="text1"/>
        </w:rPr>
      </w:pPr>
      <w:r>
        <w:rPr>
          <w:color w:val="000000" w:themeColor="text1"/>
        </w:rPr>
        <w:t xml:space="preserve">Across all levels </w:t>
      </w:r>
      <w:r w:rsidR="003C118E">
        <w:rPr>
          <w:color w:val="000000" w:themeColor="text1"/>
        </w:rPr>
        <w:t>of education, a</w:t>
      </w:r>
      <w:r w:rsidR="00BD3329" w:rsidRPr="00BB165A">
        <w:rPr>
          <w:color w:val="000000" w:themeColor="text1"/>
        </w:rPr>
        <w:t xml:space="preserve"> total of 1</w:t>
      </w:r>
      <w:r w:rsidR="0073680E">
        <w:rPr>
          <w:color w:val="000000" w:themeColor="text1"/>
        </w:rPr>
        <w:t>4</w:t>
      </w:r>
      <w:r w:rsidR="00BD3329" w:rsidRPr="00BB165A">
        <w:rPr>
          <w:color w:val="000000" w:themeColor="text1"/>
        </w:rPr>
        <w:t xml:space="preserve"> out of 22 FOEs saw </w:t>
      </w:r>
      <w:r w:rsidR="00FF6142" w:rsidRPr="00BB165A">
        <w:rPr>
          <w:color w:val="000000" w:themeColor="text1"/>
        </w:rPr>
        <w:t>average</w:t>
      </w:r>
      <w:r w:rsidR="00845356" w:rsidRPr="00BB165A">
        <w:rPr>
          <w:color w:val="000000" w:themeColor="text1"/>
        </w:rPr>
        <w:t xml:space="preserve"> </w:t>
      </w:r>
      <w:r w:rsidR="007D1A21" w:rsidRPr="00BB165A">
        <w:rPr>
          <w:color w:val="000000" w:themeColor="text1"/>
        </w:rPr>
        <w:t xml:space="preserve">annual </w:t>
      </w:r>
      <w:r w:rsidR="00845356" w:rsidRPr="00BB165A">
        <w:rPr>
          <w:color w:val="000000" w:themeColor="text1"/>
        </w:rPr>
        <w:t xml:space="preserve">cost growth </w:t>
      </w:r>
      <w:r w:rsidR="004B4ED0" w:rsidRPr="00BB165A">
        <w:rPr>
          <w:color w:val="000000" w:themeColor="text1"/>
        </w:rPr>
        <w:t xml:space="preserve">of </w:t>
      </w:r>
      <w:r w:rsidR="00E9769A" w:rsidRPr="00BB165A">
        <w:rPr>
          <w:color w:val="000000" w:themeColor="text1"/>
        </w:rPr>
        <w:t xml:space="preserve">between </w:t>
      </w:r>
      <w:r w:rsidR="007F6E80" w:rsidRPr="00BB165A">
        <w:rPr>
          <w:color w:val="000000" w:themeColor="text1"/>
        </w:rPr>
        <w:t>-2</w:t>
      </w:r>
      <w:r w:rsidR="00A9162B">
        <w:rPr>
          <w:color w:val="000000" w:themeColor="text1"/>
        </w:rPr>
        <w:t>%</w:t>
      </w:r>
      <w:r w:rsidR="007F6E80" w:rsidRPr="00BB165A">
        <w:rPr>
          <w:color w:val="000000" w:themeColor="text1"/>
        </w:rPr>
        <w:t xml:space="preserve"> and 2%. </w:t>
      </w:r>
      <w:r w:rsidR="00AB2BB3" w:rsidRPr="00BB165A">
        <w:rPr>
          <w:color w:val="000000" w:themeColor="text1"/>
        </w:rPr>
        <w:t>T</w:t>
      </w:r>
      <w:r w:rsidR="004B4ED0" w:rsidRPr="00BB165A">
        <w:rPr>
          <w:color w:val="000000" w:themeColor="text1"/>
        </w:rPr>
        <w:t xml:space="preserve">he largest unit cost </w:t>
      </w:r>
      <w:r w:rsidR="00022716" w:rsidRPr="00BB165A">
        <w:rPr>
          <w:color w:val="000000" w:themeColor="text1"/>
        </w:rPr>
        <w:t xml:space="preserve">changes </w:t>
      </w:r>
      <w:r w:rsidR="004B4ED0" w:rsidRPr="00BB165A">
        <w:rPr>
          <w:color w:val="000000" w:themeColor="text1"/>
        </w:rPr>
        <w:t xml:space="preserve">in percentage terms were mostly in fields </w:t>
      </w:r>
      <w:r w:rsidR="00F4540B" w:rsidRPr="00BB165A">
        <w:rPr>
          <w:color w:val="000000" w:themeColor="text1"/>
        </w:rPr>
        <w:t>that were delivered at a relatively small scale and by only a few universities (including Mixed Field Programmes</w:t>
      </w:r>
      <w:r w:rsidR="004172A3" w:rsidRPr="00BB165A">
        <w:rPr>
          <w:color w:val="000000" w:themeColor="text1"/>
        </w:rPr>
        <w:t xml:space="preserve"> (</w:t>
      </w:r>
      <w:r w:rsidR="001D187F">
        <w:rPr>
          <w:color w:val="000000" w:themeColor="text1"/>
        </w:rPr>
        <w:t>15.</w:t>
      </w:r>
      <w:r w:rsidR="00AB3D5D">
        <w:rPr>
          <w:color w:val="000000" w:themeColor="text1"/>
        </w:rPr>
        <w:t xml:space="preserve">3% </w:t>
      </w:r>
      <w:r w:rsidR="004172A3" w:rsidRPr="00BB165A">
        <w:rPr>
          <w:color w:val="000000" w:themeColor="text1"/>
        </w:rPr>
        <w:t xml:space="preserve">annual </w:t>
      </w:r>
      <w:r w:rsidR="00AB3D5D">
        <w:rPr>
          <w:color w:val="000000" w:themeColor="text1"/>
        </w:rPr>
        <w:t>decrease</w:t>
      </w:r>
      <w:r w:rsidR="004172A3" w:rsidRPr="00BB165A">
        <w:rPr>
          <w:color w:val="000000" w:themeColor="text1"/>
        </w:rPr>
        <w:t>) and</w:t>
      </w:r>
      <w:r w:rsidR="00F4540B" w:rsidRPr="00BB165A">
        <w:rPr>
          <w:color w:val="000000" w:themeColor="text1"/>
        </w:rPr>
        <w:t xml:space="preserve"> Food, Hospitality and Personal Services</w:t>
      </w:r>
      <w:r w:rsidR="004172A3" w:rsidRPr="00BB165A">
        <w:rPr>
          <w:color w:val="000000" w:themeColor="text1"/>
        </w:rPr>
        <w:t xml:space="preserve"> (</w:t>
      </w:r>
      <w:r w:rsidR="00AB3D5D">
        <w:rPr>
          <w:color w:val="000000" w:themeColor="text1"/>
        </w:rPr>
        <w:t>16.9</w:t>
      </w:r>
      <w:r w:rsidR="004172A3" w:rsidRPr="00BB165A">
        <w:rPr>
          <w:color w:val="000000" w:themeColor="text1"/>
        </w:rPr>
        <w:t>% annual decrease))</w:t>
      </w:r>
      <w:r w:rsidR="00C714D8" w:rsidRPr="00BB165A">
        <w:rPr>
          <w:color w:val="000000" w:themeColor="text1"/>
        </w:rPr>
        <w:t xml:space="preserve">. </w:t>
      </w:r>
    </w:p>
    <w:p w14:paraId="41D251AF" w14:textId="49248CDE" w:rsidR="00FD512C" w:rsidRPr="00BB165A" w:rsidRDefault="003C118E" w:rsidP="00AE55C9">
      <w:r>
        <w:t>T</w:t>
      </w:r>
      <w:r w:rsidR="00A23D4D" w:rsidRPr="00BB165A">
        <w:t xml:space="preserve">he largest </w:t>
      </w:r>
      <w:r w:rsidR="00453508" w:rsidRPr="00BB165A">
        <w:t>increase</w:t>
      </w:r>
      <w:r w:rsidR="00A10C88" w:rsidRPr="00BB165A">
        <w:t xml:space="preserve"> in average annual cost</w:t>
      </w:r>
      <w:r w:rsidR="00345CCB" w:rsidRPr="00BB165A">
        <w:t>s</w:t>
      </w:r>
      <w:r w:rsidR="00A10C88" w:rsidRPr="00BB165A">
        <w:t xml:space="preserve"> per EFTSL</w:t>
      </w:r>
      <w:r w:rsidR="00A23D4D" w:rsidRPr="00BB165A">
        <w:t xml:space="preserve"> were in </w:t>
      </w:r>
      <w:r w:rsidR="008E37F5">
        <w:t>Medical Sciences (</w:t>
      </w:r>
      <w:r w:rsidR="00C3008A">
        <w:t>4.0</w:t>
      </w:r>
      <w:r w:rsidR="00F26A16">
        <w:t>%</w:t>
      </w:r>
      <w:r w:rsidR="008E37F5">
        <w:t>) and</w:t>
      </w:r>
      <w:r w:rsidR="00DD3814">
        <w:t xml:space="preserve"> </w:t>
      </w:r>
      <w:r w:rsidR="00F26A16">
        <w:t xml:space="preserve">Communication and </w:t>
      </w:r>
      <w:r w:rsidR="00867D3B">
        <w:t>M</w:t>
      </w:r>
      <w:r w:rsidR="00F26A16">
        <w:t>edia</w:t>
      </w:r>
      <w:r w:rsidR="00C02041">
        <w:t xml:space="preserve"> Studies</w:t>
      </w:r>
      <w:r w:rsidR="00F26A16">
        <w:t xml:space="preserve"> (2.9%)</w:t>
      </w:r>
      <w:r w:rsidR="00FD655E" w:rsidRPr="00BB165A">
        <w:t xml:space="preserve">. </w:t>
      </w:r>
      <w:r w:rsidR="00453508" w:rsidRPr="00BB165A">
        <w:t>The largest decrease in average annual co</w:t>
      </w:r>
      <w:r w:rsidR="000B543A">
        <w:t>s</w:t>
      </w:r>
      <w:r w:rsidR="00453508" w:rsidRPr="00BB165A">
        <w:t>ts</w:t>
      </w:r>
      <w:r w:rsidR="00F325C9">
        <w:t xml:space="preserve">, outside of Food, Hospitality and </w:t>
      </w:r>
      <w:r w:rsidR="00356380">
        <w:t>P</w:t>
      </w:r>
      <w:r w:rsidR="00F325C9">
        <w:t>ersonal Services and Mixed Field Programmes</w:t>
      </w:r>
      <w:r w:rsidR="00894283" w:rsidRPr="00BB165A">
        <w:t xml:space="preserve"> was </w:t>
      </w:r>
      <w:r w:rsidR="00453508" w:rsidRPr="00BB165A">
        <w:t xml:space="preserve">seen in </w:t>
      </w:r>
      <w:r w:rsidR="00F325C9">
        <w:t>Information and Technology</w:t>
      </w:r>
      <w:r w:rsidR="00453508" w:rsidRPr="00BB165A">
        <w:t xml:space="preserve"> (-2.</w:t>
      </w:r>
      <w:r w:rsidR="00BB68AE">
        <w:t>3</w:t>
      </w:r>
      <w:r w:rsidR="00453508" w:rsidRPr="00BB165A">
        <w:t>%)</w:t>
      </w:r>
      <w:r w:rsidR="00DA2F70" w:rsidRPr="00BB165A">
        <w:t xml:space="preserve">. </w:t>
      </w:r>
      <w:r w:rsidR="00F325C9">
        <w:t>Overall</w:t>
      </w:r>
      <w:r w:rsidR="00DA2F70" w:rsidRPr="00BB165A">
        <w:t xml:space="preserve">, </w:t>
      </w:r>
      <w:r w:rsidR="00C53D69">
        <w:t>13 of 25</w:t>
      </w:r>
      <w:r w:rsidR="00C53D69" w:rsidRPr="00BB165A">
        <w:t xml:space="preserve"> </w:t>
      </w:r>
      <w:r w:rsidR="00AE4280" w:rsidRPr="00BB165A">
        <w:t xml:space="preserve">universities </w:t>
      </w:r>
      <w:r w:rsidR="00DA2F70" w:rsidRPr="00BB165A">
        <w:t xml:space="preserve">saw costs </w:t>
      </w:r>
      <w:r w:rsidR="00C53D69">
        <w:t xml:space="preserve">increase </w:t>
      </w:r>
      <w:r w:rsidR="00DA2F70" w:rsidRPr="00BB165A">
        <w:t>from 2017 to 2020</w:t>
      </w:r>
      <w:r w:rsidR="00A042B0">
        <w:t>.</w:t>
      </w:r>
      <w:r w:rsidR="00AE4280" w:rsidRPr="00BB165A">
        <w:t xml:space="preserve"> </w:t>
      </w:r>
    </w:p>
    <w:p w14:paraId="16F7BBE7" w14:textId="50D88B9C" w:rsidR="003C0348" w:rsidRPr="00BB165A" w:rsidRDefault="001548C2" w:rsidP="003C0348">
      <w:pPr>
        <w:pStyle w:val="CaptionChart"/>
      </w:pPr>
      <w:bookmarkStart w:id="501" w:name="_Toc105776374"/>
      <w:r w:rsidRPr="00BB165A">
        <w:t>: Comparing average costs between 201</w:t>
      </w:r>
      <w:r w:rsidR="00DB7C55" w:rsidRPr="00BB165A">
        <w:t>7</w:t>
      </w:r>
      <w:r w:rsidRPr="00BB165A">
        <w:t xml:space="preserve"> and </w:t>
      </w:r>
      <w:r w:rsidR="00DC19FC" w:rsidRPr="00BB165A">
        <w:t>2020</w:t>
      </w:r>
      <w:r w:rsidRPr="00BB165A">
        <w:t xml:space="preserve"> </w:t>
      </w:r>
      <w:r w:rsidR="008D0FD2" w:rsidRPr="00BB165A">
        <w:t>for all levels of study</w:t>
      </w:r>
      <w:r w:rsidR="00E739A7" w:rsidRPr="00BB165A">
        <w:t xml:space="preserve"> </w:t>
      </w:r>
      <w:r w:rsidR="00DB7C55" w:rsidRPr="00BB165A">
        <w:t>(2017 common</w:t>
      </w:r>
      <w:r w:rsidR="00E739A7" w:rsidRPr="00BB165A">
        <w:t xml:space="preserve"> sample</w:t>
      </w:r>
      <w:r w:rsidR="00DB7C55" w:rsidRPr="00BB165A">
        <w:t xml:space="preserve"> (25 universities))</w:t>
      </w:r>
      <w:r w:rsidR="00DC19FC" w:rsidRPr="00BB165A">
        <w:t xml:space="preserve">, </w:t>
      </w:r>
      <w:r w:rsidR="003C0348" w:rsidRPr="00BB165A">
        <w:t>CAGR</w:t>
      </w:r>
      <w:bookmarkEnd w:id="501"/>
    </w:p>
    <w:p w14:paraId="3A213B5E" w14:textId="2EEACD12" w:rsidR="0065299F" w:rsidRPr="00BB165A" w:rsidRDefault="0065299F" w:rsidP="00F6020C">
      <w:r>
        <w:rPr>
          <w:noProof/>
        </w:rPr>
        <w:drawing>
          <wp:inline distT="0" distB="0" distL="0" distR="0" wp14:anchorId="00CA02D6" wp14:editId="0A967F3D">
            <wp:extent cx="4398162" cy="3203421"/>
            <wp:effectExtent l="0" t="0" r="2540" b="0"/>
            <wp:docPr id="597878532" name="Chart 597878532" descr="Chart comparing average costs between 2017 and 2020 for all levels of study (2017 common sample (25 universities)), CAGR. Ranges from -2.3 per cent for information technology to +4.0 per cent for Medical Science. Columns indicate the percentage change.">
              <a:extLst xmlns:a="http://schemas.openxmlformats.org/drawingml/2006/main">
                <a:ext uri="{FF2B5EF4-FFF2-40B4-BE49-F238E27FC236}">
                  <a16:creationId xmlns:a16="http://schemas.microsoft.com/office/drawing/2014/main" id="{00000000-0008-0000-3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5A37621" w14:textId="0039A9A1" w:rsidR="00DB7C55" w:rsidRDefault="00DB7C55" w:rsidP="00DB7C55">
      <w:pPr>
        <w:pStyle w:val="Source"/>
        <w:spacing w:before="0"/>
      </w:pPr>
      <w:r w:rsidRPr="00BB165A">
        <w:t>Note: chart excludes growth in costs for Food, Hospitality and Personal Services (</w:t>
      </w:r>
      <w:r w:rsidR="00DC19FC" w:rsidRPr="00BB165A">
        <w:t>-</w:t>
      </w:r>
      <w:r w:rsidR="00F27110">
        <w:t>17%</w:t>
      </w:r>
      <w:r w:rsidR="00DC19FC" w:rsidRPr="00BB165A">
        <w:t xml:space="preserve"> CAGR</w:t>
      </w:r>
      <w:r w:rsidRPr="00BB165A">
        <w:t xml:space="preserve">) and Mixed Field Programmes </w:t>
      </w:r>
      <w:r w:rsidR="003155B3">
        <w:br/>
      </w:r>
      <w:r w:rsidRPr="00BB165A">
        <w:t>(</w:t>
      </w:r>
      <w:r w:rsidR="00F27110">
        <w:t>-15</w:t>
      </w:r>
      <w:r w:rsidRPr="00BB165A">
        <w:t>%</w:t>
      </w:r>
      <w:r w:rsidR="00DC19FC" w:rsidRPr="00BB165A">
        <w:t xml:space="preserve"> CAGR</w:t>
      </w:r>
      <w:r w:rsidRPr="00BB165A">
        <w:t>).</w:t>
      </w:r>
    </w:p>
    <w:p w14:paraId="0D4BB863" w14:textId="5AD9310C" w:rsidR="00680C9C" w:rsidRDefault="00DA7A36" w:rsidP="007F152E">
      <w:pPr>
        <w:pStyle w:val="ListBullet"/>
        <w:numPr>
          <w:ilvl w:val="0"/>
          <w:numId w:val="0"/>
        </w:numPr>
        <w:sectPr w:rsidR="00680C9C" w:rsidSect="00995055">
          <w:pgSz w:w="11906" w:h="16838" w:code="9"/>
          <w:pgMar w:top="1985" w:right="1418" w:bottom="1134" w:left="1418" w:header="680" w:footer="425" w:gutter="0"/>
          <w:cols w:space="284"/>
          <w:docGrid w:linePitch="360"/>
        </w:sectPr>
      </w:pPr>
      <w:r w:rsidRPr="00BB165A">
        <w:t>A comparison of the distribution of unit costs from 2017 to 2020 for sub-bachelor, bachelor and postgraduate studies (across all 25 comparable fields) is included in Appendix</w:t>
      </w:r>
      <w:r w:rsidR="007F152E">
        <w:t xml:space="preserve"> </w:t>
      </w:r>
      <w:r>
        <w:t>C</w:t>
      </w:r>
      <w:r w:rsidR="002B32F1">
        <w:t>.</w:t>
      </w:r>
    </w:p>
    <w:p w14:paraId="65CF9F14" w14:textId="77777777" w:rsidR="00602349" w:rsidRPr="00BB165A" w:rsidRDefault="00602349" w:rsidP="00602349">
      <w:pPr>
        <w:pStyle w:val="Heading4un-numbered"/>
      </w:pPr>
      <w:r w:rsidRPr="00BB165A">
        <w:t>2015 common sample (17 universities)</w:t>
      </w:r>
    </w:p>
    <w:p w14:paraId="6916B820" w14:textId="02FC49C4" w:rsidR="00A67626" w:rsidRPr="00BB165A" w:rsidRDefault="00121CB7" w:rsidP="00AE67F3">
      <w:r w:rsidRPr="00BB165A">
        <w:t>For the common sample of 17 universities who have participated since 2015, t</w:t>
      </w:r>
      <w:r w:rsidR="00AE67F3" w:rsidRPr="00BB165A">
        <w:t>he average cost across all fields and level</w:t>
      </w:r>
      <w:r w:rsidR="00A67626" w:rsidRPr="00BB165A">
        <w:t xml:space="preserve">s of education in </w:t>
      </w:r>
      <w:r w:rsidR="00806182" w:rsidRPr="00BB165A">
        <w:t>2020</w:t>
      </w:r>
      <w:r w:rsidR="00A67626" w:rsidRPr="00BB165A">
        <w:t xml:space="preserve"> was $18,6</w:t>
      </w:r>
      <w:r w:rsidR="00AE67F3" w:rsidRPr="00BB165A">
        <w:t xml:space="preserve">00, which is </w:t>
      </w:r>
      <w:r w:rsidR="00A67626" w:rsidRPr="00BB165A">
        <w:t>around $1,</w:t>
      </w:r>
      <w:r w:rsidR="009B6983" w:rsidRPr="00BB165A">
        <w:t>6</w:t>
      </w:r>
      <w:r w:rsidR="00A67626" w:rsidRPr="00BB165A">
        <w:t>00 higher than the average cost of $17,000 in 2015 (among the 17 universities that provided data for 2015</w:t>
      </w:r>
      <w:r w:rsidR="00EB225B" w:rsidRPr="00BB165A">
        <w:t>, 2017</w:t>
      </w:r>
      <w:r w:rsidR="008671C0" w:rsidRPr="00BB165A">
        <w:t xml:space="preserve">, </w:t>
      </w:r>
      <w:r w:rsidR="00A67626" w:rsidRPr="00BB165A">
        <w:t>2018</w:t>
      </w:r>
      <w:r w:rsidR="008671C0" w:rsidRPr="00BB165A">
        <w:t>, 2019 and 2020</w:t>
      </w:r>
      <w:r w:rsidR="00A67626" w:rsidRPr="00BB165A">
        <w:t xml:space="preserve">). This represents </w:t>
      </w:r>
      <w:r w:rsidR="00395E33" w:rsidRPr="00BB165A">
        <w:t>a</w:t>
      </w:r>
      <w:r w:rsidR="005A2F73">
        <w:t xml:space="preserve"> CAGR</w:t>
      </w:r>
      <w:r w:rsidR="00395E33" w:rsidRPr="00BB165A">
        <w:t xml:space="preserve"> of </w:t>
      </w:r>
      <w:r w:rsidR="009A7ED7" w:rsidRPr="00BB165A">
        <w:t>1.8</w:t>
      </w:r>
      <w:r w:rsidR="00395E33" w:rsidRPr="00BB165A">
        <w:t xml:space="preserve">% from 2015 to </w:t>
      </w:r>
      <w:r w:rsidR="009A7ED7" w:rsidRPr="00BB165A">
        <w:t>2020</w:t>
      </w:r>
      <w:r w:rsidR="00395E33" w:rsidRPr="00BB165A">
        <w:t xml:space="preserve">. </w:t>
      </w:r>
    </w:p>
    <w:p w14:paraId="27A2991D" w14:textId="74A05BE5" w:rsidR="00AE67F3" w:rsidRPr="00BB165A" w:rsidRDefault="00AE67F3" w:rsidP="00AE67F3">
      <w:r w:rsidRPr="00BB165A">
        <w:t>In the case of bachelor degree students, the average cost per EFTSL rose from $1</w:t>
      </w:r>
      <w:r w:rsidR="00395E33" w:rsidRPr="00BB165A">
        <w:t>6,200 in 2015</w:t>
      </w:r>
      <w:r w:rsidRPr="00BB165A">
        <w:t xml:space="preserve"> to $17,</w:t>
      </w:r>
      <w:r w:rsidR="00BC400B" w:rsidRPr="00BB165A">
        <w:t>6</w:t>
      </w:r>
      <w:r w:rsidR="00395E33" w:rsidRPr="00BB165A">
        <w:t>00</w:t>
      </w:r>
      <w:r w:rsidRPr="00BB165A">
        <w:t xml:space="preserve"> in </w:t>
      </w:r>
      <w:r w:rsidR="00BC400B" w:rsidRPr="00BB165A">
        <w:t>2020</w:t>
      </w:r>
      <w:r w:rsidRPr="00BB165A">
        <w:t>, a</w:t>
      </w:r>
      <w:r w:rsidR="00395E33" w:rsidRPr="00BB165A">
        <w:t xml:space="preserve">n annual growth rate of </w:t>
      </w:r>
      <w:r w:rsidR="005C5D76" w:rsidRPr="00BB165A">
        <w:t>1.7</w:t>
      </w:r>
      <w:r w:rsidR="00395E33" w:rsidRPr="00BB165A">
        <w:t>%</w:t>
      </w:r>
      <w:r w:rsidRPr="00BB165A">
        <w:t xml:space="preserve"> for the common sample. </w:t>
      </w:r>
      <w:r w:rsidR="00395E33" w:rsidRPr="00BB165A">
        <w:t>Of the 19</w:t>
      </w:r>
      <w:r w:rsidRPr="00BB165A">
        <w:t xml:space="preserve"> fields</w:t>
      </w:r>
      <w:r w:rsidR="00395E33" w:rsidRPr="00BB165A">
        <w:t xml:space="preserve"> that are directly comparable</w:t>
      </w:r>
      <w:r w:rsidR="00027876" w:rsidRPr="00BB165A">
        <w:rPr>
          <w:rStyle w:val="FootnoteReference"/>
        </w:rPr>
        <w:footnoteReference w:id="22"/>
      </w:r>
      <w:r w:rsidRPr="00BB165A">
        <w:t xml:space="preserve">, </w:t>
      </w:r>
      <w:r w:rsidR="00AB6BF1">
        <w:t>ten</w:t>
      </w:r>
      <w:r w:rsidR="00AB6BF1" w:rsidRPr="00BB165A">
        <w:t xml:space="preserve"> </w:t>
      </w:r>
      <w:r w:rsidRPr="00BB165A">
        <w:t xml:space="preserve">experienced cost growth of </w:t>
      </w:r>
      <w:r w:rsidR="00C6400D" w:rsidRPr="00BB165A">
        <w:t>more</w:t>
      </w:r>
      <w:r w:rsidR="00121CB7" w:rsidRPr="00BB165A">
        <w:t xml:space="preserve"> than </w:t>
      </w:r>
      <w:r w:rsidR="00404285">
        <w:t>1.0</w:t>
      </w:r>
      <w:r w:rsidRPr="00BB165A">
        <w:t>%</w:t>
      </w:r>
      <w:r w:rsidR="00BA5BCC" w:rsidRPr="00BB165A">
        <w:t xml:space="preserve"> </w:t>
      </w:r>
      <w:r w:rsidR="00404285">
        <w:t>per annum</w:t>
      </w:r>
      <w:r w:rsidR="00BA5BCC" w:rsidRPr="00BB165A">
        <w:t xml:space="preserve"> while </w:t>
      </w:r>
      <w:r w:rsidR="004C0536">
        <w:t>six</w:t>
      </w:r>
      <w:r w:rsidR="004C0536" w:rsidRPr="00BB165A">
        <w:t xml:space="preserve"> </w:t>
      </w:r>
      <w:r w:rsidR="00ED20A6" w:rsidRPr="00BB165A">
        <w:t>saw</w:t>
      </w:r>
      <w:r w:rsidR="00395E33" w:rsidRPr="00BB165A">
        <w:t xml:space="preserve"> costs </w:t>
      </w:r>
      <w:r w:rsidR="00ED20A6" w:rsidRPr="00BB165A">
        <w:t>decline</w:t>
      </w:r>
      <w:r w:rsidR="00BA5BCC" w:rsidRPr="00BB165A">
        <w:t xml:space="preserve">. </w:t>
      </w:r>
    </w:p>
    <w:p w14:paraId="23D8C02F" w14:textId="31AB08C9" w:rsidR="00AE67F3" w:rsidRPr="00BB165A" w:rsidRDefault="00AE67F3" w:rsidP="00AE67F3">
      <w:pPr>
        <w:pStyle w:val="CaptionChart"/>
      </w:pPr>
      <w:bookmarkStart w:id="502" w:name="_Ref20128680"/>
      <w:bookmarkStart w:id="503" w:name="_Toc20245985"/>
      <w:bookmarkStart w:id="504" w:name="_Toc105776375"/>
      <w:r w:rsidRPr="00BB165A">
        <w:t>: Comparing average costs between 201</w:t>
      </w:r>
      <w:r w:rsidR="0088526C" w:rsidRPr="00BB165A">
        <w:t>5</w:t>
      </w:r>
      <w:r w:rsidRPr="00BB165A">
        <w:t xml:space="preserve"> and </w:t>
      </w:r>
      <w:r w:rsidR="003C0348" w:rsidRPr="00BB165A">
        <w:t>2020</w:t>
      </w:r>
      <w:r w:rsidRPr="00BB165A">
        <w:t xml:space="preserve"> for all levels of study (201</w:t>
      </w:r>
      <w:r w:rsidR="0088526C" w:rsidRPr="00BB165A">
        <w:t>5 common sample (17</w:t>
      </w:r>
      <w:r w:rsidRPr="00BB165A">
        <w:t xml:space="preserve"> universities))</w:t>
      </w:r>
      <w:r w:rsidR="00B72274" w:rsidRPr="00BB165A">
        <w:t>, CAGR</w:t>
      </w:r>
      <w:bookmarkEnd w:id="502"/>
      <w:bookmarkEnd w:id="503"/>
      <w:bookmarkEnd w:id="504"/>
    </w:p>
    <w:p w14:paraId="1B295219" w14:textId="355FD9E7" w:rsidR="00C45068" w:rsidRPr="00BB165A" w:rsidRDefault="00C45068" w:rsidP="000A6D7D">
      <w:r>
        <w:rPr>
          <w:noProof/>
        </w:rPr>
        <w:drawing>
          <wp:inline distT="0" distB="0" distL="0" distR="0" wp14:anchorId="39374BEF" wp14:editId="063488AE">
            <wp:extent cx="4481574" cy="3207547"/>
            <wp:effectExtent l="0" t="0" r="0" b="0"/>
            <wp:docPr id="597878534" name="Chart 597878534" descr="Chart comparing average costs between 2015 and 2020 for all levels of study (2015 common sample (17 universities)), CAGR. Ranges from -2 per cent for Agriculture and Environment Other to +4.0 per cent for Communications and Media. Columns indicate the percentage change. ">
              <a:extLst xmlns:a="http://schemas.openxmlformats.org/drawingml/2006/main">
                <a:ext uri="{FF2B5EF4-FFF2-40B4-BE49-F238E27FC236}">
                  <a16:creationId xmlns:a16="http://schemas.microsoft.com/office/drawing/2014/main" id="{00000000-0008-0000-31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C7341BF" w14:textId="77777777" w:rsidR="00AE67F3" w:rsidRPr="00BB165A" w:rsidRDefault="00AE67F3" w:rsidP="00AE67F3">
      <w:pPr>
        <w:pStyle w:val="Source"/>
        <w:spacing w:before="0"/>
      </w:pPr>
      <w:r w:rsidRPr="00BB165A">
        <w:t xml:space="preserve">Note: </w:t>
      </w:r>
      <w:r w:rsidR="00B72274" w:rsidRPr="00BB165A">
        <w:t>Nursing is included in Other – Health</w:t>
      </w:r>
      <w:r w:rsidR="00A67626" w:rsidRPr="00BB165A">
        <w:t>.</w:t>
      </w:r>
    </w:p>
    <w:p w14:paraId="7CAE0D02" w14:textId="50948330" w:rsidR="00131B52" w:rsidRDefault="00131B52" w:rsidP="00131B52">
      <w:pPr>
        <w:pStyle w:val="ListBullet"/>
        <w:numPr>
          <w:ilvl w:val="0"/>
          <w:numId w:val="0"/>
        </w:numPr>
      </w:pPr>
      <w:r w:rsidRPr="00BB165A">
        <w:t>A comparison of the distribution of unit costs in 2015, 2017</w:t>
      </w:r>
      <w:r w:rsidR="001E50F4" w:rsidRPr="00BB165A">
        <w:t xml:space="preserve">, </w:t>
      </w:r>
      <w:r w:rsidRPr="00BB165A">
        <w:t>2018</w:t>
      </w:r>
      <w:r w:rsidR="001E50F4" w:rsidRPr="00BB165A">
        <w:t>, 2019 and 2020</w:t>
      </w:r>
      <w:r w:rsidRPr="00BB165A">
        <w:t xml:space="preserve"> for sub-bachelor, bachelor and postgraduate studies (across all 19 comparable fields) is included in Appendix </w:t>
      </w:r>
      <w:r w:rsidR="001E50F4" w:rsidRPr="00BB165A">
        <w:t>D</w:t>
      </w:r>
      <w:r w:rsidRPr="00BB165A">
        <w:t>.</w:t>
      </w:r>
    </w:p>
    <w:p w14:paraId="3C35F0A6" w14:textId="77777777" w:rsidR="002D31E8" w:rsidRPr="00BB165A" w:rsidRDefault="002D31E8" w:rsidP="002D31E8">
      <w:pPr>
        <w:pStyle w:val="Heading4un-numbered"/>
      </w:pPr>
      <w:r w:rsidRPr="00BB165A">
        <w:t>Summary tables</w:t>
      </w:r>
    </w:p>
    <w:p w14:paraId="7C5DF1EF" w14:textId="0D529F40" w:rsidR="000F3CC9" w:rsidRPr="00BB165A" w:rsidRDefault="00635E21" w:rsidP="00841FD2">
      <w:r w:rsidRPr="00BB165A">
        <w:t xml:space="preserve">The figures in </w:t>
      </w:r>
      <w:r w:rsidR="0074548E" w:rsidRPr="00BB165A">
        <w:fldChar w:fldCharType="begin"/>
      </w:r>
      <w:r w:rsidR="0074548E" w:rsidRPr="00BB165A">
        <w:instrText xml:space="preserve"> REF _Ref531363908 \r \h </w:instrText>
      </w:r>
      <w:r w:rsidR="008B3BBC" w:rsidRPr="00BB165A">
        <w:instrText xml:space="preserve"> \* MERGEFORMAT </w:instrText>
      </w:r>
      <w:r w:rsidR="0074548E" w:rsidRPr="00BB165A">
        <w:fldChar w:fldCharType="separate"/>
      </w:r>
      <w:r w:rsidR="00E83FB1">
        <w:t>Table 2.1</w:t>
      </w:r>
      <w:r w:rsidR="0074548E" w:rsidRPr="00BB165A">
        <w:fldChar w:fldCharType="end"/>
      </w:r>
      <w:r w:rsidR="0074548E" w:rsidRPr="00BB165A">
        <w:t xml:space="preserve"> </w:t>
      </w:r>
      <w:r w:rsidRPr="00BB165A">
        <w:t xml:space="preserve">show that the average cost per EFTSL </w:t>
      </w:r>
      <w:r w:rsidR="000D547A" w:rsidRPr="00BB165A">
        <w:t xml:space="preserve">for 2010, 2015, </w:t>
      </w:r>
      <w:r w:rsidR="00517996" w:rsidRPr="00BB165A">
        <w:t xml:space="preserve">and </w:t>
      </w:r>
      <w:r w:rsidR="000D547A" w:rsidRPr="00BB165A">
        <w:t>2017</w:t>
      </w:r>
      <w:r w:rsidR="00517996" w:rsidRPr="00BB165A">
        <w:t xml:space="preserve"> to 2020</w:t>
      </w:r>
      <w:r w:rsidR="000F3CC9" w:rsidRPr="00BB165A">
        <w:t xml:space="preserve">. The cost data is shown for the full sample in each year as well as for the common sample of universities (where available). </w:t>
      </w:r>
    </w:p>
    <w:p w14:paraId="3B1751AA" w14:textId="08942438" w:rsidR="00841FD2" w:rsidRPr="00BB165A" w:rsidRDefault="000F3CC9" w:rsidP="00841FD2">
      <w:r w:rsidRPr="00BB165A">
        <w:t>The average cost per EFTSL for</w:t>
      </w:r>
      <w:r w:rsidR="00635E21" w:rsidRPr="00BB165A">
        <w:t xml:space="preserve"> bachelor study rose from $</w:t>
      </w:r>
      <w:r w:rsidR="00841FD2" w:rsidRPr="00BB165A">
        <w:t>17,300</w:t>
      </w:r>
      <w:r w:rsidR="00635E21" w:rsidRPr="00BB165A">
        <w:t xml:space="preserve"> in 2017 </w:t>
      </w:r>
      <w:r w:rsidR="00841FD2" w:rsidRPr="00BB165A">
        <w:t>to $17,</w:t>
      </w:r>
      <w:r w:rsidR="007C5E6E">
        <w:t>7</w:t>
      </w:r>
      <w:r w:rsidR="009C238D" w:rsidRPr="00BB165A">
        <w:t xml:space="preserve">00 </w:t>
      </w:r>
      <w:r w:rsidRPr="00BB165A">
        <w:t xml:space="preserve">in </w:t>
      </w:r>
      <w:r w:rsidR="007B70E1" w:rsidRPr="00BB165A">
        <w:t>2020</w:t>
      </w:r>
      <w:r w:rsidRPr="00BB165A">
        <w:t xml:space="preserve"> </w:t>
      </w:r>
      <w:r w:rsidR="00635E21" w:rsidRPr="00BB165A">
        <w:t xml:space="preserve">for the </w:t>
      </w:r>
      <w:r w:rsidR="00841FD2" w:rsidRPr="00BB165A">
        <w:t>25 universities that provided data in both years</w:t>
      </w:r>
      <w:r w:rsidR="00635E21" w:rsidRPr="00BB165A">
        <w:t xml:space="preserve">, an </w:t>
      </w:r>
      <w:r w:rsidR="00052691">
        <w:t xml:space="preserve">average annual </w:t>
      </w:r>
      <w:r w:rsidR="00635E21" w:rsidRPr="00BB165A">
        <w:t xml:space="preserve">increase of </w:t>
      </w:r>
      <w:r w:rsidR="00052691">
        <w:t>0.8</w:t>
      </w:r>
      <w:r w:rsidR="00635E21" w:rsidRPr="00BB165A">
        <w:t>% as shown in</w:t>
      </w:r>
      <w:r w:rsidR="002D3041" w:rsidRPr="00BB165A">
        <w:t xml:space="preserve"> </w:t>
      </w:r>
      <w:r w:rsidR="002D3041" w:rsidRPr="00BB165A">
        <w:fldChar w:fldCharType="begin"/>
      </w:r>
      <w:r w:rsidR="002D3041" w:rsidRPr="00BB165A">
        <w:instrText xml:space="preserve"> REF _Ref534712461 \r \h </w:instrText>
      </w:r>
      <w:r w:rsidR="008B3BBC" w:rsidRPr="00BB165A">
        <w:instrText xml:space="preserve"> \* MERGEFORMAT </w:instrText>
      </w:r>
      <w:r w:rsidR="002D3041" w:rsidRPr="00BB165A">
        <w:fldChar w:fldCharType="separate"/>
      </w:r>
      <w:r w:rsidR="00E83FB1">
        <w:t>Table 2.2</w:t>
      </w:r>
      <w:r w:rsidR="002D3041" w:rsidRPr="00BB165A">
        <w:fldChar w:fldCharType="end"/>
      </w:r>
      <w:r w:rsidR="00635E21" w:rsidRPr="00BB165A">
        <w:t xml:space="preserve">. Average unit costs for the full sample of </w:t>
      </w:r>
      <w:r w:rsidR="00841FD2" w:rsidRPr="00BB165A">
        <w:t>3</w:t>
      </w:r>
      <w:r w:rsidR="00D50DEB" w:rsidRPr="00BB165A">
        <w:t>7</w:t>
      </w:r>
      <w:r w:rsidR="00635E21" w:rsidRPr="00BB165A">
        <w:t xml:space="preserve"> universities was slightly </w:t>
      </w:r>
      <w:r w:rsidR="00D50DEB" w:rsidRPr="00BB165A">
        <w:t>higher</w:t>
      </w:r>
      <w:r w:rsidR="00635E21" w:rsidRPr="00BB165A">
        <w:t xml:space="preserve"> at $</w:t>
      </w:r>
      <w:r w:rsidR="00BB1186">
        <w:t>17,900</w:t>
      </w:r>
      <w:r w:rsidR="00635E21" w:rsidRPr="00BB165A">
        <w:t xml:space="preserve"> </w:t>
      </w:r>
      <w:r w:rsidR="002810E9" w:rsidRPr="00BB165A">
        <w:t xml:space="preserve">in 2020 </w:t>
      </w:r>
      <w:r w:rsidR="00635E21" w:rsidRPr="00BB165A">
        <w:t xml:space="preserve">but broadly similar (given that the full sample includes the universities in the common sample). </w:t>
      </w:r>
    </w:p>
    <w:p w14:paraId="08A4B9B5" w14:textId="418C4AA1" w:rsidR="00635E21" w:rsidRPr="00BB165A" w:rsidRDefault="00841FD2" w:rsidP="00635E21">
      <w:r w:rsidRPr="00BB165A">
        <w:t xml:space="preserve">The average cost per EFTSL </w:t>
      </w:r>
      <w:r w:rsidR="000F3CC9" w:rsidRPr="00BB165A">
        <w:t xml:space="preserve">for postgraduate </w:t>
      </w:r>
      <w:r w:rsidRPr="00BB165A">
        <w:t xml:space="preserve">study </w:t>
      </w:r>
      <w:r w:rsidR="000F3CC9" w:rsidRPr="00BB165A">
        <w:t>decreased</w:t>
      </w:r>
      <w:r w:rsidRPr="00BB165A">
        <w:t xml:space="preserve"> from $</w:t>
      </w:r>
      <w:r w:rsidR="000F3CC9" w:rsidRPr="00BB165A">
        <w:t>22</w:t>
      </w:r>
      <w:r w:rsidRPr="00BB165A">
        <w:t xml:space="preserve">,200 in </w:t>
      </w:r>
      <w:r w:rsidR="000F3CC9" w:rsidRPr="00BB165A">
        <w:t xml:space="preserve">2017 </w:t>
      </w:r>
      <w:r w:rsidRPr="00BB165A">
        <w:t>to $</w:t>
      </w:r>
      <w:r w:rsidR="000F3CC9" w:rsidRPr="00BB165A">
        <w:t>2</w:t>
      </w:r>
      <w:r w:rsidR="00F72E93" w:rsidRPr="00BB165A">
        <w:t>1,</w:t>
      </w:r>
      <w:r w:rsidR="0071777C" w:rsidRPr="00BB165A">
        <w:t>9</w:t>
      </w:r>
      <w:r w:rsidR="000F3CC9" w:rsidRPr="00BB165A">
        <w:t xml:space="preserve">00 in </w:t>
      </w:r>
      <w:r w:rsidR="00F72E93" w:rsidRPr="00BB165A">
        <w:t>2020</w:t>
      </w:r>
      <w:r w:rsidRPr="00BB165A">
        <w:t xml:space="preserve"> for the </w:t>
      </w:r>
      <w:r w:rsidR="000F3CC9" w:rsidRPr="00BB165A">
        <w:t>2</w:t>
      </w:r>
      <w:r w:rsidR="007C41C3">
        <w:t>4</w:t>
      </w:r>
      <w:r w:rsidRPr="00BB165A">
        <w:t xml:space="preserve"> universities that provided data in </w:t>
      </w:r>
      <w:r w:rsidR="000F3CC9" w:rsidRPr="00BB165A">
        <w:t>both years, a</w:t>
      </w:r>
      <w:r w:rsidR="00A3686C">
        <w:t>n average annual</w:t>
      </w:r>
      <w:r w:rsidR="000F3CC9" w:rsidRPr="00BB165A">
        <w:t xml:space="preserve"> decrease of </w:t>
      </w:r>
      <w:r w:rsidR="00A3686C">
        <w:t>0</w:t>
      </w:r>
      <w:r w:rsidR="0071777C" w:rsidRPr="00BB165A">
        <w:t>.</w:t>
      </w:r>
      <w:r w:rsidR="00470A2F">
        <w:t>4</w:t>
      </w:r>
      <w:r w:rsidR="000F3CC9" w:rsidRPr="00BB165A">
        <w:t xml:space="preserve">%. </w:t>
      </w:r>
      <w:r w:rsidR="008B2E84" w:rsidRPr="00BB165A">
        <w:t>This</w:t>
      </w:r>
      <w:r w:rsidR="00B15EE7" w:rsidRPr="00BB165A">
        <w:t xml:space="preserve"> </w:t>
      </w:r>
      <w:r w:rsidR="00601B1A" w:rsidRPr="00BB165A">
        <w:t xml:space="preserve">fall </w:t>
      </w:r>
      <w:r w:rsidR="00C027DE" w:rsidRPr="00BB165A">
        <w:t>was concentrated in the</w:t>
      </w:r>
      <w:r w:rsidR="00F977CF" w:rsidRPr="00BB165A">
        <w:t xml:space="preserve"> </w:t>
      </w:r>
      <w:r w:rsidR="004278AE">
        <w:t>nine</w:t>
      </w:r>
      <w:r w:rsidR="004278AE" w:rsidRPr="00BB165A">
        <w:t xml:space="preserve"> </w:t>
      </w:r>
      <w:r w:rsidR="00F977CF" w:rsidRPr="00BB165A">
        <w:t xml:space="preserve">(out </w:t>
      </w:r>
      <w:r w:rsidR="0051479D" w:rsidRPr="00BB165A">
        <w:t>of the 25 universities included in the common sample</w:t>
      </w:r>
      <w:r w:rsidR="008B2E84" w:rsidRPr="00BB165A">
        <w:t xml:space="preserve">) that </w:t>
      </w:r>
      <w:r w:rsidR="0051479D" w:rsidRPr="00BB165A">
        <w:t xml:space="preserve">reported lower postgraduate costs per EFTSL in </w:t>
      </w:r>
      <w:r w:rsidR="009D5067" w:rsidRPr="00BB165A">
        <w:t>2020</w:t>
      </w:r>
      <w:r w:rsidR="0051479D" w:rsidRPr="00BB165A">
        <w:t xml:space="preserve"> compared to 2017</w:t>
      </w:r>
      <w:r w:rsidR="008B2E84" w:rsidRPr="00BB165A">
        <w:t xml:space="preserve">. </w:t>
      </w:r>
      <w:r w:rsidR="007645FC" w:rsidRPr="00BB165A">
        <w:t xml:space="preserve">For these universities </w:t>
      </w:r>
      <w:r w:rsidR="00BA32DE" w:rsidRPr="00BB165A">
        <w:t xml:space="preserve">the average fall in postgraduate costs per EFTSL was </w:t>
      </w:r>
      <w:r w:rsidR="001E5835">
        <w:t>1</w:t>
      </w:r>
      <w:r w:rsidR="008E6B98">
        <w:t>6</w:t>
      </w:r>
      <w:r w:rsidR="00BA32DE" w:rsidRPr="00BB165A">
        <w:t>% between 2017 and 2020</w:t>
      </w:r>
      <w:r w:rsidR="0057441A" w:rsidRPr="00BB165A">
        <w:t xml:space="preserve">, compared to a 9% </w:t>
      </w:r>
      <w:r w:rsidR="001E5835">
        <w:t>increase</w:t>
      </w:r>
      <w:r w:rsidR="001E5835" w:rsidRPr="00BB165A">
        <w:t xml:space="preserve"> </w:t>
      </w:r>
      <w:r w:rsidR="0057441A" w:rsidRPr="00BB165A">
        <w:t>among the other 1</w:t>
      </w:r>
      <w:r w:rsidR="00E4269F">
        <w:t>5</w:t>
      </w:r>
      <w:r w:rsidR="0057441A" w:rsidRPr="00BB165A">
        <w:t xml:space="preserve"> universities</w:t>
      </w:r>
      <w:r w:rsidR="00BA32DE" w:rsidRPr="00BB165A">
        <w:t xml:space="preserve">. </w:t>
      </w:r>
    </w:p>
    <w:p w14:paraId="32750B27" w14:textId="77777777" w:rsidR="00830657" w:rsidRDefault="00771F8B" w:rsidP="00495A65">
      <w:pPr>
        <w:pStyle w:val="CaptionTable"/>
      </w:pPr>
      <w:bookmarkStart w:id="505" w:name="_Ref531363908"/>
      <w:bookmarkStart w:id="506" w:name="_Toc20245926"/>
      <w:bookmarkStart w:id="507" w:name="_Toc105776556"/>
      <w:r w:rsidRPr="00BB165A">
        <w:t xml:space="preserve">: Average unit cost </w:t>
      </w:r>
      <w:r w:rsidR="0075608C" w:rsidRPr="00BB165A">
        <w:t>per EFTSL</w:t>
      </w:r>
      <w:bookmarkEnd w:id="505"/>
      <w:bookmarkEnd w:id="506"/>
      <w:bookmarkEnd w:id="507"/>
    </w:p>
    <w:tbl>
      <w:tblPr>
        <w:tblW w:w="9134" w:type="dxa"/>
        <w:tblLook w:val="04A0" w:firstRow="1" w:lastRow="0" w:firstColumn="1" w:lastColumn="0" w:noHBand="0" w:noVBand="1"/>
      </w:tblPr>
      <w:tblGrid>
        <w:gridCol w:w="1422"/>
        <w:gridCol w:w="627"/>
        <w:gridCol w:w="1417"/>
        <w:gridCol w:w="1417"/>
        <w:gridCol w:w="1417"/>
        <w:gridCol w:w="1417"/>
        <w:gridCol w:w="1417"/>
      </w:tblGrid>
      <w:tr w:rsidR="009E4CA1" w:rsidRPr="00F46999" w14:paraId="4073D3E3" w14:textId="77777777" w:rsidTr="00BD7EB4">
        <w:trPr>
          <w:trHeight w:val="565"/>
        </w:trPr>
        <w:tc>
          <w:tcPr>
            <w:tcW w:w="1422" w:type="dxa"/>
            <w:tcBorders>
              <w:top w:val="single" w:sz="24" w:space="0" w:color="62B5E5" w:themeColor="accent3"/>
              <w:left w:val="nil"/>
              <w:bottom w:val="single" w:sz="4" w:space="0" w:color="auto"/>
              <w:right w:val="nil"/>
            </w:tcBorders>
            <w:shd w:val="clear" w:color="auto" w:fill="auto"/>
            <w:noWrap/>
            <w:vAlign w:val="bottom"/>
            <w:hideMark/>
          </w:tcPr>
          <w:p w14:paraId="33B02C6C" w14:textId="77777777" w:rsidR="009E4CA1" w:rsidRPr="00BB165A" w:rsidRDefault="009E4CA1" w:rsidP="00BD7EB4">
            <w:pPr>
              <w:spacing w:after="0" w:line="240" w:lineRule="auto"/>
              <w:rPr>
                <w:rFonts w:eastAsia="Times New Roman" w:cs="Arial"/>
                <w:b/>
                <w:sz w:val="16"/>
                <w:szCs w:val="16"/>
                <w:lang w:eastAsia="en-AU"/>
              </w:rPr>
            </w:pPr>
            <w:r w:rsidRPr="00BB165A">
              <w:rPr>
                <w:rFonts w:eastAsia="Times New Roman" w:cs="Arial"/>
                <w:b/>
                <w:sz w:val="16"/>
                <w:szCs w:val="16"/>
                <w:lang w:eastAsia="en-AU"/>
              </w:rPr>
              <w:t> </w:t>
            </w:r>
          </w:p>
        </w:tc>
        <w:tc>
          <w:tcPr>
            <w:tcW w:w="627" w:type="dxa"/>
            <w:tcBorders>
              <w:top w:val="single" w:sz="24" w:space="0" w:color="62B5E5" w:themeColor="accent3"/>
              <w:left w:val="nil"/>
              <w:bottom w:val="single" w:sz="4" w:space="0" w:color="auto"/>
              <w:right w:val="nil"/>
            </w:tcBorders>
            <w:shd w:val="clear" w:color="auto" w:fill="auto"/>
            <w:noWrap/>
            <w:vAlign w:val="bottom"/>
            <w:hideMark/>
          </w:tcPr>
          <w:p w14:paraId="08A4F3FE" w14:textId="77777777" w:rsidR="009E4CA1" w:rsidRPr="00BB165A" w:rsidRDefault="009E4CA1" w:rsidP="00BD7EB4">
            <w:pPr>
              <w:spacing w:after="0" w:line="240" w:lineRule="auto"/>
              <w:rPr>
                <w:rFonts w:eastAsia="Times New Roman" w:cs="Arial"/>
                <w:b/>
                <w:sz w:val="16"/>
                <w:szCs w:val="16"/>
                <w:lang w:eastAsia="en-AU"/>
              </w:rPr>
            </w:pPr>
            <w:r w:rsidRPr="00BB165A">
              <w:rPr>
                <w:rFonts w:eastAsia="Times New Roman" w:cs="Arial"/>
                <w:b/>
                <w:sz w:val="16"/>
                <w:szCs w:val="16"/>
                <w:lang w:eastAsia="en-AU"/>
              </w:rPr>
              <w:t>Year</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3B311910" w14:textId="77777777" w:rsidR="009E4CA1" w:rsidRPr="00BB165A" w:rsidRDefault="009E4CA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2010 sample </w:t>
            </w:r>
            <w:r w:rsidRPr="00BB165A">
              <w:rPr>
                <w:rFonts w:eastAsia="Times New Roman" w:cs="Arial"/>
                <w:b/>
                <w:sz w:val="16"/>
                <w:szCs w:val="16"/>
                <w:lang w:eastAsia="en-AU"/>
              </w:rPr>
              <w:br/>
              <w:t>(8 universities)</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659B40B8" w14:textId="77777777" w:rsidR="009E4CA1" w:rsidRPr="00BB165A" w:rsidRDefault="009E4CA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2015 sample </w:t>
            </w:r>
            <w:r w:rsidRPr="00BB165A">
              <w:rPr>
                <w:rFonts w:eastAsia="Times New Roman" w:cs="Arial"/>
                <w:b/>
                <w:sz w:val="16"/>
                <w:szCs w:val="16"/>
                <w:lang w:eastAsia="en-AU"/>
              </w:rPr>
              <w:br/>
              <w:t>(17 universities)</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100EBEBE" w14:textId="77777777" w:rsidR="009E4CA1" w:rsidRPr="00BB165A" w:rsidRDefault="009E4CA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2017 sample </w:t>
            </w:r>
            <w:r w:rsidRPr="00BB165A">
              <w:rPr>
                <w:rFonts w:eastAsia="Times New Roman" w:cs="Arial"/>
                <w:b/>
                <w:sz w:val="16"/>
                <w:szCs w:val="16"/>
                <w:lang w:eastAsia="en-AU"/>
              </w:rPr>
              <w:br/>
              <w:t>(25 universities)</w:t>
            </w:r>
          </w:p>
        </w:tc>
        <w:tc>
          <w:tcPr>
            <w:tcW w:w="1417" w:type="dxa"/>
            <w:tcBorders>
              <w:top w:val="single" w:sz="24" w:space="0" w:color="62B5E5" w:themeColor="accent3"/>
              <w:left w:val="nil"/>
              <w:bottom w:val="single" w:sz="4" w:space="0" w:color="auto"/>
              <w:right w:val="nil"/>
            </w:tcBorders>
            <w:shd w:val="clear" w:color="auto" w:fill="auto"/>
            <w:vAlign w:val="bottom"/>
            <w:hideMark/>
          </w:tcPr>
          <w:p w14:paraId="20B84815" w14:textId="77777777" w:rsidR="009E4CA1" w:rsidRPr="00BB165A" w:rsidRDefault="009E4CA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2018 sample </w:t>
            </w:r>
            <w:r w:rsidRPr="00BB165A">
              <w:rPr>
                <w:rFonts w:eastAsia="Times New Roman" w:cs="Arial"/>
                <w:b/>
                <w:sz w:val="16"/>
                <w:szCs w:val="16"/>
                <w:lang w:eastAsia="en-AU"/>
              </w:rPr>
              <w:br/>
              <w:t>(32 universities)</w:t>
            </w:r>
          </w:p>
        </w:tc>
        <w:tc>
          <w:tcPr>
            <w:tcW w:w="1417" w:type="dxa"/>
            <w:tcBorders>
              <w:top w:val="single" w:sz="24" w:space="0" w:color="62B5E5" w:themeColor="accent3"/>
              <w:left w:val="nil"/>
              <w:bottom w:val="single" w:sz="4" w:space="0" w:color="auto"/>
              <w:right w:val="nil"/>
            </w:tcBorders>
            <w:vAlign w:val="bottom"/>
          </w:tcPr>
          <w:p w14:paraId="58B204ED" w14:textId="77777777" w:rsidR="009E4CA1" w:rsidRPr="00BB165A" w:rsidRDefault="009E4CA1"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xml:space="preserve">Full sample </w:t>
            </w:r>
            <w:r w:rsidRPr="00BB165A">
              <w:rPr>
                <w:rFonts w:eastAsia="Times New Roman" w:cs="Arial"/>
                <w:b/>
                <w:sz w:val="16"/>
                <w:szCs w:val="16"/>
                <w:lang w:eastAsia="en-AU"/>
              </w:rPr>
              <w:br/>
              <w:t>(37 universities)</w:t>
            </w:r>
          </w:p>
        </w:tc>
      </w:tr>
      <w:tr w:rsidR="009E4CA1" w:rsidRPr="00F46999" w14:paraId="432551D8" w14:textId="77777777" w:rsidTr="00BD7EB4">
        <w:trPr>
          <w:trHeight w:val="282"/>
        </w:trPr>
        <w:tc>
          <w:tcPr>
            <w:tcW w:w="1422" w:type="dxa"/>
            <w:tcBorders>
              <w:top w:val="single" w:sz="4" w:space="0" w:color="auto"/>
              <w:left w:val="nil"/>
              <w:right w:val="nil"/>
            </w:tcBorders>
            <w:shd w:val="clear" w:color="auto" w:fill="auto"/>
            <w:noWrap/>
            <w:vAlign w:val="center"/>
            <w:hideMark/>
          </w:tcPr>
          <w:p w14:paraId="3694727F" w14:textId="77777777" w:rsidR="009E4CA1" w:rsidRPr="00BB165A" w:rsidRDefault="009E4CA1" w:rsidP="009E4CA1">
            <w:pPr>
              <w:spacing w:after="0" w:line="240" w:lineRule="auto"/>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Bachelor</w:t>
            </w:r>
          </w:p>
        </w:tc>
        <w:tc>
          <w:tcPr>
            <w:tcW w:w="627" w:type="dxa"/>
            <w:tcBorders>
              <w:top w:val="nil"/>
              <w:left w:val="nil"/>
              <w:bottom w:val="nil"/>
              <w:right w:val="nil"/>
            </w:tcBorders>
            <w:shd w:val="clear" w:color="auto" w:fill="auto"/>
            <w:noWrap/>
            <w:vAlign w:val="bottom"/>
            <w:hideMark/>
          </w:tcPr>
          <w:p w14:paraId="77F95377"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2010</w:t>
            </w:r>
          </w:p>
        </w:tc>
        <w:tc>
          <w:tcPr>
            <w:tcW w:w="1417" w:type="dxa"/>
            <w:tcBorders>
              <w:top w:val="nil"/>
              <w:left w:val="nil"/>
              <w:bottom w:val="nil"/>
              <w:right w:val="nil"/>
            </w:tcBorders>
            <w:shd w:val="clear" w:color="auto" w:fill="auto"/>
            <w:noWrap/>
            <w:hideMark/>
          </w:tcPr>
          <w:p w14:paraId="3303FA90" w14:textId="3EE699BB"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$15,100</w:t>
            </w:r>
          </w:p>
        </w:tc>
        <w:tc>
          <w:tcPr>
            <w:tcW w:w="1417" w:type="dxa"/>
            <w:tcBorders>
              <w:top w:val="nil"/>
              <w:left w:val="nil"/>
              <w:bottom w:val="nil"/>
              <w:right w:val="nil"/>
            </w:tcBorders>
            <w:shd w:val="clear" w:color="auto" w:fill="auto"/>
            <w:noWrap/>
            <w:hideMark/>
          </w:tcPr>
          <w:p w14:paraId="3AB02361" w14:textId="513DB754"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124A1B81" w14:textId="1CBB9168"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400DE07B" w14:textId="5FD59007"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6F69A67F" w14:textId="592D6091"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4BE84A31" w14:textId="77777777" w:rsidTr="00BD7EB4">
        <w:trPr>
          <w:trHeight w:val="232"/>
        </w:trPr>
        <w:tc>
          <w:tcPr>
            <w:tcW w:w="1422" w:type="dxa"/>
            <w:tcBorders>
              <w:left w:val="nil"/>
              <w:right w:val="nil"/>
            </w:tcBorders>
            <w:shd w:val="clear" w:color="auto" w:fill="auto"/>
            <w:vAlign w:val="center"/>
            <w:hideMark/>
          </w:tcPr>
          <w:p w14:paraId="09C1A11E"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644EA09D"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2015</w:t>
            </w:r>
          </w:p>
        </w:tc>
        <w:tc>
          <w:tcPr>
            <w:tcW w:w="1417" w:type="dxa"/>
            <w:tcBorders>
              <w:top w:val="nil"/>
              <w:left w:val="nil"/>
              <w:bottom w:val="nil"/>
              <w:right w:val="nil"/>
            </w:tcBorders>
            <w:shd w:val="clear" w:color="auto" w:fill="auto"/>
            <w:noWrap/>
            <w:hideMark/>
          </w:tcPr>
          <w:p w14:paraId="37748106" w14:textId="3D84B97D"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0B86A2CB" w14:textId="73E2A8A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$16,200</w:t>
            </w:r>
          </w:p>
        </w:tc>
        <w:tc>
          <w:tcPr>
            <w:tcW w:w="1417" w:type="dxa"/>
            <w:tcBorders>
              <w:top w:val="nil"/>
              <w:left w:val="nil"/>
              <w:bottom w:val="nil"/>
              <w:right w:val="nil"/>
            </w:tcBorders>
            <w:shd w:val="clear" w:color="auto" w:fill="auto"/>
            <w:noWrap/>
            <w:hideMark/>
          </w:tcPr>
          <w:p w14:paraId="471FF088" w14:textId="575F204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F5B6062" w14:textId="34607FA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5F8D544F" w14:textId="46B4DF95"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1241AADD" w14:textId="77777777" w:rsidTr="00BD7EB4">
        <w:trPr>
          <w:trHeight w:val="232"/>
        </w:trPr>
        <w:tc>
          <w:tcPr>
            <w:tcW w:w="1422" w:type="dxa"/>
            <w:tcBorders>
              <w:left w:val="nil"/>
              <w:right w:val="nil"/>
            </w:tcBorders>
            <w:shd w:val="clear" w:color="auto" w:fill="auto"/>
            <w:vAlign w:val="center"/>
            <w:hideMark/>
          </w:tcPr>
          <w:p w14:paraId="29731E6E"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406339A1"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2017</w:t>
            </w:r>
          </w:p>
        </w:tc>
        <w:tc>
          <w:tcPr>
            <w:tcW w:w="1417" w:type="dxa"/>
            <w:tcBorders>
              <w:top w:val="nil"/>
              <w:left w:val="nil"/>
              <w:bottom w:val="nil"/>
              <w:right w:val="nil"/>
            </w:tcBorders>
            <w:shd w:val="clear" w:color="auto" w:fill="auto"/>
            <w:noWrap/>
            <w:hideMark/>
          </w:tcPr>
          <w:p w14:paraId="39A69CE5" w14:textId="1CDA70F1"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47DDDB00" w14:textId="38A56856"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$16,900</w:t>
            </w:r>
          </w:p>
        </w:tc>
        <w:tc>
          <w:tcPr>
            <w:tcW w:w="1417" w:type="dxa"/>
            <w:tcBorders>
              <w:top w:val="nil"/>
              <w:left w:val="nil"/>
              <w:bottom w:val="nil"/>
              <w:right w:val="nil"/>
            </w:tcBorders>
            <w:shd w:val="clear" w:color="auto" w:fill="auto"/>
            <w:noWrap/>
            <w:hideMark/>
          </w:tcPr>
          <w:p w14:paraId="252778BA" w14:textId="711F0D57"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$17,300</w:t>
            </w:r>
          </w:p>
        </w:tc>
        <w:tc>
          <w:tcPr>
            <w:tcW w:w="1417" w:type="dxa"/>
            <w:tcBorders>
              <w:top w:val="nil"/>
              <w:left w:val="nil"/>
              <w:bottom w:val="nil"/>
              <w:right w:val="nil"/>
            </w:tcBorders>
            <w:shd w:val="clear" w:color="auto" w:fill="auto"/>
            <w:noWrap/>
            <w:hideMark/>
          </w:tcPr>
          <w:p w14:paraId="764F365B" w14:textId="41E8B142"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57E54980" w14:textId="6DA5D108"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32C8B6A2" w14:textId="77777777" w:rsidTr="00BD7EB4">
        <w:trPr>
          <w:trHeight w:val="232"/>
        </w:trPr>
        <w:tc>
          <w:tcPr>
            <w:tcW w:w="1422" w:type="dxa"/>
            <w:tcBorders>
              <w:left w:val="nil"/>
              <w:right w:val="nil"/>
            </w:tcBorders>
            <w:vAlign w:val="center"/>
          </w:tcPr>
          <w:p w14:paraId="7C44A152"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6FEDBA1A"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2018</w:t>
            </w:r>
          </w:p>
        </w:tc>
        <w:tc>
          <w:tcPr>
            <w:tcW w:w="1417" w:type="dxa"/>
            <w:tcBorders>
              <w:top w:val="nil"/>
              <w:left w:val="nil"/>
              <w:bottom w:val="nil"/>
              <w:right w:val="nil"/>
            </w:tcBorders>
            <w:shd w:val="clear" w:color="auto" w:fill="auto"/>
            <w:noWrap/>
          </w:tcPr>
          <w:p w14:paraId="0E096645" w14:textId="7BC289EB"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19A50B0F" w14:textId="25EA02C5"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$17,500</w:t>
            </w:r>
          </w:p>
        </w:tc>
        <w:tc>
          <w:tcPr>
            <w:tcW w:w="1417" w:type="dxa"/>
            <w:tcBorders>
              <w:top w:val="nil"/>
              <w:left w:val="nil"/>
              <w:bottom w:val="nil"/>
              <w:right w:val="nil"/>
            </w:tcBorders>
            <w:shd w:val="clear" w:color="auto" w:fill="auto"/>
            <w:noWrap/>
          </w:tcPr>
          <w:p w14:paraId="6BA5F572" w14:textId="45DCA9FA"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$17,700</w:t>
            </w:r>
          </w:p>
        </w:tc>
        <w:tc>
          <w:tcPr>
            <w:tcW w:w="1417" w:type="dxa"/>
            <w:tcBorders>
              <w:top w:val="nil"/>
              <w:left w:val="nil"/>
              <w:bottom w:val="nil"/>
              <w:right w:val="nil"/>
            </w:tcBorders>
            <w:shd w:val="clear" w:color="auto" w:fill="auto"/>
            <w:noWrap/>
          </w:tcPr>
          <w:p w14:paraId="58C5FCB1" w14:textId="4D2DB342"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$17,600</w:t>
            </w:r>
          </w:p>
        </w:tc>
        <w:tc>
          <w:tcPr>
            <w:tcW w:w="1417" w:type="dxa"/>
            <w:tcBorders>
              <w:top w:val="nil"/>
              <w:left w:val="nil"/>
              <w:bottom w:val="nil"/>
              <w:right w:val="nil"/>
            </w:tcBorders>
            <w:shd w:val="clear" w:color="auto" w:fill="auto"/>
          </w:tcPr>
          <w:p w14:paraId="3E7BE9E4" w14:textId="3534DB38"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55A00BFE" w14:textId="77777777" w:rsidTr="00BD7EB4">
        <w:trPr>
          <w:trHeight w:val="232"/>
        </w:trPr>
        <w:tc>
          <w:tcPr>
            <w:tcW w:w="1422" w:type="dxa"/>
            <w:tcBorders>
              <w:left w:val="nil"/>
              <w:right w:val="nil"/>
            </w:tcBorders>
            <w:vAlign w:val="center"/>
          </w:tcPr>
          <w:p w14:paraId="5913206B"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4DCF9238"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2019</w:t>
            </w:r>
          </w:p>
        </w:tc>
        <w:tc>
          <w:tcPr>
            <w:tcW w:w="1417" w:type="dxa"/>
            <w:tcBorders>
              <w:top w:val="nil"/>
              <w:left w:val="nil"/>
              <w:bottom w:val="nil"/>
              <w:right w:val="nil"/>
            </w:tcBorders>
            <w:shd w:val="clear" w:color="auto" w:fill="auto"/>
            <w:noWrap/>
          </w:tcPr>
          <w:p w14:paraId="2F295705" w14:textId="4A2E55BF"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5FFC2B23" w14:textId="7F2CF584"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$17,700</w:t>
            </w:r>
          </w:p>
        </w:tc>
        <w:tc>
          <w:tcPr>
            <w:tcW w:w="1417" w:type="dxa"/>
            <w:tcBorders>
              <w:top w:val="nil"/>
              <w:left w:val="nil"/>
              <w:bottom w:val="nil"/>
              <w:right w:val="nil"/>
            </w:tcBorders>
            <w:shd w:val="clear" w:color="auto" w:fill="auto"/>
            <w:noWrap/>
          </w:tcPr>
          <w:p w14:paraId="680FD320" w14:textId="27BC6D98"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$17,900</w:t>
            </w:r>
          </w:p>
        </w:tc>
        <w:tc>
          <w:tcPr>
            <w:tcW w:w="1417" w:type="dxa"/>
            <w:tcBorders>
              <w:top w:val="nil"/>
              <w:left w:val="nil"/>
              <w:bottom w:val="nil"/>
              <w:right w:val="nil"/>
            </w:tcBorders>
            <w:shd w:val="clear" w:color="auto" w:fill="auto"/>
            <w:noWrap/>
          </w:tcPr>
          <w:p w14:paraId="422364AB" w14:textId="5FADCD05"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$17,800</w:t>
            </w:r>
          </w:p>
        </w:tc>
        <w:tc>
          <w:tcPr>
            <w:tcW w:w="1417" w:type="dxa"/>
            <w:tcBorders>
              <w:top w:val="nil"/>
              <w:left w:val="nil"/>
              <w:bottom w:val="nil"/>
              <w:right w:val="nil"/>
            </w:tcBorders>
            <w:shd w:val="clear" w:color="auto" w:fill="auto"/>
          </w:tcPr>
          <w:p w14:paraId="62D9B921" w14:textId="5B2AAB33"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$17,900</w:t>
            </w:r>
          </w:p>
        </w:tc>
      </w:tr>
      <w:tr w:rsidR="009E4CA1" w:rsidRPr="00F46999" w14:paraId="7CF06F70" w14:textId="77777777" w:rsidTr="00BD7EB4">
        <w:trPr>
          <w:trHeight w:val="232"/>
        </w:trPr>
        <w:tc>
          <w:tcPr>
            <w:tcW w:w="1422" w:type="dxa"/>
            <w:tcBorders>
              <w:left w:val="nil"/>
              <w:bottom w:val="single" w:sz="4" w:space="0" w:color="000000"/>
              <w:right w:val="nil"/>
            </w:tcBorders>
            <w:vAlign w:val="center"/>
            <w:hideMark/>
          </w:tcPr>
          <w:p w14:paraId="77F8E36A"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single" w:sz="4" w:space="0" w:color="auto"/>
              <w:right w:val="nil"/>
            </w:tcBorders>
            <w:shd w:val="clear" w:color="auto" w:fill="auto"/>
            <w:noWrap/>
            <w:vAlign w:val="bottom"/>
            <w:hideMark/>
          </w:tcPr>
          <w:p w14:paraId="2239590A"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2020</w:t>
            </w:r>
          </w:p>
        </w:tc>
        <w:tc>
          <w:tcPr>
            <w:tcW w:w="1417" w:type="dxa"/>
            <w:tcBorders>
              <w:top w:val="nil"/>
              <w:left w:val="nil"/>
              <w:bottom w:val="single" w:sz="4" w:space="0" w:color="auto"/>
              <w:right w:val="nil"/>
            </w:tcBorders>
            <w:shd w:val="clear" w:color="auto" w:fill="auto"/>
            <w:noWrap/>
            <w:hideMark/>
          </w:tcPr>
          <w:p w14:paraId="0D198E1B" w14:textId="26CC07A4"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single" w:sz="4" w:space="0" w:color="auto"/>
              <w:right w:val="nil"/>
            </w:tcBorders>
            <w:shd w:val="clear" w:color="auto" w:fill="auto"/>
            <w:noWrap/>
            <w:hideMark/>
          </w:tcPr>
          <w:p w14:paraId="286D6180" w14:textId="5293FCD5"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$17,600</w:t>
            </w:r>
          </w:p>
        </w:tc>
        <w:tc>
          <w:tcPr>
            <w:tcW w:w="1417" w:type="dxa"/>
            <w:tcBorders>
              <w:top w:val="nil"/>
              <w:left w:val="nil"/>
              <w:bottom w:val="single" w:sz="4" w:space="0" w:color="auto"/>
              <w:right w:val="nil"/>
            </w:tcBorders>
            <w:shd w:val="clear" w:color="auto" w:fill="auto"/>
            <w:noWrap/>
            <w:hideMark/>
          </w:tcPr>
          <w:p w14:paraId="07422E1D" w14:textId="3B801B42"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$17,700</w:t>
            </w:r>
          </w:p>
        </w:tc>
        <w:tc>
          <w:tcPr>
            <w:tcW w:w="1417" w:type="dxa"/>
            <w:tcBorders>
              <w:top w:val="nil"/>
              <w:left w:val="nil"/>
              <w:bottom w:val="single" w:sz="4" w:space="0" w:color="auto"/>
              <w:right w:val="nil"/>
            </w:tcBorders>
            <w:shd w:val="clear" w:color="auto" w:fill="auto"/>
            <w:noWrap/>
            <w:hideMark/>
          </w:tcPr>
          <w:p w14:paraId="10EFD45F" w14:textId="40605DDC"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$17,800</w:t>
            </w:r>
          </w:p>
        </w:tc>
        <w:tc>
          <w:tcPr>
            <w:tcW w:w="1417" w:type="dxa"/>
            <w:tcBorders>
              <w:top w:val="nil"/>
              <w:left w:val="nil"/>
              <w:bottom w:val="single" w:sz="4" w:space="0" w:color="auto"/>
              <w:right w:val="nil"/>
            </w:tcBorders>
            <w:shd w:val="clear" w:color="auto" w:fill="auto"/>
          </w:tcPr>
          <w:p w14:paraId="5BB2FF13" w14:textId="5BDEF43C"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$17,900</w:t>
            </w:r>
          </w:p>
        </w:tc>
      </w:tr>
      <w:tr w:rsidR="009E4CA1" w:rsidRPr="00F46999" w14:paraId="3A23A5BA" w14:textId="77777777" w:rsidTr="00BD7EB4">
        <w:trPr>
          <w:trHeight w:val="282"/>
        </w:trPr>
        <w:tc>
          <w:tcPr>
            <w:tcW w:w="1422" w:type="dxa"/>
            <w:tcBorders>
              <w:top w:val="nil"/>
              <w:left w:val="nil"/>
              <w:right w:val="nil"/>
            </w:tcBorders>
            <w:shd w:val="clear" w:color="auto" w:fill="auto"/>
            <w:noWrap/>
            <w:vAlign w:val="center"/>
            <w:hideMark/>
          </w:tcPr>
          <w:p w14:paraId="2EF01F56" w14:textId="77777777" w:rsidR="009E4CA1" w:rsidRPr="00BB165A" w:rsidRDefault="009E4CA1" w:rsidP="009E4CA1">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Postgraduate</w:t>
            </w:r>
          </w:p>
        </w:tc>
        <w:tc>
          <w:tcPr>
            <w:tcW w:w="627" w:type="dxa"/>
            <w:tcBorders>
              <w:top w:val="nil"/>
              <w:left w:val="nil"/>
              <w:bottom w:val="nil"/>
              <w:right w:val="nil"/>
            </w:tcBorders>
            <w:shd w:val="clear" w:color="auto" w:fill="auto"/>
            <w:noWrap/>
            <w:vAlign w:val="bottom"/>
            <w:hideMark/>
          </w:tcPr>
          <w:p w14:paraId="4CEF05A0"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2010</w:t>
            </w:r>
          </w:p>
        </w:tc>
        <w:tc>
          <w:tcPr>
            <w:tcW w:w="1417" w:type="dxa"/>
            <w:tcBorders>
              <w:top w:val="nil"/>
              <w:left w:val="nil"/>
              <w:bottom w:val="nil"/>
              <w:right w:val="nil"/>
            </w:tcBorders>
            <w:shd w:val="clear" w:color="auto" w:fill="auto"/>
            <w:noWrap/>
            <w:hideMark/>
          </w:tcPr>
          <w:p w14:paraId="08B7ADBC" w14:textId="78D6A662"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$17,400</w:t>
            </w:r>
          </w:p>
        </w:tc>
        <w:tc>
          <w:tcPr>
            <w:tcW w:w="1417" w:type="dxa"/>
            <w:tcBorders>
              <w:top w:val="nil"/>
              <w:left w:val="nil"/>
              <w:bottom w:val="nil"/>
              <w:right w:val="nil"/>
            </w:tcBorders>
            <w:shd w:val="clear" w:color="auto" w:fill="auto"/>
            <w:noWrap/>
            <w:hideMark/>
          </w:tcPr>
          <w:p w14:paraId="0990BA46" w14:textId="41E6299F"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1046D305" w14:textId="2731B15F"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081A1427" w14:textId="7E0BA3AF"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6B83CB85" w14:textId="74018F24"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6C726F04" w14:textId="77777777" w:rsidTr="00BD7EB4">
        <w:trPr>
          <w:trHeight w:val="232"/>
        </w:trPr>
        <w:tc>
          <w:tcPr>
            <w:tcW w:w="1422" w:type="dxa"/>
            <w:tcBorders>
              <w:top w:val="nil"/>
              <w:left w:val="nil"/>
              <w:right w:val="nil"/>
            </w:tcBorders>
            <w:shd w:val="clear" w:color="auto" w:fill="auto"/>
            <w:vAlign w:val="center"/>
            <w:hideMark/>
          </w:tcPr>
          <w:p w14:paraId="0499A684"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1595D68B"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2015</w:t>
            </w:r>
          </w:p>
        </w:tc>
        <w:tc>
          <w:tcPr>
            <w:tcW w:w="1417" w:type="dxa"/>
            <w:tcBorders>
              <w:top w:val="nil"/>
              <w:left w:val="nil"/>
              <w:bottom w:val="nil"/>
              <w:right w:val="nil"/>
            </w:tcBorders>
            <w:shd w:val="clear" w:color="auto" w:fill="auto"/>
            <w:noWrap/>
            <w:hideMark/>
          </w:tcPr>
          <w:p w14:paraId="30545C01" w14:textId="176E410B"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F5A4D1C" w14:textId="5C44442D"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$20,500</w:t>
            </w:r>
          </w:p>
        </w:tc>
        <w:tc>
          <w:tcPr>
            <w:tcW w:w="1417" w:type="dxa"/>
            <w:tcBorders>
              <w:top w:val="nil"/>
              <w:left w:val="nil"/>
              <w:bottom w:val="nil"/>
              <w:right w:val="nil"/>
            </w:tcBorders>
            <w:shd w:val="clear" w:color="auto" w:fill="auto"/>
            <w:noWrap/>
            <w:hideMark/>
          </w:tcPr>
          <w:p w14:paraId="364CEE3C" w14:textId="7246E8C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405C3D14" w14:textId="104FCDC7"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2D9FF478" w14:textId="76D9EC09"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6A200865" w14:textId="77777777" w:rsidTr="00BD7EB4">
        <w:trPr>
          <w:trHeight w:val="232"/>
        </w:trPr>
        <w:tc>
          <w:tcPr>
            <w:tcW w:w="1422" w:type="dxa"/>
            <w:tcBorders>
              <w:left w:val="nil"/>
              <w:right w:val="nil"/>
            </w:tcBorders>
            <w:shd w:val="clear" w:color="auto" w:fill="auto"/>
            <w:vAlign w:val="center"/>
            <w:hideMark/>
          </w:tcPr>
          <w:p w14:paraId="7D19DAF8"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63F2594C"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2017</w:t>
            </w:r>
          </w:p>
        </w:tc>
        <w:tc>
          <w:tcPr>
            <w:tcW w:w="1417" w:type="dxa"/>
            <w:tcBorders>
              <w:top w:val="nil"/>
              <w:left w:val="nil"/>
              <w:bottom w:val="nil"/>
              <w:right w:val="nil"/>
            </w:tcBorders>
            <w:shd w:val="clear" w:color="auto" w:fill="auto"/>
            <w:noWrap/>
            <w:hideMark/>
          </w:tcPr>
          <w:p w14:paraId="6358A687" w14:textId="5729C891"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5AF974CA" w14:textId="17E513B9"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$21,800</w:t>
            </w:r>
          </w:p>
        </w:tc>
        <w:tc>
          <w:tcPr>
            <w:tcW w:w="1417" w:type="dxa"/>
            <w:tcBorders>
              <w:top w:val="nil"/>
              <w:left w:val="nil"/>
              <w:bottom w:val="nil"/>
              <w:right w:val="nil"/>
            </w:tcBorders>
            <w:shd w:val="clear" w:color="auto" w:fill="auto"/>
            <w:noWrap/>
            <w:hideMark/>
          </w:tcPr>
          <w:p w14:paraId="2F024ADE" w14:textId="0BC643F3"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$22,200</w:t>
            </w:r>
          </w:p>
        </w:tc>
        <w:tc>
          <w:tcPr>
            <w:tcW w:w="1417" w:type="dxa"/>
            <w:tcBorders>
              <w:top w:val="nil"/>
              <w:left w:val="nil"/>
              <w:bottom w:val="nil"/>
              <w:right w:val="nil"/>
            </w:tcBorders>
            <w:shd w:val="clear" w:color="auto" w:fill="auto"/>
            <w:noWrap/>
            <w:hideMark/>
          </w:tcPr>
          <w:p w14:paraId="05FEE631" w14:textId="647EBE9B"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1ED19A7A" w14:textId="125B8286"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4C1ABC5B" w14:textId="77777777" w:rsidTr="00BD7EB4">
        <w:trPr>
          <w:trHeight w:val="232"/>
        </w:trPr>
        <w:tc>
          <w:tcPr>
            <w:tcW w:w="1422" w:type="dxa"/>
            <w:tcBorders>
              <w:top w:val="nil"/>
              <w:left w:val="nil"/>
              <w:right w:val="nil"/>
            </w:tcBorders>
            <w:vAlign w:val="center"/>
          </w:tcPr>
          <w:p w14:paraId="69EEEEDE"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0E4EB53C"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2018</w:t>
            </w:r>
          </w:p>
        </w:tc>
        <w:tc>
          <w:tcPr>
            <w:tcW w:w="1417" w:type="dxa"/>
            <w:tcBorders>
              <w:top w:val="nil"/>
              <w:left w:val="nil"/>
              <w:bottom w:val="nil"/>
              <w:right w:val="nil"/>
            </w:tcBorders>
            <w:shd w:val="clear" w:color="auto" w:fill="auto"/>
            <w:noWrap/>
          </w:tcPr>
          <w:p w14:paraId="7C8B7890" w14:textId="4E4FDE3B"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0D9D2E3E" w14:textId="42860B52"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$21,900</w:t>
            </w:r>
          </w:p>
        </w:tc>
        <w:tc>
          <w:tcPr>
            <w:tcW w:w="1417" w:type="dxa"/>
            <w:tcBorders>
              <w:top w:val="nil"/>
              <w:left w:val="nil"/>
              <w:bottom w:val="nil"/>
              <w:right w:val="nil"/>
            </w:tcBorders>
            <w:shd w:val="clear" w:color="auto" w:fill="auto"/>
            <w:noWrap/>
          </w:tcPr>
          <w:p w14:paraId="6203B2CC" w14:textId="1743303B"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$22,000</w:t>
            </w:r>
          </w:p>
        </w:tc>
        <w:tc>
          <w:tcPr>
            <w:tcW w:w="1417" w:type="dxa"/>
            <w:tcBorders>
              <w:top w:val="nil"/>
              <w:left w:val="nil"/>
              <w:bottom w:val="nil"/>
              <w:right w:val="nil"/>
            </w:tcBorders>
            <w:shd w:val="clear" w:color="auto" w:fill="auto"/>
            <w:noWrap/>
          </w:tcPr>
          <w:p w14:paraId="42EF37BE" w14:textId="51735C8B"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$21,500</w:t>
            </w:r>
          </w:p>
        </w:tc>
        <w:tc>
          <w:tcPr>
            <w:tcW w:w="1417" w:type="dxa"/>
            <w:tcBorders>
              <w:top w:val="nil"/>
              <w:left w:val="nil"/>
              <w:bottom w:val="nil"/>
              <w:right w:val="nil"/>
            </w:tcBorders>
            <w:shd w:val="clear" w:color="auto" w:fill="auto"/>
          </w:tcPr>
          <w:p w14:paraId="6E3A429F" w14:textId="3789B3D9"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0F46C247" w14:textId="77777777" w:rsidTr="00BD7EB4">
        <w:trPr>
          <w:trHeight w:val="232"/>
        </w:trPr>
        <w:tc>
          <w:tcPr>
            <w:tcW w:w="1422" w:type="dxa"/>
            <w:tcBorders>
              <w:top w:val="nil"/>
              <w:left w:val="nil"/>
              <w:right w:val="nil"/>
            </w:tcBorders>
            <w:vAlign w:val="center"/>
          </w:tcPr>
          <w:p w14:paraId="38B8CCCB"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24956A81"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2019</w:t>
            </w:r>
          </w:p>
        </w:tc>
        <w:tc>
          <w:tcPr>
            <w:tcW w:w="1417" w:type="dxa"/>
            <w:tcBorders>
              <w:top w:val="nil"/>
              <w:left w:val="nil"/>
              <w:bottom w:val="nil"/>
              <w:right w:val="nil"/>
            </w:tcBorders>
            <w:shd w:val="clear" w:color="auto" w:fill="auto"/>
            <w:noWrap/>
          </w:tcPr>
          <w:p w14:paraId="132399C7" w14:textId="064D9B02"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57CF22A3" w14:textId="3F175BFA"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$21,900</w:t>
            </w:r>
          </w:p>
        </w:tc>
        <w:tc>
          <w:tcPr>
            <w:tcW w:w="1417" w:type="dxa"/>
            <w:tcBorders>
              <w:top w:val="nil"/>
              <w:left w:val="nil"/>
              <w:bottom w:val="nil"/>
              <w:right w:val="nil"/>
            </w:tcBorders>
            <w:shd w:val="clear" w:color="auto" w:fill="auto"/>
            <w:noWrap/>
          </w:tcPr>
          <w:p w14:paraId="40709BA9" w14:textId="228D5427"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$22,000</w:t>
            </w:r>
          </w:p>
        </w:tc>
        <w:tc>
          <w:tcPr>
            <w:tcW w:w="1417" w:type="dxa"/>
            <w:tcBorders>
              <w:top w:val="nil"/>
              <w:left w:val="nil"/>
              <w:bottom w:val="nil"/>
              <w:right w:val="nil"/>
            </w:tcBorders>
            <w:shd w:val="clear" w:color="auto" w:fill="auto"/>
            <w:noWrap/>
          </w:tcPr>
          <w:p w14:paraId="3B107112" w14:textId="580E6120"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$21,700</w:t>
            </w:r>
          </w:p>
        </w:tc>
        <w:tc>
          <w:tcPr>
            <w:tcW w:w="1417" w:type="dxa"/>
            <w:tcBorders>
              <w:top w:val="nil"/>
              <w:left w:val="nil"/>
              <w:bottom w:val="nil"/>
              <w:right w:val="nil"/>
            </w:tcBorders>
            <w:shd w:val="clear" w:color="auto" w:fill="auto"/>
          </w:tcPr>
          <w:p w14:paraId="00CE8EBE" w14:textId="31C6E00E"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$21,500</w:t>
            </w:r>
          </w:p>
        </w:tc>
      </w:tr>
      <w:tr w:rsidR="009E4CA1" w:rsidRPr="00F46999" w14:paraId="635208FF" w14:textId="77777777" w:rsidTr="00BD7EB4">
        <w:trPr>
          <w:trHeight w:val="232"/>
        </w:trPr>
        <w:tc>
          <w:tcPr>
            <w:tcW w:w="1422" w:type="dxa"/>
            <w:tcBorders>
              <w:left w:val="nil"/>
              <w:bottom w:val="single" w:sz="4" w:space="0" w:color="000000"/>
              <w:right w:val="nil"/>
            </w:tcBorders>
            <w:vAlign w:val="center"/>
            <w:hideMark/>
          </w:tcPr>
          <w:p w14:paraId="2897DA90"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single" w:sz="4" w:space="0" w:color="auto"/>
              <w:right w:val="nil"/>
            </w:tcBorders>
            <w:shd w:val="clear" w:color="auto" w:fill="auto"/>
            <w:noWrap/>
            <w:vAlign w:val="bottom"/>
            <w:hideMark/>
          </w:tcPr>
          <w:p w14:paraId="64A89134"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2020</w:t>
            </w:r>
          </w:p>
        </w:tc>
        <w:tc>
          <w:tcPr>
            <w:tcW w:w="1417" w:type="dxa"/>
            <w:tcBorders>
              <w:top w:val="nil"/>
              <w:left w:val="nil"/>
              <w:bottom w:val="single" w:sz="4" w:space="0" w:color="auto"/>
              <w:right w:val="nil"/>
            </w:tcBorders>
            <w:shd w:val="clear" w:color="auto" w:fill="auto"/>
            <w:noWrap/>
            <w:hideMark/>
          </w:tcPr>
          <w:p w14:paraId="31D753A4" w14:textId="2E5B336E"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single" w:sz="4" w:space="0" w:color="auto"/>
              <w:right w:val="nil"/>
            </w:tcBorders>
            <w:shd w:val="clear" w:color="auto" w:fill="auto"/>
            <w:noWrap/>
            <w:hideMark/>
          </w:tcPr>
          <w:p w14:paraId="2CB09159" w14:textId="12C56369"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$21,900</w:t>
            </w:r>
          </w:p>
        </w:tc>
        <w:tc>
          <w:tcPr>
            <w:tcW w:w="1417" w:type="dxa"/>
            <w:tcBorders>
              <w:top w:val="nil"/>
              <w:left w:val="nil"/>
              <w:bottom w:val="single" w:sz="4" w:space="0" w:color="auto"/>
              <w:right w:val="nil"/>
            </w:tcBorders>
            <w:shd w:val="clear" w:color="auto" w:fill="auto"/>
            <w:noWrap/>
            <w:hideMark/>
          </w:tcPr>
          <w:p w14:paraId="0CC4C3D9" w14:textId="04630CA4"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$22,000</w:t>
            </w:r>
          </w:p>
        </w:tc>
        <w:tc>
          <w:tcPr>
            <w:tcW w:w="1417" w:type="dxa"/>
            <w:tcBorders>
              <w:top w:val="nil"/>
              <w:left w:val="nil"/>
              <w:bottom w:val="single" w:sz="4" w:space="0" w:color="auto"/>
              <w:right w:val="nil"/>
            </w:tcBorders>
            <w:shd w:val="clear" w:color="auto" w:fill="auto"/>
            <w:noWrap/>
            <w:hideMark/>
          </w:tcPr>
          <w:p w14:paraId="739A1E5E" w14:textId="0465718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$21,900</w:t>
            </w:r>
          </w:p>
        </w:tc>
        <w:tc>
          <w:tcPr>
            <w:tcW w:w="1417" w:type="dxa"/>
            <w:tcBorders>
              <w:top w:val="nil"/>
              <w:left w:val="nil"/>
              <w:bottom w:val="single" w:sz="4" w:space="0" w:color="auto"/>
              <w:right w:val="nil"/>
            </w:tcBorders>
            <w:shd w:val="clear" w:color="auto" w:fill="auto"/>
          </w:tcPr>
          <w:p w14:paraId="7A8BE160" w14:textId="12472224"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$21,700</w:t>
            </w:r>
          </w:p>
        </w:tc>
      </w:tr>
      <w:tr w:rsidR="009E4CA1" w:rsidRPr="00F46999" w14:paraId="3E06C3F0" w14:textId="77777777" w:rsidTr="00BD7EB4">
        <w:trPr>
          <w:trHeight w:val="232"/>
        </w:trPr>
        <w:tc>
          <w:tcPr>
            <w:tcW w:w="1422" w:type="dxa"/>
            <w:tcBorders>
              <w:top w:val="nil"/>
              <w:left w:val="nil"/>
              <w:right w:val="nil"/>
            </w:tcBorders>
            <w:shd w:val="clear" w:color="auto" w:fill="auto"/>
            <w:noWrap/>
            <w:vAlign w:val="center"/>
            <w:hideMark/>
          </w:tcPr>
          <w:p w14:paraId="5D3018D8"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asciiTheme="majorHAnsi" w:eastAsia="Times New Roman" w:hAnsiTheme="majorHAnsi" w:cs="Arial"/>
                <w:b/>
                <w:sz w:val="16"/>
                <w:szCs w:val="16"/>
                <w:lang w:eastAsia="en-AU"/>
              </w:rPr>
              <w:t>Total</w:t>
            </w:r>
            <w:r w:rsidRPr="00BB165A">
              <w:rPr>
                <w:rFonts w:asciiTheme="majorHAnsi" w:eastAsia="Times New Roman" w:hAnsiTheme="majorHAnsi" w:cs="Arial"/>
                <w:sz w:val="16"/>
                <w:szCs w:val="16"/>
                <w:lang w:eastAsia="en-AU"/>
              </w:rPr>
              <w:t>*</w:t>
            </w:r>
          </w:p>
        </w:tc>
        <w:tc>
          <w:tcPr>
            <w:tcW w:w="627" w:type="dxa"/>
            <w:tcBorders>
              <w:top w:val="nil"/>
              <w:left w:val="nil"/>
              <w:bottom w:val="nil"/>
              <w:right w:val="nil"/>
            </w:tcBorders>
            <w:shd w:val="clear" w:color="auto" w:fill="auto"/>
            <w:noWrap/>
            <w:vAlign w:val="bottom"/>
            <w:hideMark/>
          </w:tcPr>
          <w:p w14:paraId="1935FA20"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2010</w:t>
            </w:r>
          </w:p>
        </w:tc>
        <w:tc>
          <w:tcPr>
            <w:tcW w:w="1417" w:type="dxa"/>
            <w:tcBorders>
              <w:top w:val="nil"/>
              <w:left w:val="nil"/>
              <w:bottom w:val="nil"/>
              <w:right w:val="nil"/>
            </w:tcBorders>
            <w:shd w:val="clear" w:color="auto" w:fill="auto"/>
            <w:noWrap/>
            <w:hideMark/>
          </w:tcPr>
          <w:p w14:paraId="46C9676E" w14:textId="5B414E61"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$15,500</w:t>
            </w:r>
          </w:p>
        </w:tc>
        <w:tc>
          <w:tcPr>
            <w:tcW w:w="1417" w:type="dxa"/>
            <w:tcBorders>
              <w:top w:val="nil"/>
              <w:left w:val="nil"/>
              <w:bottom w:val="nil"/>
              <w:right w:val="nil"/>
            </w:tcBorders>
            <w:shd w:val="clear" w:color="auto" w:fill="auto"/>
            <w:noWrap/>
            <w:hideMark/>
          </w:tcPr>
          <w:p w14:paraId="3791BD94" w14:textId="14DE76F0"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6D22AFB4" w14:textId="61E69040"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66BB7D88" w14:textId="51C0EE12"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41CBAF09" w14:textId="748B68F0"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28AAF3E6" w14:textId="77777777" w:rsidTr="00BD7EB4">
        <w:trPr>
          <w:trHeight w:val="232"/>
        </w:trPr>
        <w:tc>
          <w:tcPr>
            <w:tcW w:w="1422" w:type="dxa"/>
            <w:tcBorders>
              <w:left w:val="nil"/>
              <w:right w:val="nil"/>
            </w:tcBorders>
            <w:shd w:val="clear" w:color="auto" w:fill="auto"/>
            <w:noWrap/>
            <w:vAlign w:val="center"/>
            <w:hideMark/>
          </w:tcPr>
          <w:p w14:paraId="24979599" w14:textId="77777777" w:rsidR="009E4CA1" w:rsidRPr="00BB165A" w:rsidRDefault="009E4CA1" w:rsidP="009E4CA1">
            <w:pPr>
              <w:spacing w:after="0" w:line="240" w:lineRule="auto"/>
              <w:rPr>
                <w:rFonts w:asciiTheme="majorHAnsi" w:eastAsia="Times New Roman" w:hAnsiTheme="majorHAnsi" w:cs="Arial"/>
                <w:b/>
                <w:sz w:val="16"/>
                <w:szCs w:val="16"/>
                <w:lang w:eastAsia="en-AU"/>
              </w:rPr>
            </w:pPr>
          </w:p>
        </w:tc>
        <w:tc>
          <w:tcPr>
            <w:tcW w:w="627" w:type="dxa"/>
            <w:tcBorders>
              <w:top w:val="nil"/>
              <w:left w:val="nil"/>
              <w:bottom w:val="nil"/>
              <w:right w:val="nil"/>
            </w:tcBorders>
            <w:shd w:val="clear" w:color="auto" w:fill="auto"/>
            <w:noWrap/>
            <w:vAlign w:val="bottom"/>
            <w:hideMark/>
          </w:tcPr>
          <w:p w14:paraId="6652C607"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2015</w:t>
            </w:r>
          </w:p>
        </w:tc>
        <w:tc>
          <w:tcPr>
            <w:tcW w:w="1417" w:type="dxa"/>
            <w:tcBorders>
              <w:top w:val="nil"/>
              <w:left w:val="nil"/>
              <w:bottom w:val="nil"/>
              <w:right w:val="nil"/>
            </w:tcBorders>
            <w:shd w:val="clear" w:color="auto" w:fill="auto"/>
            <w:noWrap/>
            <w:hideMark/>
          </w:tcPr>
          <w:p w14:paraId="1083E445" w14:textId="42BE5440"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2ED8E9DC" w14:textId="60AD4B4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$17,000</w:t>
            </w:r>
          </w:p>
        </w:tc>
        <w:tc>
          <w:tcPr>
            <w:tcW w:w="1417" w:type="dxa"/>
            <w:tcBorders>
              <w:top w:val="nil"/>
              <w:left w:val="nil"/>
              <w:bottom w:val="nil"/>
              <w:right w:val="nil"/>
            </w:tcBorders>
            <w:shd w:val="clear" w:color="auto" w:fill="auto"/>
            <w:noWrap/>
            <w:hideMark/>
          </w:tcPr>
          <w:p w14:paraId="529058A4" w14:textId="516D5566"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06A55C81" w14:textId="3528A18D"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10DA7AF0" w14:textId="5B3C1D31"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099BA69C" w14:textId="77777777" w:rsidTr="00BD7EB4">
        <w:trPr>
          <w:trHeight w:val="232"/>
        </w:trPr>
        <w:tc>
          <w:tcPr>
            <w:tcW w:w="1422" w:type="dxa"/>
            <w:tcBorders>
              <w:left w:val="nil"/>
              <w:right w:val="nil"/>
            </w:tcBorders>
            <w:shd w:val="clear" w:color="auto" w:fill="auto"/>
            <w:noWrap/>
            <w:vAlign w:val="center"/>
            <w:hideMark/>
          </w:tcPr>
          <w:p w14:paraId="415B8690"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hideMark/>
          </w:tcPr>
          <w:p w14:paraId="6F460B24"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2017</w:t>
            </w:r>
          </w:p>
        </w:tc>
        <w:tc>
          <w:tcPr>
            <w:tcW w:w="1417" w:type="dxa"/>
            <w:tcBorders>
              <w:top w:val="nil"/>
              <w:left w:val="nil"/>
              <w:bottom w:val="nil"/>
              <w:right w:val="nil"/>
            </w:tcBorders>
            <w:shd w:val="clear" w:color="auto" w:fill="auto"/>
            <w:noWrap/>
            <w:hideMark/>
          </w:tcPr>
          <w:p w14:paraId="6D265332" w14:textId="1984DE6C"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hideMark/>
          </w:tcPr>
          <w:p w14:paraId="72528D63" w14:textId="038127BD"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$18,100</w:t>
            </w:r>
          </w:p>
        </w:tc>
        <w:tc>
          <w:tcPr>
            <w:tcW w:w="1417" w:type="dxa"/>
            <w:tcBorders>
              <w:top w:val="nil"/>
              <w:left w:val="nil"/>
              <w:bottom w:val="nil"/>
              <w:right w:val="nil"/>
            </w:tcBorders>
            <w:shd w:val="clear" w:color="auto" w:fill="auto"/>
            <w:noWrap/>
            <w:hideMark/>
          </w:tcPr>
          <w:p w14:paraId="64070247" w14:textId="431B5CDF"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$18,400</w:t>
            </w:r>
          </w:p>
        </w:tc>
        <w:tc>
          <w:tcPr>
            <w:tcW w:w="1417" w:type="dxa"/>
            <w:tcBorders>
              <w:top w:val="nil"/>
              <w:left w:val="nil"/>
              <w:bottom w:val="nil"/>
              <w:right w:val="nil"/>
            </w:tcBorders>
            <w:shd w:val="clear" w:color="auto" w:fill="auto"/>
            <w:noWrap/>
            <w:hideMark/>
          </w:tcPr>
          <w:p w14:paraId="7BEF4C9C" w14:textId="5DF1CA18"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tcPr>
          <w:p w14:paraId="265AEF50" w14:textId="5D883208"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2DEF57CD" w14:textId="77777777" w:rsidTr="00BD7EB4">
        <w:trPr>
          <w:trHeight w:val="232"/>
        </w:trPr>
        <w:tc>
          <w:tcPr>
            <w:tcW w:w="1422" w:type="dxa"/>
            <w:tcBorders>
              <w:left w:val="nil"/>
              <w:right w:val="nil"/>
            </w:tcBorders>
            <w:shd w:val="clear" w:color="auto" w:fill="auto"/>
            <w:noWrap/>
            <w:vAlign w:val="center"/>
          </w:tcPr>
          <w:p w14:paraId="33535A48"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1FBB4B0F"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2018</w:t>
            </w:r>
          </w:p>
        </w:tc>
        <w:tc>
          <w:tcPr>
            <w:tcW w:w="1417" w:type="dxa"/>
            <w:tcBorders>
              <w:top w:val="nil"/>
              <w:left w:val="nil"/>
              <w:bottom w:val="nil"/>
              <w:right w:val="nil"/>
            </w:tcBorders>
            <w:shd w:val="clear" w:color="auto" w:fill="auto"/>
            <w:noWrap/>
          </w:tcPr>
          <w:p w14:paraId="6F3B3C30" w14:textId="5212B5F8"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4E80F10D" w14:textId="34F94CAB"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$18,600</w:t>
            </w:r>
          </w:p>
        </w:tc>
        <w:tc>
          <w:tcPr>
            <w:tcW w:w="1417" w:type="dxa"/>
            <w:tcBorders>
              <w:top w:val="nil"/>
              <w:left w:val="nil"/>
              <w:bottom w:val="nil"/>
              <w:right w:val="nil"/>
            </w:tcBorders>
            <w:shd w:val="clear" w:color="auto" w:fill="auto"/>
            <w:noWrap/>
          </w:tcPr>
          <w:p w14:paraId="43AC640D" w14:textId="05F79BAF"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$18,700</w:t>
            </w:r>
          </w:p>
        </w:tc>
        <w:tc>
          <w:tcPr>
            <w:tcW w:w="1417" w:type="dxa"/>
            <w:tcBorders>
              <w:top w:val="nil"/>
              <w:left w:val="nil"/>
              <w:bottom w:val="nil"/>
              <w:right w:val="nil"/>
            </w:tcBorders>
            <w:shd w:val="clear" w:color="auto" w:fill="auto"/>
            <w:noWrap/>
          </w:tcPr>
          <w:p w14:paraId="478728E1" w14:textId="5F3EA727"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$18,500</w:t>
            </w:r>
          </w:p>
        </w:tc>
        <w:tc>
          <w:tcPr>
            <w:tcW w:w="1417" w:type="dxa"/>
            <w:tcBorders>
              <w:top w:val="nil"/>
              <w:left w:val="nil"/>
              <w:bottom w:val="nil"/>
              <w:right w:val="nil"/>
            </w:tcBorders>
            <w:shd w:val="clear" w:color="auto" w:fill="auto"/>
          </w:tcPr>
          <w:p w14:paraId="273817A2" w14:textId="5EE46C2A"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9E4CA1" w:rsidRPr="00F46999" w14:paraId="2A025779" w14:textId="77777777" w:rsidTr="00BD7EB4">
        <w:trPr>
          <w:trHeight w:val="232"/>
        </w:trPr>
        <w:tc>
          <w:tcPr>
            <w:tcW w:w="1422" w:type="dxa"/>
            <w:tcBorders>
              <w:left w:val="nil"/>
              <w:right w:val="nil"/>
            </w:tcBorders>
            <w:shd w:val="clear" w:color="auto" w:fill="auto"/>
            <w:noWrap/>
            <w:vAlign w:val="center"/>
          </w:tcPr>
          <w:p w14:paraId="520824EB"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nil"/>
              <w:right w:val="nil"/>
            </w:tcBorders>
            <w:shd w:val="clear" w:color="auto" w:fill="auto"/>
            <w:noWrap/>
            <w:vAlign w:val="bottom"/>
          </w:tcPr>
          <w:p w14:paraId="1D7D3639"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2019</w:t>
            </w:r>
          </w:p>
        </w:tc>
        <w:tc>
          <w:tcPr>
            <w:tcW w:w="1417" w:type="dxa"/>
            <w:tcBorders>
              <w:top w:val="nil"/>
              <w:left w:val="nil"/>
              <w:bottom w:val="nil"/>
              <w:right w:val="nil"/>
            </w:tcBorders>
            <w:shd w:val="clear" w:color="auto" w:fill="auto"/>
            <w:noWrap/>
          </w:tcPr>
          <w:p w14:paraId="6795DCEE" w14:textId="062124F9"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417" w:type="dxa"/>
            <w:tcBorders>
              <w:top w:val="nil"/>
              <w:left w:val="nil"/>
              <w:bottom w:val="nil"/>
              <w:right w:val="nil"/>
            </w:tcBorders>
            <w:shd w:val="clear" w:color="auto" w:fill="auto"/>
            <w:noWrap/>
          </w:tcPr>
          <w:p w14:paraId="7B498773" w14:textId="0E9A6427"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$18,800</w:t>
            </w:r>
          </w:p>
        </w:tc>
        <w:tc>
          <w:tcPr>
            <w:tcW w:w="1417" w:type="dxa"/>
            <w:tcBorders>
              <w:top w:val="nil"/>
              <w:left w:val="nil"/>
              <w:bottom w:val="nil"/>
              <w:right w:val="nil"/>
            </w:tcBorders>
            <w:shd w:val="clear" w:color="auto" w:fill="auto"/>
            <w:noWrap/>
          </w:tcPr>
          <w:p w14:paraId="4EDE43AF" w14:textId="402ED303"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$18,900</w:t>
            </w:r>
          </w:p>
        </w:tc>
        <w:tc>
          <w:tcPr>
            <w:tcW w:w="1417" w:type="dxa"/>
            <w:tcBorders>
              <w:top w:val="nil"/>
              <w:left w:val="nil"/>
              <w:bottom w:val="nil"/>
              <w:right w:val="nil"/>
            </w:tcBorders>
            <w:shd w:val="clear" w:color="auto" w:fill="auto"/>
            <w:noWrap/>
          </w:tcPr>
          <w:p w14:paraId="3FD7629F" w14:textId="49C6DAEE"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$18,800</w:t>
            </w:r>
          </w:p>
        </w:tc>
        <w:tc>
          <w:tcPr>
            <w:tcW w:w="1417" w:type="dxa"/>
            <w:tcBorders>
              <w:top w:val="nil"/>
              <w:left w:val="nil"/>
              <w:bottom w:val="nil"/>
              <w:right w:val="nil"/>
            </w:tcBorders>
            <w:shd w:val="clear" w:color="auto" w:fill="auto"/>
          </w:tcPr>
          <w:p w14:paraId="44EF43A1" w14:textId="0FF949F1"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$18,700</w:t>
            </w:r>
          </w:p>
        </w:tc>
      </w:tr>
      <w:tr w:rsidR="009E4CA1" w:rsidRPr="002D73E2" w14:paraId="1160B5E1" w14:textId="77777777" w:rsidTr="00BD7EB4">
        <w:trPr>
          <w:trHeight w:val="232"/>
        </w:trPr>
        <w:tc>
          <w:tcPr>
            <w:tcW w:w="1422" w:type="dxa"/>
            <w:tcBorders>
              <w:left w:val="nil"/>
              <w:bottom w:val="single" w:sz="4" w:space="0" w:color="auto"/>
              <w:right w:val="nil"/>
            </w:tcBorders>
            <w:shd w:val="clear" w:color="auto" w:fill="auto"/>
            <w:noWrap/>
            <w:vAlign w:val="center"/>
            <w:hideMark/>
          </w:tcPr>
          <w:p w14:paraId="36E28A95" w14:textId="77777777" w:rsidR="009E4CA1" w:rsidRPr="00BB165A" w:rsidRDefault="009E4CA1" w:rsidP="009E4CA1">
            <w:pPr>
              <w:spacing w:after="0" w:line="240" w:lineRule="auto"/>
              <w:rPr>
                <w:rFonts w:asciiTheme="majorHAnsi" w:eastAsia="Times New Roman" w:hAnsiTheme="majorHAnsi" w:cs="Arial"/>
                <w:sz w:val="16"/>
                <w:szCs w:val="16"/>
                <w:lang w:eastAsia="en-AU"/>
              </w:rPr>
            </w:pPr>
          </w:p>
        </w:tc>
        <w:tc>
          <w:tcPr>
            <w:tcW w:w="627" w:type="dxa"/>
            <w:tcBorders>
              <w:top w:val="nil"/>
              <w:left w:val="nil"/>
              <w:bottom w:val="single" w:sz="4" w:space="0" w:color="auto"/>
              <w:right w:val="nil"/>
            </w:tcBorders>
            <w:shd w:val="clear" w:color="auto" w:fill="auto"/>
            <w:noWrap/>
            <w:vAlign w:val="bottom"/>
            <w:hideMark/>
          </w:tcPr>
          <w:p w14:paraId="2BEB56DD" w14:textId="77777777" w:rsidR="009E4CA1" w:rsidRPr="00BB165A" w:rsidRDefault="009E4CA1" w:rsidP="009E4CA1">
            <w:pPr>
              <w:spacing w:after="0" w:line="240" w:lineRule="auto"/>
              <w:rPr>
                <w:rFonts w:asciiTheme="majorHAnsi" w:eastAsia="Times New Roman" w:hAnsiTheme="majorHAnsi" w:cs="Arial"/>
                <w:sz w:val="16"/>
                <w:szCs w:val="16"/>
                <w:lang w:eastAsia="en-AU"/>
              </w:rPr>
            </w:pPr>
            <w:r w:rsidRPr="00BB165A">
              <w:rPr>
                <w:rFonts w:cs="Arial"/>
                <w:sz w:val="16"/>
                <w:szCs w:val="16"/>
              </w:rPr>
              <w:t>2020</w:t>
            </w:r>
          </w:p>
        </w:tc>
        <w:tc>
          <w:tcPr>
            <w:tcW w:w="1417" w:type="dxa"/>
            <w:tcBorders>
              <w:top w:val="nil"/>
              <w:left w:val="nil"/>
              <w:bottom w:val="single" w:sz="4" w:space="0" w:color="auto"/>
              <w:right w:val="nil"/>
            </w:tcBorders>
            <w:shd w:val="clear" w:color="auto" w:fill="auto"/>
            <w:noWrap/>
            <w:hideMark/>
          </w:tcPr>
          <w:p w14:paraId="7E7022DD" w14:textId="4A71798E"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417" w:type="dxa"/>
            <w:tcBorders>
              <w:top w:val="nil"/>
              <w:left w:val="nil"/>
              <w:bottom w:val="single" w:sz="4" w:space="0" w:color="auto"/>
              <w:right w:val="nil"/>
            </w:tcBorders>
            <w:shd w:val="clear" w:color="auto" w:fill="auto"/>
            <w:noWrap/>
            <w:hideMark/>
          </w:tcPr>
          <w:p w14:paraId="2EF67C89" w14:textId="08FB5815"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$18,600</w:t>
            </w:r>
          </w:p>
        </w:tc>
        <w:tc>
          <w:tcPr>
            <w:tcW w:w="1417" w:type="dxa"/>
            <w:tcBorders>
              <w:top w:val="nil"/>
              <w:left w:val="nil"/>
              <w:bottom w:val="single" w:sz="4" w:space="0" w:color="auto"/>
              <w:right w:val="nil"/>
            </w:tcBorders>
            <w:shd w:val="clear" w:color="auto" w:fill="auto"/>
            <w:noWrap/>
            <w:hideMark/>
          </w:tcPr>
          <w:p w14:paraId="41145E2C" w14:textId="0F86C86A"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$18,700</w:t>
            </w:r>
          </w:p>
        </w:tc>
        <w:tc>
          <w:tcPr>
            <w:tcW w:w="1417" w:type="dxa"/>
            <w:tcBorders>
              <w:top w:val="nil"/>
              <w:left w:val="nil"/>
              <w:bottom w:val="single" w:sz="4" w:space="0" w:color="auto"/>
              <w:right w:val="nil"/>
            </w:tcBorders>
            <w:shd w:val="clear" w:color="auto" w:fill="auto"/>
            <w:noWrap/>
            <w:hideMark/>
          </w:tcPr>
          <w:p w14:paraId="456DA5FC" w14:textId="1EBA6C60" w:rsidR="009E4CA1" w:rsidRPr="00E74E4F" w:rsidRDefault="009E4CA1" w:rsidP="009E4CA1">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$18,800</w:t>
            </w:r>
          </w:p>
        </w:tc>
        <w:tc>
          <w:tcPr>
            <w:tcW w:w="1417" w:type="dxa"/>
            <w:tcBorders>
              <w:top w:val="nil"/>
              <w:left w:val="nil"/>
              <w:bottom w:val="single" w:sz="4" w:space="0" w:color="auto"/>
              <w:right w:val="nil"/>
            </w:tcBorders>
            <w:shd w:val="clear" w:color="auto" w:fill="auto"/>
          </w:tcPr>
          <w:p w14:paraId="1A8592E2" w14:textId="50418D81" w:rsidR="009E4CA1" w:rsidRPr="00416131" w:rsidRDefault="009E4CA1" w:rsidP="009E4CA1">
            <w:pPr>
              <w:spacing w:after="0" w:line="240" w:lineRule="auto"/>
              <w:jc w:val="center"/>
              <w:rPr>
                <w:rFonts w:asciiTheme="majorHAnsi" w:hAnsiTheme="majorHAnsi" w:cs="Arial"/>
                <w:sz w:val="16"/>
                <w:szCs w:val="16"/>
              </w:rPr>
            </w:pPr>
            <w:r w:rsidRPr="00416131">
              <w:rPr>
                <w:rFonts w:asciiTheme="majorHAnsi" w:hAnsiTheme="majorHAnsi"/>
                <w:sz w:val="16"/>
                <w:szCs w:val="16"/>
              </w:rPr>
              <w:t>$18,800</w:t>
            </w:r>
          </w:p>
        </w:tc>
      </w:tr>
    </w:tbl>
    <w:p w14:paraId="208CAD33" w14:textId="77777777" w:rsidR="00EB4694" w:rsidRDefault="00771F8B" w:rsidP="006712D0">
      <w:pPr>
        <w:pStyle w:val="CaptionTable"/>
      </w:pPr>
      <w:bookmarkStart w:id="508" w:name="_Toc105753446"/>
      <w:bookmarkStart w:id="509" w:name="_Toc105774152"/>
      <w:bookmarkStart w:id="510" w:name="_Toc105776557"/>
      <w:bookmarkStart w:id="511" w:name="_Toc105753463"/>
      <w:bookmarkStart w:id="512" w:name="_Toc105774169"/>
      <w:bookmarkStart w:id="513" w:name="_Toc105776574"/>
      <w:bookmarkStart w:id="514" w:name="_Toc105753471"/>
      <w:bookmarkStart w:id="515" w:name="_Toc105774177"/>
      <w:bookmarkStart w:id="516" w:name="_Toc105776582"/>
      <w:bookmarkStart w:id="517" w:name="_Toc105753479"/>
      <w:bookmarkStart w:id="518" w:name="_Toc105774185"/>
      <w:bookmarkStart w:id="519" w:name="_Toc105776590"/>
      <w:bookmarkStart w:id="520" w:name="_Toc105753487"/>
      <w:bookmarkStart w:id="521" w:name="_Toc105774193"/>
      <w:bookmarkStart w:id="522" w:name="_Toc105776598"/>
      <w:bookmarkStart w:id="523" w:name="_Toc105753495"/>
      <w:bookmarkStart w:id="524" w:name="_Toc105774201"/>
      <w:bookmarkStart w:id="525" w:name="_Toc105776606"/>
      <w:bookmarkStart w:id="526" w:name="_Toc105753511"/>
      <w:bookmarkStart w:id="527" w:name="_Toc105774217"/>
      <w:bookmarkStart w:id="528" w:name="_Toc105776622"/>
      <w:bookmarkStart w:id="529" w:name="_Toc105753519"/>
      <w:bookmarkStart w:id="530" w:name="_Toc105774225"/>
      <w:bookmarkStart w:id="531" w:name="_Toc105776630"/>
      <w:bookmarkStart w:id="532" w:name="_Toc105753527"/>
      <w:bookmarkStart w:id="533" w:name="_Toc105774233"/>
      <w:bookmarkStart w:id="534" w:name="_Toc105776638"/>
      <w:bookmarkStart w:id="535" w:name="_Toc105753535"/>
      <w:bookmarkStart w:id="536" w:name="_Toc105774241"/>
      <w:bookmarkStart w:id="537" w:name="_Toc105776646"/>
      <w:bookmarkStart w:id="538" w:name="_Toc105753543"/>
      <w:bookmarkStart w:id="539" w:name="_Toc105774249"/>
      <w:bookmarkStart w:id="540" w:name="_Toc105776654"/>
      <w:bookmarkStart w:id="541" w:name="_Toc105753559"/>
      <w:bookmarkStart w:id="542" w:name="_Toc105774265"/>
      <w:bookmarkStart w:id="543" w:name="_Toc105776670"/>
      <w:bookmarkStart w:id="544" w:name="_Toc105753567"/>
      <w:bookmarkStart w:id="545" w:name="_Toc105774273"/>
      <w:bookmarkStart w:id="546" w:name="_Toc105776678"/>
      <w:bookmarkStart w:id="547" w:name="_Toc105753575"/>
      <w:bookmarkStart w:id="548" w:name="_Toc105774281"/>
      <w:bookmarkStart w:id="549" w:name="_Toc105776686"/>
      <w:bookmarkStart w:id="550" w:name="_Toc105753583"/>
      <w:bookmarkStart w:id="551" w:name="_Toc105774289"/>
      <w:bookmarkStart w:id="552" w:name="_Toc105776694"/>
      <w:bookmarkStart w:id="553" w:name="_Toc105753591"/>
      <w:bookmarkStart w:id="554" w:name="_Toc105774297"/>
      <w:bookmarkStart w:id="555" w:name="_Toc105776702"/>
      <w:bookmarkStart w:id="556" w:name="_Toc532245570"/>
      <w:bookmarkStart w:id="557" w:name="_Toc532376099"/>
      <w:bookmarkStart w:id="558" w:name="_Toc532245571"/>
      <w:bookmarkStart w:id="559" w:name="_Toc532376100"/>
      <w:bookmarkStart w:id="560" w:name="_Toc532209780"/>
      <w:bookmarkStart w:id="561" w:name="_Toc532245600"/>
      <w:bookmarkStart w:id="562" w:name="_Toc532376129"/>
      <w:bookmarkStart w:id="563" w:name="_Ref534711638"/>
      <w:bookmarkStart w:id="564" w:name="_Ref534712461"/>
      <w:bookmarkStart w:id="565" w:name="_Toc20245927"/>
      <w:bookmarkStart w:id="566" w:name="_Toc105776710"/>
      <w:bookmarkStart w:id="567" w:name="_Ref531363938"/>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r w:rsidRPr="00BB165A">
        <w:t>:</w:t>
      </w:r>
      <w:r w:rsidR="00EB4694" w:rsidRPr="00BB165A">
        <w:t xml:space="preserve"> Growth over time in average unit cost per EFTSL</w:t>
      </w:r>
      <w:bookmarkEnd w:id="563"/>
      <w:bookmarkEnd w:id="564"/>
      <w:bookmarkEnd w:id="565"/>
      <w:bookmarkEnd w:id="566"/>
      <w:r w:rsidR="00EB4694" w:rsidRPr="00BB165A">
        <w:t xml:space="preserve"> </w:t>
      </w:r>
      <w:bookmarkEnd w:id="567"/>
    </w:p>
    <w:tbl>
      <w:tblPr>
        <w:tblW w:w="9228" w:type="dxa"/>
        <w:tblLook w:val="04A0" w:firstRow="1" w:lastRow="0" w:firstColumn="1" w:lastColumn="0" w:noHBand="0" w:noVBand="1"/>
      </w:tblPr>
      <w:tblGrid>
        <w:gridCol w:w="1360"/>
        <w:gridCol w:w="1928"/>
        <w:gridCol w:w="1020"/>
        <w:gridCol w:w="960"/>
        <w:gridCol w:w="1020"/>
        <w:gridCol w:w="960"/>
        <w:gridCol w:w="1020"/>
        <w:gridCol w:w="960"/>
      </w:tblGrid>
      <w:tr w:rsidR="00C015CC" w:rsidRPr="00EB5E6E" w14:paraId="7F6187ED" w14:textId="77777777" w:rsidTr="00BD7EB4">
        <w:trPr>
          <w:trHeight w:val="240"/>
        </w:trPr>
        <w:tc>
          <w:tcPr>
            <w:tcW w:w="1360" w:type="dxa"/>
            <w:tcBorders>
              <w:top w:val="single" w:sz="24" w:space="0" w:color="62B5E5" w:themeColor="accent3"/>
              <w:left w:val="nil"/>
              <w:bottom w:val="nil"/>
              <w:right w:val="nil"/>
            </w:tcBorders>
            <w:shd w:val="clear" w:color="auto" w:fill="auto"/>
            <w:vAlign w:val="center"/>
            <w:hideMark/>
          </w:tcPr>
          <w:p w14:paraId="540D8DAB" w14:textId="77777777" w:rsidR="00C015CC" w:rsidRPr="00BB165A" w:rsidRDefault="00C015CC"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w:t>
            </w:r>
          </w:p>
        </w:tc>
        <w:tc>
          <w:tcPr>
            <w:tcW w:w="1928" w:type="dxa"/>
            <w:tcBorders>
              <w:top w:val="single" w:sz="24" w:space="0" w:color="62B5E5" w:themeColor="accent3"/>
              <w:left w:val="nil"/>
              <w:bottom w:val="nil"/>
              <w:right w:val="nil"/>
            </w:tcBorders>
            <w:shd w:val="clear" w:color="auto" w:fill="auto"/>
            <w:vAlign w:val="center"/>
            <w:hideMark/>
          </w:tcPr>
          <w:p w14:paraId="2700AF97" w14:textId="77777777" w:rsidR="00C015CC" w:rsidRPr="00BB165A" w:rsidRDefault="00C015CC"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 </w:t>
            </w:r>
          </w:p>
        </w:tc>
        <w:tc>
          <w:tcPr>
            <w:tcW w:w="1980" w:type="dxa"/>
            <w:gridSpan w:val="2"/>
            <w:tcBorders>
              <w:top w:val="single" w:sz="24" w:space="0" w:color="62B5E5" w:themeColor="accent3"/>
              <w:left w:val="nil"/>
              <w:bottom w:val="nil"/>
              <w:right w:val="nil"/>
            </w:tcBorders>
            <w:shd w:val="clear" w:color="auto" w:fill="auto"/>
            <w:vAlign w:val="center"/>
            <w:hideMark/>
          </w:tcPr>
          <w:p w14:paraId="605CFEDB" w14:textId="77777777" w:rsidR="00C015CC" w:rsidRPr="00BB165A" w:rsidRDefault="00C015CC"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Bachelor</w:t>
            </w:r>
          </w:p>
        </w:tc>
        <w:tc>
          <w:tcPr>
            <w:tcW w:w="1980" w:type="dxa"/>
            <w:gridSpan w:val="2"/>
            <w:tcBorders>
              <w:top w:val="single" w:sz="24" w:space="0" w:color="62B5E5" w:themeColor="accent3"/>
              <w:left w:val="nil"/>
              <w:bottom w:val="nil"/>
              <w:right w:val="nil"/>
            </w:tcBorders>
            <w:shd w:val="clear" w:color="auto" w:fill="auto"/>
            <w:vAlign w:val="center"/>
            <w:hideMark/>
          </w:tcPr>
          <w:p w14:paraId="6AAA10F1" w14:textId="77777777" w:rsidR="00C015CC" w:rsidRPr="00BB165A" w:rsidRDefault="00C015CC"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Postgraduate</w:t>
            </w:r>
          </w:p>
        </w:tc>
        <w:tc>
          <w:tcPr>
            <w:tcW w:w="1980" w:type="dxa"/>
            <w:gridSpan w:val="2"/>
            <w:tcBorders>
              <w:top w:val="single" w:sz="24" w:space="0" w:color="62B5E5" w:themeColor="accent3"/>
              <w:left w:val="nil"/>
              <w:bottom w:val="nil"/>
              <w:right w:val="nil"/>
            </w:tcBorders>
            <w:shd w:val="clear" w:color="auto" w:fill="auto"/>
            <w:vAlign w:val="center"/>
            <w:hideMark/>
          </w:tcPr>
          <w:p w14:paraId="1958D148" w14:textId="77777777" w:rsidR="00C015CC" w:rsidRPr="00BB165A" w:rsidRDefault="00C015CC" w:rsidP="00BD7EB4">
            <w:pPr>
              <w:spacing w:after="0" w:line="240" w:lineRule="auto"/>
              <w:jc w:val="center"/>
              <w:rPr>
                <w:rFonts w:eastAsia="Times New Roman" w:cs="Arial"/>
                <w:b/>
                <w:sz w:val="16"/>
                <w:szCs w:val="16"/>
                <w:lang w:eastAsia="en-AU"/>
              </w:rPr>
            </w:pPr>
            <w:r w:rsidRPr="00BB165A">
              <w:rPr>
                <w:rFonts w:eastAsia="Times New Roman" w:cs="Arial"/>
                <w:b/>
                <w:sz w:val="16"/>
                <w:szCs w:val="16"/>
                <w:lang w:eastAsia="en-AU"/>
              </w:rPr>
              <w:t>Total</w:t>
            </w:r>
          </w:p>
        </w:tc>
      </w:tr>
      <w:tr w:rsidR="00C015CC" w:rsidRPr="00EB5E6E" w14:paraId="6EDB67F4" w14:textId="77777777" w:rsidTr="00BD7EB4">
        <w:trPr>
          <w:trHeight w:val="240"/>
        </w:trPr>
        <w:tc>
          <w:tcPr>
            <w:tcW w:w="1360" w:type="dxa"/>
            <w:tcBorders>
              <w:top w:val="nil"/>
              <w:left w:val="nil"/>
              <w:bottom w:val="single" w:sz="4" w:space="0" w:color="auto"/>
              <w:right w:val="nil"/>
            </w:tcBorders>
            <w:shd w:val="clear" w:color="auto" w:fill="auto"/>
            <w:vAlign w:val="center"/>
            <w:hideMark/>
          </w:tcPr>
          <w:p w14:paraId="5BA887F5"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w:t>
            </w:r>
          </w:p>
        </w:tc>
        <w:tc>
          <w:tcPr>
            <w:tcW w:w="1928" w:type="dxa"/>
            <w:tcBorders>
              <w:top w:val="nil"/>
              <w:left w:val="nil"/>
              <w:bottom w:val="single" w:sz="4" w:space="0" w:color="auto"/>
              <w:right w:val="nil"/>
            </w:tcBorders>
            <w:shd w:val="clear" w:color="auto" w:fill="auto"/>
            <w:vAlign w:val="center"/>
            <w:hideMark/>
          </w:tcPr>
          <w:p w14:paraId="6B749B64"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w:t>
            </w:r>
          </w:p>
        </w:tc>
        <w:tc>
          <w:tcPr>
            <w:tcW w:w="1020" w:type="dxa"/>
            <w:tcBorders>
              <w:top w:val="nil"/>
              <w:left w:val="nil"/>
              <w:bottom w:val="single" w:sz="4" w:space="0" w:color="auto"/>
              <w:right w:val="nil"/>
            </w:tcBorders>
            <w:shd w:val="clear" w:color="auto" w:fill="auto"/>
            <w:vAlign w:val="center"/>
            <w:hideMark/>
          </w:tcPr>
          <w:p w14:paraId="737A3FEA"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33F2E620"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087325AE"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447945B3"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CAGR</w:t>
            </w:r>
          </w:p>
        </w:tc>
        <w:tc>
          <w:tcPr>
            <w:tcW w:w="1020" w:type="dxa"/>
            <w:tcBorders>
              <w:top w:val="nil"/>
              <w:left w:val="nil"/>
              <w:bottom w:val="single" w:sz="4" w:space="0" w:color="auto"/>
              <w:right w:val="nil"/>
            </w:tcBorders>
            <w:shd w:val="clear" w:color="auto" w:fill="auto"/>
            <w:vAlign w:val="center"/>
            <w:hideMark/>
          </w:tcPr>
          <w:p w14:paraId="7B73B46C"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 growth</w:t>
            </w:r>
          </w:p>
        </w:tc>
        <w:tc>
          <w:tcPr>
            <w:tcW w:w="960" w:type="dxa"/>
            <w:tcBorders>
              <w:top w:val="nil"/>
              <w:left w:val="nil"/>
              <w:bottom w:val="single" w:sz="4" w:space="0" w:color="auto"/>
              <w:right w:val="nil"/>
            </w:tcBorders>
            <w:shd w:val="clear" w:color="auto" w:fill="auto"/>
            <w:vAlign w:val="center"/>
            <w:hideMark/>
          </w:tcPr>
          <w:p w14:paraId="20DD8F9E" w14:textId="77777777" w:rsidR="00C015CC" w:rsidRPr="00BB165A" w:rsidRDefault="00C015CC" w:rsidP="00BD7EB4">
            <w:pPr>
              <w:spacing w:after="0" w:line="240" w:lineRule="auto"/>
              <w:jc w:val="center"/>
              <w:rPr>
                <w:rFonts w:asciiTheme="majorHAnsi" w:eastAsia="Times New Roman" w:hAnsiTheme="majorHAnsi" w:cs="Arial"/>
                <w:b/>
                <w:sz w:val="16"/>
                <w:szCs w:val="16"/>
                <w:lang w:eastAsia="en-AU"/>
              </w:rPr>
            </w:pPr>
            <w:r w:rsidRPr="00BB165A">
              <w:rPr>
                <w:rFonts w:asciiTheme="majorHAnsi" w:eastAsia="Times New Roman" w:hAnsiTheme="majorHAnsi" w:cs="Arial"/>
                <w:b/>
                <w:sz w:val="16"/>
                <w:szCs w:val="16"/>
                <w:lang w:eastAsia="en-AU"/>
              </w:rPr>
              <w:t>CAGR</w:t>
            </w:r>
          </w:p>
        </w:tc>
      </w:tr>
      <w:tr w:rsidR="00C015CC" w:rsidRPr="00EB5E6E" w14:paraId="088D7DB1" w14:textId="77777777" w:rsidTr="00416131">
        <w:trPr>
          <w:trHeight w:val="210"/>
        </w:trPr>
        <w:tc>
          <w:tcPr>
            <w:tcW w:w="1360" w:type="dxa"/>
            <w:tcBorders>
              <w:top w:val="nil"/>
              <w:left w:val="nil"/>
              <w:bottom w:val="single" w:sz="4" w:space="0" w:color="000000"/>
              <w:right w:val="nil"/>
            </w:tcBorders>
            <w:shd w:val="clear" w:color="auto" w:fill="auto"/>
            <w:noWrap/>
            <w:vAlign w:val="center"/>
            <w:hideMark/>
          </w:tcPr>
          <w:p w14:paraId="722FE763" w14:textId="77777777" w:rsidR="00C015CC" w:rsidRPr="00BB165A" w:rsidRDefault="00C015CC" w:rsidP="00C015CC">
            <w:pPr>
              <w:spacing w:after="0" w:line="240" w:lineRule="auto"/>
              <w:rPr>
                <w:rFonts w:asciiTheme="majorHAnsi" w:eastAsia="Times New Roman" w:hAnsiTheme="majorHAnsi" w:cs="Arial"/>
                <w:sz w:val="16"/>
                <w:szCs w:val="16"/>
                <w:lang w:eastAsia="en-AU"/>
              </w:rPr>
            </w:pPr>
            <w:r w:rsidRPr="00BB165A">
              <w:rPr>
                <w:rFonts w:cs="Arial"/>
                <w:sz w:val="16"/>
                <w:szCs w:val="16"/>
              </w:rPr>
              <w:t>2015 - 2020</w:t>
            </w:r>
          </w:p>
        </w:tc>
        <w:tc>
          <w:tcPr>
            <w:tcW w:w="1928" w:type="dxa"/>
            <w:tcBorders>
              <w:top w:val="nil"/>
              <w:left w:val="nil"/>
              <w:bottom w:val="single" w:sz="4" w:space="0" w:color="auto"/>
              <w:right w:val="nil"/>
            </w:tcBorders>
            <w:shd w:val="clear" w:color="auto" w:fill="auto"/>
            <w:vAlign w:val="bottom"/>
            <w:hideMark/>
          </w:tcPr>
          <w:p w14:paraId="32CCA299" w14:textId="77777777" w:rsidR="00C015CC" w:rsidRPr="00BB165A" w:rsidRDefault="00C015CC" w:rsidP="00C015CC">
            <w:pPr>
              <w:spacing w:after="0" w:line="240" w:lineRule="auto"/>
              <w:rPr>
                <w:rFonts w:cs="Arial"/>
                <w:sz w:val="16"/>
                <w:szCs w:val="16"/>
              </w:rPr>
            </w:pPr>
            <w:r w:rsidRPr="00BB165A">
              <w:rPr>
                <w:rFonts w:cs="Arial"/>
                <w:sz w:val="16"/>
                <w:szCs w:val="16"/>
              </w:rPr>
              <w:t xml:space="preserve">Common sample </w:t>
            </w:r>
          </w:p>
          <w:p w14:paraId="6F869521" w14:textId="77777777" w:rsidR="00C015CC" w:rsidRPr="00BB165A" w:rsidRDefault="00C015CC" w:rsidP="00C015CC">
            <w:pPr>
              <w:spacing w:after="0" w:line="240" w:lineRule="auto"/>
              <w:rPr>
                <w:rFonts w:asciiTheme="majorHAnsi" w:eastAsia="Times New Roman" w:hAnsiTheme="majorHAnsi" w:cs="Arial"/>
                <w:sz w:val="16"/>
                <w:szCs w:val="16"/>
                <w:lang w:eastAsia="en-AU"/>
              </w:rPr>
            </w:pPr>
            <w:r w:rsidRPr="00BB165A">
              <w:rPr>
                <w:rFonts w:cs="Arial"/>
                <w:sz w:val="16"/>
                <w:szCs w:val="16"/>
              </w:rPr>
              <w:t>(17 universities)</w:t>
            </w:r>
          </w:p>
        </w:tc>
        <w:tc>
          <w:tcPr>
            <w:tcW w:w="1020" w:type="dxa"/>
            <w:tcBorders>
              <w:top w:val="single" w:sz="4" w:space="0" w:color="auto"/>
              <w:left w:val="nil"/>
              <w:bottom w:val="single" w:sz="4" w:space="0" w:color="auto"/>
              <w:right w:val="nil"/>
            </w:tcBorders>
            <w:shd w:val="clear" w:color="auto" w:fill="auto"/>
            <w:noWrap/>
            <w:vAlign w:val="center"/>
            <w:hideMark/>
          </w:tcPr>
          <w:p w14:paraId="1914131E" w14:textId="350A265E" w:rsidR="00C015CC" w:rsidRPr="00E74E4F" w:rsidRDefault="00C015CC" w:rsidP="00E74E4F">
            <w:pPr>
              <w:spacing w:after="0" w:line="240" w:lineRule="auto"/>
              <w:jc w:val="center"/>
              <w:rPr>
                <w:rFonts w:asciiTheme="majorHAnsi" w:eastAsia="Times New Roman" w:hAnsiTheme="majorHAnsi" w:cs="Arial"/>
                <w:sz w:val="16"/>
                <w:szCs w:val="16"/>
                <w:lang w:eastAsia="en-AU"/>
              </w:rPr>
            </w:pPr>
            <w:r w:rsidRPr="00416131">
              <w:rPr>
                <w:sz w:val="16"/>
                <w:szCs w:val="16"/>
              </w:rPr>
              <w:t>8.5%</w:t>
            </w:r>
          </w:p>
        </w:tc>
        <w:tc>
          <w:tcPr>
            <w:tcW w:w="960" w:type="dxa"/>
            <w:tcBorders>
              <w:top w:val="single" w:sz="4" w:space="0" w:color="auto"/>
              <w:left w:val="nil"/>
              <w:bottom w:val="single" w:sz="4" w:space="0" w:color="auto"/>
              <w:right w:val="nil"/>
            </w:tcBorders>
            <w:shd w:val="clear" w:color="auto" w:fill="auto"/>
            <w:noWrap/>
            <w:vAlign w:val="center"/>
            <w:hideMark/>
          </w:tcPr>
          <w:p w14:paraId="322E30C1" w14:textId="6FB7ED60"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1.7%</w:t>
            </w:r>
          </w:p>
        </w:tc>
        <w:tc>
          <w:tcPr>
            <w:tcW w:w="1020" w:type="dxa"/>
            <w:tcBorders>
              <w:top w:val="single" w:sz="4" w:space="0" w:color="auto"/>
              <w:left w:val="nil"/>
              <w:bottom w:val="single" w:sz="4" w:space="0" w:color="auto"/>
              <w:right w:val="nil"/>
            </w:tcBorders>
            <w:shd w:val="clear" w:color="auto" w:fill="auto"/>
            <w:noWrap/>
            <w:vAlign w:val="center"/>
            <w:hideMark/>
          </w:tcPr>
          <w:p w14:paraId="31112133" w14:textId="55064BD4"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6.6%</w:t>
            </w:r>
          </w:p>
        </w:tc>
        <w:tc>
          <w:tcPr>
            <w:tcW w:w="960" w:type="dxa"/>
            <w:tcBorders>
              <w:top w:val="single" w:sz="4" w:space="0" w:color="auto"/>
              <w:left w:val="nil"/>
              <w:bottom w:val="single" w:sz="4" w:space="0" w:color="auto"/>
              <w:right w:val="nil"/>
            </w:tcBorders>
            <w:shd w:val="clear" w:color="auto" w:fill="auto"/>
            <w:noWrap/>
            <w:vAlign w:val="center"/>
            <w:hideMark/>
          </w:tcPr>
          <w:p w14:paraId="79336722" w14:textId="767D2859"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1.3%</w:t>
            </w:r>
          </w:p>
        </w:tc>
        <w:tc>
          <w:tcPr>
            <w:tcW w:w="1020" w:type="dxa"/>
            <w:tcBorders>
              <w:top w:val="single" w:sz="4" w:space="0" w:color="auto"/>
              <w:left w:val="nil"/>
              <w:bottom w:val="single" w:sz="4" w:space="0" w:color="auto"/>
              <w:right w:val="nil"/>
            </w:tcBorders>
            <w:shd w:val="clear" w:color="auto" w:fill="auto"/>
            <w:noWrap/>
            <w:vAlign w:val="center"/>
            <w:hideMark/>
          </w:tcPr>
          <w:p w14:paraId="440879BD" w14:textId="21EA0F0A"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9.2%</w:t>
            </w:r>
          </w:p>
        </w:tc>
        <w:tc>
          <w:tcPr>
            <w:tcW w:w="960" w:type="dxa"/>
            <w:tcBorders>
              <w:top w:val="single" w:sz="4" w:space="0" w:color="auto"/>
              <w:left w:val="nil"/>
              <w:bottom w:val="single" w:sz="4" w:space="0" w:color="auto"/>
              <w:right w:val="nil"/>
            </w:tcBorders>
            <w:shd w:val="clear" w:color="auto" w:fill="auto"/>
            <w:noWrap/>
            <w:vAlign w:val="center"/>
            <w:hideMark/>
          </w:tcPr>
          <w:p w14:paraId="14332134" w14:textId="29FD6DD6"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1.8%</w:t>
            </w:r>
          </w:p>
        </w:tc>
      </w:tr>
      <w:tr w:rsidR="00C015CC" w:rsidRPr="00EB5E6E" w14:paraId="5BCCE595" w14:textId="77777777" w:rsidTr="00416131">
        <w:trPr>
          <w:trHeight w:val="210"/>
        </w:trPr>
        <w:tc>
          <w:tcPr>
            <w:tcW w:w="1360" w:type="dxa"/>
            <w:tcBorders>
              <w:top w:val="nil"/>
              <w:left w:val="nil"/>
              <w:bottom w:val="single" w:sz="4" w:space="0" w:color="000000"/>
              <w:right w:val="nil"/>
            </w:tcBorders>
            <w:shd w:val="clear" w:color="auto" w:fill="auto"/>
            <w:noWrap/>
            <w:vAlign w:val="center"/>
            <w:hideMark/>
          </w:tcPr>
          <w:p w14:paraId="371BB2D0" w14:textId="77777777" w:rsidR="00C015CC" w:rsidRPr="00BB165A" w:rsidRDefault="00C015CC" w:rsidP="00C015CC">
            <w:pPr>
              <w:spacing w:after="0" w:line="240" w:lineRule="auto"/>
              <w:rPr>
                <w:rFonts w:asciiTheme="majorHAnsi" w:eastAsia="Times New Roman" w:hAnsiTheme="majorHAnsi" w:cs="Arial"/>
                <w:sz w:val="16"/>
                <w:szCs w:val="16"/>
                <w:lang w:eastAsia="en-AU"/>
              </w:rPr>
            </w:pPr>
            <w:r w:rsidRPr="00BB165A">
              <w:rPr>
                <w:rFonts w:cs="Arial"/>
                <w:sz w:val="16"/>
                <w:szCs w:val="16"/>
              </w:rPr>
              <w:t>2017 - 2020</w:t>
            </w:r>
          </w:p>
        </w:tc>
        <w:tc>
          <w:tcPr>
            <w:tcW w:w="1928" w:type="dxa"/>
            <w:tcBorders>
              <w:top w:val="nil"/>
              <w:left w:val="nil"/>
              <w:bottom w:val="single" w:sz="4" w:space="0" w:color="auto"/>
              <w:right w:val="nil"/>
            </w:tcBorders>
            <w:shd w:val="clear" w:color="auto" w:fill="auto"/>
            <w:vAlign w:val="bottom"/>
            <w:hideMark/>
          </w:tcPr>
          <w:p w14:paraId="3CA7A24A" w14:textId="77777777" w:rsidR="00C015CC" w:rsidRPr="00BB165A" w:rsidRDefault="00C015CC" w:rsidP="00C015CC">
            <w:pPr>
              <w:spacing w:after="0" w:line="240" w:lineRule="auto"/>
              <w:rPr>
                <w:rFonts w:cs="Arial"/>
                <w:sz w:val="16"/>
                <w:szCs w:val="16"/>
              </w:rPr>
            </w:pPr>
            <w:r w:rsidRPr="00BB165A">
              <w:rPr>
                <w:rFonts w:cs="Arial"/>
                <w:sz w:val="16"/>
                <w:szCs w:val="16"/>
              </w:rPr>
              <w:t xml:space="preserve">Common sample </w:t>
            </w:r>
          </w:p>
          <w:p w14:paraId="0609CABA" w14:textId="77777777" w:rsidR="00C015CC" w:rsidRPr="00BB165A" w:rsidRDefault="00C015CC" w:rsidP="00C015CC">
            <w:pPr>
              <w:spacing w:after="0" w:line="240" w:lineRule="auto"/>
              <w:rPr>
                <w:rFonts w:asciiTheme="majorHAnsi" w:eastAsia="Times New Roman" w:hAnsiTheme="majorHAnsi" w:cs="Arial"/>
                <w:sz w:val="16"/>
                <w:szCs w:val="16"/>
                <w:lang w:eastAsia="en-AU"/>
              </w:rPr>
            </w:pPr>
            <w:r w:rsidRPr="00BB165A">
              <w:rPr>
                <w:rFonts w:cs="Arial"/>
                <w:sz w:val="16"/>
                <w:szCs w:val="16"/>
              </w:rPr>
              <w:t>(25 universities)</w:t>
            </w:r>
          </w:p>
        </w:tc>
        <w:tc>
          <w:tcPr>
            <w:tcW w:w="1020" w:type="dxa"/>
            <w:tcBorders>
              <w:top w:val="nil"/>
              <w:left w:val="nil"/>
              <w:bottom w:val="single" w:sz="4" w:space="0" w:color="auto"/>
              <w:right w:val="nil"/>
            </w:tcBorders>
            <w:shd w:val="clear" w:color="auto" w:fill="auto"/>
            <w:noWrap/>
            <w:vAlign w:val="center"/>
            <w:hideMark/>
          </w:tcPr>
          <w:p w14:paraId="40B2ECE1" w14:textId="07D31070" w:rsidR="00C015CC" w:rsidRPr="00E74E4F" w:rsidRDefault="00C015CC" w:rsidP="00E74E4F">
            <w:pPr>
              <w:spacing w:after="0" w:line="240" w:lineRule="auto"/>
              <w:jc w:val="center"/>
              <w:rPr>
                <w:rFonts w:asciiTheme="majorHAnsi" w:eastAsia="Times New Roman" w:hAnsiTheme="majorHAnsi" w:cs="Arial"/>
                <w:sz w:val="16"/>
                <w:szCs w:val="16"/>
                <w:lang w:eastAsia="en-AU"/>
              </w:rPr>
            </w:pPr>
            <w:r w:rsidRPr="00416131">
              <w:rPr>
                <w:sz w:val="16"/>
                <w:szCs w:val="16"/>
              </w:rPr>
              <w:t>2.3%</w:t>
            </w:r>
          </w:p>
        </w:tc>
        <w:tc>
          <w:tcPr>
            <w:tcW w:w="960" w:type="dxa"/>
            <w:tcBorders>
              <w:top w:val="nil"/>
              <w:left w:val="nil"/>
              <w:bottom w:val="single" w:sz="4" w:space="0" w:color="auto"/>
              <w:right w:val="nil"/>
            </w:tcBorders>
            <w:shd w:val="clear" w:color="auto" w:fill="auto"/>
            <w:noWrap/>
            <w:vAlign w:val="center"/>
            <w:hideMark/>
          </w:tcPr>
          <w:p w14:paraId="2B364D21" w14:textId="3B8246E6"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0.8%</w:t>
            </w:r>
          </w:p>
        </w:tc>
        <w:tc>
          <w:tcPr>
            <w:tcW w:w="1020" w:type="dxa"/>
            <w:tcBorders>
              <w:top w:val="nil"/>
              <w:left w:val="nil"/>
              <w:bottom w:val="single" w:sz="4" w:space="0" w:color="auto"/>
              <w:right w:val="nil"/>
            </w:tcBorders>
            <w:shd w:val="clear" w:color="auto" w:fill="auto"/>
            <w:noWrap/>
            <w:vAlign w:val="center"/>
            <w:hideMark/>
          </w:tcPr>
          <w:p w14:paraId="5D39B936" w14:textId="1FEDB286"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-1.1%</w:t>
            </w:r>
          </w:p>
        </w:tc>
        <w:tc>
          <w:tcPr>
            <w:tcW w:w="960" w:type="dxa"/>
            <w:tcBorders>
              <w:top w:val="nil"/>
              <w:left w:val="nil"/>
              <w:bottom w:val="single" w:sz="4" w:space="0" w:color="auto"/>
              <w:right w:val="nil"/>
            </w:tcBorders>
            <w:shd w:val="clear" w:color="auto" w:fill="auto"/>
            <w:noWrap/>
            <w:vAlign w:val="center"/>
            <w:hideMark/>
          </w:tcPr>
          <w:p w14:paraId="0A833EBD" w14:textId="32DB15FE"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-0.4%</w:t>
            </w:r>
          </w:p>
        </w:tc>
        <w:tc>
          <w:tcPr>
            <w:tcW w:w="1020" w:type="dxa"/>
            <w:tcBorders>
              <w:top w:val="nil"/>
              <w:left w:val="nil"/>
              <w:bottom w:val="single" w:sz="4" w:space="0" w:color="auto"/>
              <w:right w:val="nil"/>
            </w:tcBorders>
            <w:shd w:val="clear" w:color="auto" w:fill="auto"/>
            <w:noWrap/>
            <w:vAlign w:val="center"/>
            <w:hideMark/>
          </w:tcPr>
          <w:p w14:paraId="680A7E46" w14:textId="62522EE5"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1.8%</w:t>
            </w:r>
          </w:p>
        </w:tc>
        <w:tc>
          <w:tcPr>
            <w:tcW w:w="960" w:type="dxa"/>
            <w:tcBorders>
              <w:top w:val="nil"/>
              <w:left w:val="nil"/>
              <w:bottom w:val="single" w:sz="4" w:space="0" w:color="auto"/>
              <w:right w:val="nil"/>
            </w:tcBorders>
            <w:shd w:val="clear" w:color="auto" w:fill="auto"/>
            <w:noWrap/>
            <w:vAlign w:val="center"/>
            <w:hideMark/>
          </w:tcPr>
          <w:p w14:paraId="759B244F" w14:textId="302AD23F"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0.6%</w:t>
            </w:r>
          </w:p>
        </w:tc>
      </w:tr>
      <w:tr w:rsidR="00C015CC" w:rsidRPr="00EB5E6E" w14:paraId="41933939" w14:textId="77777777" w:rsidTr="00416131">
        <w:trPr>
          <w:trHeight w:val="210"/>
        </w:trPr>
        <w:tc>
          <w:tcPr>
            <w:tcW w:w="1360" w:type="dxa"/>
            <w:tcBorders>
              <w:top w:val="nil"/>
              <w:left w:val="nil"/>
              <w:bottom w:val="single" w:sz="4" w:space="0" w:color="000000"/>
              <w:right w:val="nil"/>
            </w:tcBorders>
            <w:shd w:val="clear" w:color="auto" w:fill="auto"/>
            <w:noWrap/>
            <w:vAlign w:val="center"/>
          </w:tcPr>
          <w:p w14:paraId="5E905AC5" w14:textId="77777777" w:rsidR="00C015CC" w:rsidRPr="00BB165A" w:rsidRDefault="00C015CC" w:rsidP="00C015CC">
            <w:pPr>
              <w:spacing w:after="0" w:line="240" w:lineRule="auto"/>
              <w:rPr>
                <w:rFonts w:cs="Arial"/>
                <w:sz w:val="16"/>
                <w:szCs w:val="16"/>
              </w:rPr>
            </w:pPr>
            <w:r w:rsidRPr="00BB165A">
              <w:rPr>
                <w:rFonts w:cs="Arial"/>
                <w:sz w:val="16"/>
                <w:szCs w:val="16"/>
              </w:rPr>
              <w:t>2018 – 2020</w:t>
            </w:r>
          </w:p>
        </w:tc>
        <w:tc>
          <w:tcPr>
            <w:tcW w:w="1928" w:type="dxa"/>
            <w:tcBorders>
              <w:top w:val="nil"/>
              <w:left w:val="nil"/>
              <w:bottom w:val="single" w:sz="4" w:space="0" w:color="auto"/>
              <w:right w:val="nil"/>
            </w:tcBorders>
            <w:shd w:val="clear" w:color="auto" w:fill="auto"/>
            <w:vAlign w:val="bottom"/>
          </w:tcPr>
          <w:p w14:paraId="62F72902" w14:textId="77777777" w:rsidR="00C015CC" w:rsidRPr="00BB165A" w:rsidRDefault="00C015CC" w:rsidP="00C015CC">
            <w:pPr>
              <w:spacing w:after="0" w:line="240" w:lineRule="auto"/>
              <w:rPr>
                <w:rFonts w:cs="Arial"/>
                <w:sz w:val="16"/>
                <w:szCs w:val="16"/>
              </w:rPr>
            </w:pPr>
            <w:r w:rsidRPr="00BB165A">
              <w:rPr>
                <w:rFonts w:cs="Arial"/>
                <w:sz w:val="16"/>
                <w:szCs w:val="16"/>
              </w:rPr>
              <w:t>Common sample</w:t>
            </w:r>
          </w:p>
          <w:p w14:paraId="3EED0BB7" w14:textId="77777777" w:rsidR="00C015CC" w:rsidRPr="00BB165A" w:rsidRDefault="00C015CC" w:rsidP="00C015CC">
            <w:pPr>
              <w:spacing w:after="0" w:line="240" w:lineRule="auto"/>
              <w:rPr>
                <w:rFonts w:cs="Arial"/>
                <w:sz w:val="16"/>
                <w:szCs w:val="16"/>
              </w:rPr>
            </w:pPr>
            <w:r w:rsidRPr="00BB165A">
              <w:rPr>
                <w:rFonts w:cs="Arial"/>
                <w:sz w:val="16"/>
                <w:szCs w:val="16"/>
              </w:rPr>
              <w:t>(32 universities)</w:t>
            </w:r>
          </w:p>
        </w:tc>
        <w:tc>
          <w:tcPr>
            <w:tcW w:w="1020" w:type="dxa"/>
            <w:tcBorders>
              <w:top w:val="nil"/>
              <w:left w:val="nil"/>
              <w:bottom w:val="nil"/>
              <w:right w:val="nil"/>
            </w:tcBorders>
            <w:shd w:val="clear" w:color="auto" w:fill="auto"/>
            <w:noWrap/>
            <w:vAlign w:val="center"/>
          </w:tcPr>
          <w:p w14:paraId="26E74B17" w14:textId="5C038AF8" w:rsidR="00C015CC" w:rsidRPr="00E74E4F" w:rsidRDefault="00C015CC" w:rsidP="00E74E4F">
            <w:pPr>
              <w:spacing w:after="0" w:line="240" w:lineRule="auto"/>
              <w:jc w:val="center"/>
              <w:rPr>
                <w:rFonts w:cs="Arial"/>
                <w:sz w:val="16"/>
                <w:szCs w:val="16"/>
              </w:rPr>
            </w:pPr>
            <w:r w:rsidRPr="00416131">
              <w:rPr>
                <w:sz w:val="16"/>
                <w:szCs w:val="16"/>
              </w:rPr>
              <w:t>1.3%</w:t>
            </w:r>
          </w:p>
        </w:tc>
        <w:tc>
          <w:tcPr>
            <w:tcW w:w="960" w:type="dxa"/>
            <w:tcBorders>
              <w:top w:val="nil"/>
              <w:left w:val="nil"/>
              <w:bottom w:val="nil"/>
              <w:right w:val="nil"/>
            </w:tcBorders>
            <w:shd w:val="clear" w:color="auto" w:fill="auto"/>
            <w:noWrap/>
            <w:vAlign w:val="center"/>
          </w:tcPr>
          <w:p w14:paraId="12388282" w14:textId="3AB090E9" w:rsidR="00C015CC" w:rsidRPr="00E74E4F" w:rsidRDefault="00C015CC">
            <w:pPr>
              <w:spacing w:after="0" w:line="240" w:lineRule="auto"/>
              <w:jc w:val="center"/>
              <w:rPr>
                <w:rFonts w:cs="Arial"/>
                <w:sz w:val="16"/>
                <w:szCs w:val="16"/>
              </w:rPr>
            </w:pPr>
            <w:r w:rsidRPr="00416131">
              <w:rPr>
                <w:sz w:val="16"/>
                <w:szCs w:val="16"/>
              </w:rPr>
              <w:t>0.6%</w:t>
            </w:r>
          </w:p>
        </w:tc>
        <w:tc>
          <w:tcPr>
            <w:tcW w:w="1020" w:type="dxa"/>
            <w:tcBorders>
              <w:top w:val="nil"/>
              <w:left w:val="nil"/>
              <w:bottom w:val="nil"/>
              <w:right w:val="nil"/>
            </w:tcBorders>
            <w:shd w:val="clear" w:color="auto" w:fill="auto"/>
            <w:noWrap/>
            <w:vAlign w:val="center"/>
          </w:tcPr>
          <w:p w14:paraId="1CF35DD7" w14:textId="7096F552" w:rsidR="00C015CC" w:rsidRPr="00E74E4F" w:rsidRDefault="00C015CC">
            <w:pPr>
              <w:spacing w:after="0" w:line="240" w:lineRule="auto"/>
              <w:jc w:val="center"/>
              <w:rPr>
                <w:rFonts w:cs="Arial"/>
                <w:sz w:val="16"/>
                <w:szCs w:val="16"/>
              </w:rPr>
            </w:pPr>
            <w:r w:rsidRPr="00416131">
              <w:rPr>
                <w:sz w:val="16"/>
                <w:szCs w:val="16"/>
              </w:rPr>
              <w:t>2.1%</w:t>
            </w:r>
          </w:p>
        </w:tc>
        <w:tc>
          <w:tcPr>
            <w:tcW w:w="960" w:type="dxa"/>
            <w:tcBorders>
              <w:top w:val="nil"/>
              <w:left w:val="nil"/>
              <w:bottom w:val="nil"/>
              <w:right w:val="nil"/>
            </w:tcBorders>
            <w:shd w:val="clear" w:color="auto" w:fill="auto"/>
            <w:noWrap/>
            <w:vAlign w:val="center"/>
          </w:tcPr>
          <w:p w14:paraId="3F63C5D1" w14:textId="5774D178" w:rsidR="00C015CC" w:rsidRPr="00E74E4F" w:rsidRDefault="00C015CC">
            <w:pPr>
              <w:spacing w:after="0" w:line="240" w:lineRule="auto"/>
              <w:jc w:val="center"/>
              <w:rPr>
                <w:rFonts w:cs="Arial"/>
                <w:sz w:val="16"/>
                <w:szCs w:val="16"/>
              </w:rPr>
            </w:pPr>
            <w:r w:rsidRPr="00416131">
              <w:rPr>
                <w:sz w:val="16"/>
                <w:szCs w:val="16"/>
              </w:rPr>
              <w:t>1.1%</w:t>
            </w:r>
          </w:p>
        </w:tc>
        <w:tc>
          <w:tcPr>
            <w:tcW w:w="1020" w:type="dxa"/>
            <w:tcBorders>
              <w:top w:val="nil"/>
              <w:left w:val="nil"/>
              <w:bottom w:val="nil"/>
              <w:right w:val="nil"/>
            </w:tcBorders>
            <w:shd w:val="clear" w:color="auto" w:fill="auto"/>
            <w:noWrap/>
            <w:vAlign w:val="center"/>
          </w:tcPr>
          <w:p w14:paraId="71A8AC0E" w14:textId="62EAF75D" w:rsidR="00C015CC" w:rsidRPr="00E74E4F" w:rsidRDefault="00C015CC">
            <w:pPr>
              <w:spacing w:after="0" w:line="240" w:lineRule="auto"/>
              <w:jc w:val="center"/>
              <w:rPr>
                <w:rFonts w:cs="Arial"/>
                <w:sz w:val="16"/>
                <w:szCs w:val="16"/>
              </w:rPr>
            </w:pPr>
            <w:r w:rsidRPr="00416131">
              <w:rPr>
                <w:sz w:val="16"/>
                <w:szCs w:val="16"/>
              </w:rPr>
              <w:t>1.7%</w:t>
            </w:r>
          </w:p>
        </w:tc>
        <w:tc>
          <w:tcPr>
            <w:tcW w:w="960" w:type="dxa"/>
            <w:tcBorders>
              <w:top w:val="nil"/>
              <w:left w:val="nil"/>
              <w:bottom w:val="nil"/>
              <w:right w:val="nil"/>
            </w:tcBorders>
            <w:shd w:val="clear" w:color="auto" w:fill="auto"/>
            <w:noWrap/>
            <w:vAlign w:val="center"/>
          </w:tcPr>
          <w:p w14:paraId="6EDD79B6" w14:textId="5AA39340" w:rsidR="00C015CC" w:rsidRPr="00E74E4F" w:rsidRDefault="00C015CC">
            <w:pPr>
              <w:spacing w:after="0" w:line="240" w:lineRule="auto"/>
              <w:jc w:val="center"/>
              <w:rPr>
                <w:rFonts w:cs="Arial"/>
                <w:sz w:val="16"/>
                <w:szCs w:val="16"/>
              </w:rPr>
            </w:pPr>
            <w:r w:rsidRPr="00416131">
              <w:rPr>
                <w:sz w:val="16"/>
                <w:szCs w:val="16"/>
              </w:rPr>
              <w:t>0.8%</w:t>
            </w:r>
          </w:p>
        </w:tc>
      </w:tr>
      <w:tr w:rsidR="00C015CC" w:rsidRPr="00EB5E6E" w14:paraId="3E30AD59" w14:textId="77777777" w:rsidTr="00416131">
        <w:trPr>
          <w:trHeight w:val="313"/>
        </w:trPr>
        <w:tc>
          <w:tcPr>
            <w:tcW w:w="1360" w:type="dxa"/>
            <w:tcBorders>
              <w:top w:val="nil"/>
              <w:left w:val="nil"/>
              <w:bottom w:val="single" w:sz="4" w:space="0" w:color="000000"/>
              <w:right w:val="nil"/>
            </w:tcBorders>
            <w:shd w:val="clear" w:color="auto" w:fill="auto"/>
            <w:noWrap/>
            <w:vAlign w:val="bottom"/>
            <w:hideMark/>
          </w:tcPr>
          <w:p w14:paraId="48070E28" w14:textId="77777777" w:rsidR="00C015CC" w:rsidRPr="00BB165A" w:rsidRDefault="00C015CC" w:rsidP="00C015CC">
            <w:pPr>
              <w:spacing w:after="0" w:line="240" w:lineRule="auto"/>
              <w:rPr>
                <w:rFonts w:asciiTheme="majorHAnsi" w:eastAsia="Times New Roman" w:hAnsiTheme="majorHAnsi" w:cs="Arial"/>
                <w:sz w:val="16"/>
                <w:szCs w:val="16"/>
                <w:lang w:eastAsia="en-AU"/>
              </w:rPr>
            </w:pPr>
            <w:r w:rsidRPr="00BB165A">
              <w:rPr>
                <w:rFonts w:cs="Arial"/>
                <w:sz w:val="16"/>
                <w:szCs w:val="16"/>
              </w:rPr>
              <w:t>2019 - 2020</w:t>
            </w:r>
          </w:p>
        </w:tc>
        <w:tc>
          <w:tcPr>
            <w:tcW w:w="1928" w:type="dxa"/>
            <w:tcBorders>
              <w:top w:val="nil"/>
              <w:left w:val="nil"/>
              <w:bottom w:val="single" w:sz="4" w:space="0" w:color="auto"/>
              <w:right w:val="nil"/>
            </w:tcBorders>
            <w:shd w:val="clear" w:color="auto" w:fill="auto"/>
            <w:vAlign w:val="bottom"/>
            <w:hideMark/>
          </w:tcPr>
          <w:p w14:paraId="51B6F530" w14:textId="77777777" w:rsidR="00C015CC" w:rsidRPr="00BB165A" w:rsidRDefault="00C015CC" w:rsidP="00C015CC">
            <w:pPr>
              <w:spacing w:after="0" w:line="240" w:lineRule="auto"/>
              <w:rPr>
                <w:rFonts w:cs="Arial"/>
                <w:sz w:val="16"/>
                <w:szCs w:val="16"/>
              </w:rPr>
            </w:pPr>
            <w:r w:rsidRPr="00BB165A">
              <w:rPr>
                <w:rFonts w:cs="Arial"/>
                <w:sz w:val="16"/>
                <w:szCs w:val="16"/>
              </w:rPr>
              <w:t xml:space="preserve">Full sample </w:t>
            </w:r>
          </w:p>
          <w:p w14:paraId="72E9186A" w14:textId="77777777" w:rsidR="00C015CC" w:rsidRPr="00BB165A" w:rsidRDefault="00C015CC" w:rsidP="00C015CC">
            <w:pPr>
              <w:spacing w:after="0" w:line="240" w:lineRule="auto"/>
              <w:rPr>
                <w:rFonts w:asciiTheme="majorHAnsi" w:eastAsia="Times New Roman" w:hAnsiTheme="majorHAnsi" w:cs="Arial"/>
                <w:sz w:val="16"/>
                <w:szCs w:val="16"/>
                <w:lang w:eastAsia="en-AU"/>
              </w:rPr>
            </w:pPr>
            <w:r w:rsidRPr="00BB165A">
              <w:rPr>
                <w:rFonts w:cs="Arial"/>
                <w:sz w:val="16"/>
                <w:szCs w:val="16"/>
              </w:rPr>
              <w:t>(37 universities)</w:t>
            </w:r>
          </w:p>
        </w:tc>
        <w:tc>
          <w:tcPr>
            <w:tcW w:w="1020" w:type="dxa"/>
            <w:tcBorders>
              <w:top w:val="single" w:sz="4" w:space="0" w:color="auto"/>
              <w:left w:val="nil"/>
              <w:bottom w:val="single" w:sz="4" w:space="0" w:color="auto"/>
              <w:right w:val="nil"/>
            </w:tcBorders>
            <w:shd w:val="clear" w:color="auto" w:fill="auto"/>
            <w:noWrap/>
            <w:vAlign w:val="center"/>
            <w:hideMark/>
          </w:tcPr>
          <w:p w14:paraId="735A7C83" w14:textId="653A1643" w:rsidR="00C015CC" w:rsidRPr="00E74E4F" w:rsidRDefault="00C015CC" w:rsidP="00E74E4F">
            <w:pPr>
              <w:spacing w:after="0" w:line="240" w:lineRule="auto"/>
              <w:jc w:val="center"/>
              <w:rPr>
                <w:rFonts w:asciiTheme="majorHAnsi" w:eastAsia="Times New Roman" w:hAnsiTheme="majorHAnsi" w:cs="Arial"/>
                <w:sz w:val="16"/>
                <w:szCs w:val="16"/>
                <w:lang w:eastAsia="en-AU"/>
              </w:rPr>
            </w:pPr>
            <w:r w:rsidRPr="00416131">
              <w:rPr>
                <w:sz w:val="16"/>
                <w:szCs w:val="16"/>
              </w:rPr>
              <w:t>0.4%</w:t>
            </w:r>
          </w:p>
        </w:tc>
        <w:tc>
          <w:tcPr>
            <w:tcW w:w="960" w:type="dxa"/>
            <w:tcBorders>
              <w:top w:val="single" w:sz="4" w:space="0" w:color="auto"/>
              <w:left w:val="nil"/>
              <w:bottom w:val="single" w:sz="4" w:space="0" w:color="auto"/>
              <w:right w:val="nil"/>
            </w:tcBorders>
            <w:shd w:val="clear" w:color="auto" w:fill="auto"/>
            <w:noWrap/>
            <w:vAlign w:val="center"/>
            <w:hideMark/>
          </w:tcPr>
          <w:p w14:paraId="71679DE8" w14:textId="22A7E742"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w:t>
            </w:r>
          </w:p>
        </w:tc>
        <w:tc>
          <w:tcPr>
            <w:tcW w:w="1020" w:type="dxa"/>
            <w:tcBorders>
              <w:top w:val="single" w:sz="4" w:space="0" w:color="auto"/>
              <w:left w:val="nil"/>
              <w:bottom w:val="single" w:sz="4" w:space="0" w:color="auto"/>
              <w:right w:val="nil"/>
            </w:tcBorders>
            <w:shd w:val="clear" w:color="auto" w:fill="auto"/>
            <w:noWrap/>
            <w:vAlign w:val="center"/>
            <w:hideMark/>
          </w:tcPr>
          <w:p w14:paraId="2F21B1E9" w14:textId="55DF427B"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1.0%</w:t>
            </w:r>
          </w:p>
        </w:tc>
        <w:tc>
          <w:tcPr>
            <w:tcW w:w="960" w:type="dxa"/>
            <w:tcBorders>
              <w:top w:val="single" w:sz="4" w:space="0" w:color="auto"/>
              <w:left w:val="nil"/>
              <w:bottom w:val="single" w:sz="4" w:space="0" w:color="auto"/>
              <w:right w:val="nil"/>
            </w:tcBorders>
            <w:shd w:val="clear" w:color="auto" w:fill="auto"/>
            <w:noWrap/>
            <w:vAlign w:val="center"/>
            <w:hideMark/>
          </w:tcPr>
          <w:p w14:paraId="3AB30F63" w14:textId="172EBC19"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w:t>
            </w:r>
          </w:p>
        </w:tc>
        <w:tc>
          <w:tcPr>
            <w:tcW w:w="1020" w:type="dxa"/>
            <w:tcBorders>
              <w:top w:val="single" w:sz="4" w:space="0" w:color="auto"/>
              <w:left w:val="nil"/>
              <w:bottom w:val="single" w:sz="4" w:space="0" w:color="auto"/>
              <w:right w:val="nil"/>
            </w:tcBorders>
            <w:shd w:val="clear" w:color="auto" w:fill="auto"/>
            <w:noWrap/>
            <w:vAlign w:val="center"/>
            <w:hideMark/>
          </w:tcPr>
          <w:p w14:paraId="02621758" w14:textId="5865D28D"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0.5%</w:t>
            </w:r>
          </w:p>
        </w:tc>
        <w:tc>
          <w:tcPr>
            <w:tcW w:w="960" w:type="dxa"/>
            <w:tcBorders>
              <w:top w:val="single" w:sz="4" w:space="0" w:color="auto"/>
              <w:left w:val="nil"/>
              <w:bottom w:val="single" w:sz="4" w:space="0" w:color="auto"/>
              <w:right w:val="nil"/>
            </w:tcBorders>
            <w:shd w:val="clear" w:color="auto" w:fill="auto"/>
            <w:noWrap/>
            <w:vAlign w:val="center"/>
            <w:hideMark/>
          </w:tcPr>
          <w:p w14:paraId="08263E4C" w14:textId="2E461D54" w:rsidR="00C015CC" w:rsidRPr="00E74E4F" w:rsidRDefault="00C015CC">
            <w:pPr>
              <w:spacing w:after="0" w:line="240" w:lineRule="auto"/>
              <w:jc w:val="center"/>
              <w:rPr>
                <w:rFonts w:asciiTheme="majorHAnsi" w:eastAsia="Times New Roman" w:hAnsiTheme="majorHAnsi" w:cs="Arial"/>
                <w:sz w:val="16"/>
                <w:szCs w:val="16"/>
                <w:lang w:eastAsia="en-AU"/>
              </w:rPr>
            </w:pPr>
            <w:r w:rsidRPr="00416131">
              <w:rPr>
                <w:sz w:val="16"/>
                <w:szCs w:val="16"/>
              </w:rPr>
              <w:t>-</w:t>
            </w:r>
          </w:p>
        </w:tc>
      </w:tr>
    </w:tbl>
    <w:p w14:paraId="7F57211D" w14:textId="7290D1AF" w:rsidR="00FF3D3E" w:rsidRPr="00691B65" w:rsidRDefault="00B55E41" w:rsidP="00FF3D3E">
      <w:pPr>
        <w:rPr>
          <w:iCs/>
          <w:color w:val="75787B" w:themeColor="accent6"/>
          <w:sz w:val="14"/>
        </w:rPr>
      </w:pPr>
      <w:r w:rsidRPr="00BB165A">
        <w:rPr>
          <w:color w:val="75787B" w:themeColor="accent6"/>
          <w:sz w:val="14"/>
        </w:rPr>
        <w:t xml:space="preserve">Note: CAGR indicates Compound Annual Growth Rate. </w:t>
      </w:r>
      <w:r w:rsidR="00FF3D3E" w:rsidRPr="00BB165A">
        <w:rPr>
          <w:color w:val="75787B" w:themeColor="accent6"/>
          <w:sz w:val="14"/>
        </w:rPr>
        <w:t>* Includes costs related to sub-bachelor study. Total growth exceeds growth in bachelor and postgraduate costs in some cases due to both the inclusion of costs for sub-bachelor level study and also compositional shifts which have resulted in a greater share of total EFTSL comprising postgraduate coursework students (who have a higher average cost per EFTSL).</w:t>
      </w:r>
    </w:p>
    <w:p w14:paraId="10C6CA0D" w14:textId="36A82D72" w:rsidR="00BD16BB" w:rsidRPr="00BB165A" w:rsidRDefault="00C50E37" w:rsidP="00700937">
      <w:r w:rsidRPr="00BB165A">
        <w:fldChar w:fldCharType="begin"/>
      </w:r>
      <w:r w:rsidRPr="00BB165A">
        <w:instrText xml:space="preserve"> REF _Ref532207638 \r \h </w:instrText>
      </w:r>
      <w:r w:rsidR="008B3BBC" w:rsidRPr="00BB165A">
        <w:instrText xml:space="preserve"> \* MERGEFORMAT </w:instrText>
      </w:r>
      <w:r w:rsidRPr="00BB165A">
        <w:fldChar w:fldCharType="separate"/>
      </w:r>
      <w:r w:rsidR="00E83FB1">
        <w:t>Table 2.3</w:t>
      </w:r>
      <w:r w:rsidRPr="00BB165A">
        <w:fldChar w:fldCharType="end"/>
      </w:r>
      <w:r w:rsidRPr="00BB165A">
        <w:t xml:space="preserve"> </w:t>
      </w:r>
      <w:r w:rsidR="00700937" w:rsidRPr="00BB165A">
        <w:t>benchmarks the changes in</w:t>
      </w:r>
      <w:r w:rsidR="00D81B93" w:rsidRPr="00BB165A">
        <w:t xml:space="preserve"> teaching</w:t>
      </w:r>
      <w:r w:rsidR="00700937" w:rsidRPr="00BB165A">
        <w:t xml:space="preserve"> cost</w:t>
      </w:r>
      <w:r w:rsidR="00D81B93" w:rsidRPr="00BB165A">
        <w:t>s</w:t>
      </w:r>
      <w:r w:rsidR="00700937" w:rsidRPr="00BB165A">
        <w:t xml:space="preserve"> per EFTSL to changes in expenditure by the sector </w:t>
      </w:r>
      <w:r w:rsidR="00034457" w:rsidRPr="00BB165A">
        <w:t xml:space="preserve">over time across the </w:t>
      </w:r>
      <w:r w:rsidR="0098399D" w:rsidRPr="00BB165A">
        <w:t>various</w:t>
      </w:r>
      <w:r w:rsidR="00034457" w:rsidRPr="00BB165A">
        <w:t xml:space="preserve"> common samples</w:t>
      </w:r>
      <w:r w:rsidR="0098399D" w:rsidRPr="00BB165A">
        <w:t xml:space="preserve">, all </w:t>
      </w:r>
      <w:r w:rsidR="00AD77C3" w:rsidRPr="00BB165A">
        <w:t>universities</w:t>
      </w:r>
      <w:r w:rsidR="0098399D" w:rsidRPr="00BB165A">
        <w:t xml:space="preserve"> sampled in a given year, </w:t>
      </w:r>
      <w:r w:rsidR="00700937" w:rsidRPr="00BB165A">
        <w:t xml:space="preserve">and </w:t>
      </w:r>
      <w:r w:rsidR="00AD77C3" w:rsidRPr="00BB165A">
        <w:t xml:space="preserve">changes in total costs </w:t>
      </w:r>
      <w:r w:rsidR="00096337">
        <w:t>(including non-teaching costs)</w:t>
      </w:r>
      <w:r w:rsidR="00AD77C3" w:rsidRPr="00BB165A">
        <w:t xml:space="preserve"> for </w:t>
      </w:r>
      <w:r w:rsidR="00700937" w:rsidRPr="00BB165A">
        <w:t xml:space="preserve">all public universities. </w:t>
      </w:r>
    </w:p>
    <w:p w14:paraId="7691EDEC" w14:textId="5F683F40" w:rsidR="00137120" w:rsidRDefault="008352B1" w:rsidP="00700937">
      <w:r>
        <w:t xml:space="preserve">Over the period from 2015 to 2020, </w:t>
      </w:r>
      <w:r w:rsidR="00E0561A">
        <w:t xml:space="preserve">teaching cost per EFTSL grew by 1.8% </w:t>
      </w:r>
      <w:r w:rsidR="003A6E0D">
        <w:t xml:space="preserve">for the common sample, which was slightly lower than the increase in continuing expenditure (including research and community engagement) per EFTSL of </w:t>
      </w:r>
      <w:r w:rsidR="002C7DAB" w:rsidRPr="00BB165A">
        <w:t>2.3</w:t>
      </w:r>
      <w:r w:rsidR="00700937" w:rsidRPr="00BB165A">
        <w:t xml:space="preserve">% for </w:t>
      </w:r>
      <w:r w:rsidR="00774A68" w:rsidRPr="00BB165A">
        <w:t xml:space="preserve">the common sample </w:t>
      </w:r>
      <w:r w:rsidR="00700937" w:rsidRPr="00BB165A">
        <w:t>and</w:t>
      </w:r>
      <w:r w:rsidR="00224ABE" w:rsidRPr="00BB165A">
        <w:t xml:space="preserve"> </w:t>
      </w:r>
      <w:r w:rsidR="00700937" w:rsidRPr="00BB165A">
        <w:t xml:space="preserve">for the </w:t>
      </w:r>
      <w:r w:rsidR="00774A68" w:rsidRPr="00BB165A">
        <w:t>whole sector.</w:t>
      </w:r>
      <w:r w:rsidR="00700937" w:rsidRPr="00BB165A">
        <w:t xml:space="preserve"> </w:t>
      </w:r>
    </w:p>
    <w:p w14:paraId="186F2CC3" w14:textId="0CBD36F6" w:rsidR="00700937" w:rsidRPr="00774A68" w:rsidRDefault="002D18B5" w:rsidP="0075608C">
      <w:r w:rsidRPr="001C56C1">
        <w:t>G</w:t>
      </w:r>
      <w:r w:rsidR="00700937" w:rsidRPr="001C56C1">
        <w:t>rowth in teaching costs for the common sample ha</w:t>
      </w:r>
      <w:r w:rsidRPr="001C56C1">
        <w:t>s</w:t>
      </w:r>
      <w:r w:rsidR="00700937" w:rsidRPr="001C56C1">
        <w:t xml:space="preserve"> exceeded growth in base funding levels per EFTSL over the last </w:t>
      </w:r>
      <w:r w:rsidR="001C56C1" w:rsidRPr="001C56C1">
        <w:t>five</w:t>
      </w:r>
      <w:r w:rsidR="00700937" w:rsidRPr="001C56C1">
        <w:t xml:space="preserve"> years</w:t>
      </w:r>
      <w:r w:rsidRPr="001C56C1">
        <w:t>, with</w:t>
      </w:r>
      <w:r w:rsidR="00700937" w:rsidRPr="001C56C1">
        <w:t xml:space="preserve"> base funding per EFTSL gr</w:t>
      </w:r>
      <w:r w:rsidRPr="001C56C1">
        <w:t>o</w:t>
      </w:r>
      <w:r w:rsidR="00700937" w:rsidRPr="001C56C1">
        <w:t>w</w:t>
      </w:r>
      <w:r w:rsidRPr="001C56C1">
        <w:t>ing</w:t>
      </w:r>
      <w:r w:rsidR="00700937" w:rsidRPr="001C56C1">
        <w:t xml:space="preserve"> by </w:t>
      </w:r>
      <w:r w:rsidR="00774A68" w:rsidRPr="001C56C1">
        <w:t>an annual rate of</w:t>
      </w:r>
      <w:r w:rsidR="00700937" w:rsidRPr="001C56C1">
        <w:t xml:space="preserve"> </w:t>
      </w:r>
      <w:r w:rsidR="00774A68" w:rsidRPr="001C56C1">
        <w:t>1.</w:t>
      </w:r>
      <w:r w:rsidR="001C56C1" w:rsidRPr="001C56C1">
        <w:t>6</w:t>
      </w:r>
      <w:r w:rsidR="00700937" w:rsidRPr="001C56C1">
        <w:t>%.</w:t>
      </w:r>
      <w:r w:rsidR="0075608C" w:rsidRPr="001C56C1">
        <w:t xml:space="preserve"> </w:t>
      </w:r>
    </w:p>
    <w:p w14:paraId="6083D237" w14:textId="71D7F098" w:rsidR="0026459D" w:rsidRDefault="00700937" w:rsidP="00700937">
      <w:r w:rsidRPr="00BB165A">
        <w:t xml:space="preserve">Importantly, while the growth in costs per EFTSL for the common sample provides a valid comparison over time for a common sample of universities, it is not strictly a measure of cost per EFTSL for the sector over time. It is possible that growth in cost per EFTSL may differ for universities not in the common sample. </w:t>
      </w:r>
      <w:r w:rsidR="00C660AE" w:rsidRPr="00BB165A">
        <w:t>C</w:t>
      </w:r>
      <w:r w:rsidRPr="00BB165A">
        <w:t xml:space="preserve">hanges in continuing expenditure per EFTSL have not differed </w:t>
      </w:r>
      <w:r w:rsidR="002E54F2" w:rsidRPr="00BB165A">
        <w:t xml:space="preserve">markedly </w:t>
      </w:r>
      <w:r w:rsidRPr="00BB165A">
        <w:t xml:space="preserve">for the sector as a whole </w:t>
      </w:r>
      <w:r w:rsidR="005719A7" w:rsidRPr="00BB165A">
        <w:t xml:space="preserve">relative to the </w:t>
      </w:r>
      <w:r w:rsidR="002F7DCB" w:rsidRPr="00BB165A">
        <w:t xml:space="preserve">2015 </w:t>
      </w:r>
      <w:r w:rsidR="005719A7" w:rsidRPr="00BB165A">
        <w:t>common sample</w:t>
      </w:r>
      <w:r w:rsidR="00C660AE" w:rsidRPr="00BB165A">
        <w:t xml:space="preserve"> from 2015 to 2020</w:t>
      </w:r>
      <w:r w:rsidR="00662434" w:rsidRPr="00BB165A">
        <w:t xml:space="preserve">, while the sector saw </w:t>
      </w:r>
      <w:r w:rsidR="00C660AE" w:rsidRPr="00BB165A">
        <w:t>stronger growth in continuing expenditure per EFTSL relative to the 2017 common sample from 2017 to 2020 and the 2018 common sample from 2018 to 2020</w:t>
      </w:r>
      <w:r w:rsidR="0026459D" w:rsidRPr="00BB165A">
        <w:t>.</w:t>
      </w:r>
      <w:r w:rsidR="002F7DCB" w:rsidRPr="002F7DCB">
        <w:t xml:space="preserve"> </w:t>
      </w:r>
    </w:p>
    <w:p w14:paraId="6A1B7819" w14:textId="0CDFD559" w:rsidR="001125F8" w:rsidRPr="008D126E" w:rsidRDefault="002C332B" w:rsidP="001125F8">
      <w:r w:rsidRPr="00BB165A">
        <w:fldChar w:fldCharType="begin"/>
      </w:r>
      <w:r w:rsidRPr="00BB165A">
        <w:instrText xml:space="preserve"> REF _Ref102569525 \r \h </w:instrText>
      </w:r>
      <w:r w:rsidR="0014737E" w:rsidRPr="00BB165A">
        <w:instrText xml:space="preserve"> \* MERGEFORMAT </w:instrText>
      </w:r>
      <w:r w:rsidRPr="00BB165A">
        <w:fldChar w:fldCharType="separate"/>
      </w:r>
      <w:r w:rsidR="00E83FB1">
        <w:t>Table 2.4</w:t>
      </w:r>
      <w:r w:rsidRPr="00BB165A">
        <w:fldChar w:fldCharType="end"/>
      </w:r>
      <w:r w:rsidRPr="00BB165A">
        <w:t xml:space="preserve"> </w:t>
      </w:r>
      <w:r w:rsidR="001125F8" w:rsidRPr="00BB165A">
        <w:t>benchmark</w:t>
      </w:r>
      <w:r w:rsidRPr="00BB165A">
        <w:t>s</w:t>
      </w:r>
      <w:r w:rsidR="001125F8" w:rsidRPr="00BB165A">
        <w:t xml:space="preserve"> the growth in reported teaching and scholarship costs against all university costs (including research). Growth in total teaching and scholarship costs is slightly below growth in overall university costs (teaching, scholarship and research) between 2015 to 2020 and 2017 to 2020</w:t>
      </w:r>
      <w:r w:rsidR="002F2111" w:rsidRPr="00BB165A">
        <w:t xml:space="preserve">, and </w:t>
      </w:r>
      <w:r w:rsidR="00A223AC">
        <w:t>above</w:t>
      </w:r>
      <w:r w:rsidR="00A223AC" w:rsidRPr="00BB165A">
        <w:t xml:space="preserve"> </w:t>
      </w:r>
      <w:r w:rsidR="002F2111" w:rsidRPr="00BB165A">
        <w:t>growth in overall university costs from 2018 to 2020</w:t>
      </w:r>
      <w:r w:rsidR="001125F8" w:rsidRPr="00BB165A">
        <w:t xml:space="preserve"> (for the respective common samples)</w:t>
      </w:r>
      <w:r w:rsidR="00DF5018" w:rsidRPr="00BB165A">
        <w:t xml:space="preserve">. </w:t>
      </w:r>
      <w:r w:rsidR="00A23FF1" w:rsidRPr="00BB165A">
        <w:t xml:space="preserve">This is partly due to </w:t>
      </w:r>
      <w:r w:rsidR="00244CE4" w:rsidRPr="00BB165A">
        <w:t xml:space="preserve">a larger fall in overall university non-staff costs </w:t>
      </w:r>
      <w:r w:rsidR="00A94087" w:rsidRPr="00BB165A">
        <w:t>relative to teaching and scholarship related non-staff costs from 2017</w:t>
      </w:r>
      <w:r w:rsidR="0014737E" w:rsidRPr="00BB165A">
        <w:t xml:space="preserve"> onwards.</w:t>
      </w:r>
    </w:p>
    <w:p w14:paraId="3ADB4860" w14:textId="54261ACE" w:rsidR="001125F8" w:rsidRPr="00BB165A" w:rsidRDefault="00753E47" w:rsidP="00D817EC">
      <w:r w:rsidRPr="00BB165A">
        <w:t xml:space="preserve">Teaching and scholarship related staff costs grew at a faster rate compared to </w:t>
      </w:r>
      <w:r w:rsidR="002740F5" w:rsidRPr="00BB165A">
        <w:t>teaching related non-staff costs from 2015 to 2020,</w:t>
      </w:r>
      <w:r w:rsidR="00D62409" w:rsidRPr="00BB165A">
        <w:t xml:space="preserve"> 2017 to 2020 and 2018 to 2020 (for the respective common samples).</w:t>
      </w:r>
      <w:r w:rsidR="001125F8" w:rsidRPr="00BB165A">
        <w:t xml:space="preserve"> This </w:t>
      </w:r>
      <w:r w:rsidR="00A224C8">
        <w:t>partly</w:t>
      </w:r>
      <w:r w:rsidR="001125F8" w:rsidRPr="00BB165A">
        <w:t xml:space="preserve"> </w:t>
      </w:r>
      <w:r w:rsidR="000A05BF" w:rsidRPr="00BB165A">
        <w:t xml:space="preserve">reflects the </w:t>
      </w:r>
      <w:r w:rsidR="00E44980" w:rsidRPr="00BB165A">
        <w:t>decrease</w:t>
      </w:r>
      <w:r w:rsidR="000A05BF" w:rsidRPr="00BB165A">
        <w:t xml:space="preserve"> in non-staff costs in 2020 (</w:t>
      </w:r>
      <w:r w:rsidR="00E44980" w:rsidRPr="00BB165A">
        <w:t>-</w:t>
      </w:r>
      <w:r w:rsidR="00BB0161">
        <w:t>6</w:t>
      </w:r>
      <w:r w:rsidR="00905D72" w:rsidRPr="00BB165A">
        <w:t>.</w:t>
      </w:r>
      <w:r w:rsidR="00A224C8">
        <w:t>2</w:t>
      </w:r>
      <w:r w:rsidR="000A05BF" w:rsidRPr="00BB165A">
        <w:t xml:space="preserve">%) </w:t>
      </w:r>
      <w:r w:rsidR="00D817EC" w:rsidRPr="00BB165A">
        <w:t xml:space="preserve">relative to </w:t>
      </w:r>
      <w:r w:rsidR="00E44980" w:rsidRPr="00BB165A">
        <w:t xml:space="preserve">the increase in </w:t>
      </w:r>
      <w:r w:rsidR="00D817EC" w:rsidRPr="00BB165A">
        <w:t>staff costs (</w:t>
      </w:r>
      <w:r w:rsidR="00946824" w:rsidRPr="00BB165A">
        <w:t>5.</w:t>
      </w:r>
      <w:r w:rsidR="004D3963">
        <w:t>1</w:t>
      </w:r>
      <w:r w:rsidR="00D817EC" w:rsidRPr="00BB165A">
        <w:t>%) amid the impact of COVID</w:t>
      </w:r>
      <w:r w:rsidR="00016797">
        <w:t>-19</w:t>
      </w:r>
      <w:r w:rsidR="00D817EC" w:rsidRPr="00BB165A">
        <w:t xml:space="preserve">. </w:t>
      </w:r>
    </w:p>
    <w:p w14:paraId="4F5D08C5" w14:textId="77777777" w:rsidR="001125F8" w:rsidRDefault="001125F8" w:rsidP="00700937"/>
    <w:p w14:paraId="3CC1991B" w14:textId="77777777" w:rsidR="001125F8" w:rsidRDefault="001125F8" w:rsidP="00700937"/>
    <w:p w14:paraId="71537B66" w14:textId="3F265617" w:rsidR="001125F8" w:rsidRDefault="001125F8" w:rsidP="00700937">
      <w:pPr>
        <w:sectPr w:rsidR="001125F8" w:rsidSect="00201BEB">
          <w:pgSz w:w="11906" w:h="16838" w:code="9"/>
          <w:pgMar w:top="1985" w:right="1416" w:bottom="1134" w:left="1418" w:header="680" w:footer="425" w:gutter="0"/>
          <w:cols w:space="284"/>
          <w:docGrid w:linePitch="360"/>
        </w:sectPr>
      </w:pPr>
    </w:p>
    <w:p w14:paraId="4D6FBDF3" w14:textId="77777777" w:rsidR="000738BE" w:rsidRDefault="000738BE" w:rsidP="00700937"/>
    <w:p w14:paraId="531E5F9C" w14:textId="55EE798D" w:rsidR="00164E01" w:rsidRPr="003E17AE" w:rsidRDefault="00164E01" w:rsidP="00164E01">
      <w:pPr>
        <w:pStyle w:val="CaptionTable"/>
      </w:pPr>
      <w:bookmarkStart w:id="568" w:name="_Ref532207638"/>
      <w:bookmarkStart w:id="569" w:name="_Toc20245928"/>
      <w:bookmarkStart w:id="570" w:name="_Toc105776711"/>
      <w:r w:rsidRPr="003E17AE">
        <w:t>: Change in costs</w:t>
      </w:r>
      <w:bookmarkEnd w:id="568"/>
      <w:bookmarkEnd w:id="569"/>
      <w:r w:rsidR="004B2904" w:rsidRPr="003E17AE">
        <w:t>, CAGRs</w:t>
      </w:r>
      <w:bookmarkEnd w:id="570"/>
    </w:p>
    <w:tbl>
      <w:tblPr>
        <w:tblW w:w="14648" w:type="dxa"/>
        <w:tblLook w:val="04A0" w:firstRow="1" w:lastRow="0" w:firstColumn="1" w:lastColumn="0" w:noHBand="0" w:noVBand="1"/>
      </w:tblPr>
      <w:tblGrid>
        <w:gridCol w:w="2723"/>
        <w:gridCol w:w="1354"/>
        <w:gridCol w:w="1267"/>
        <w:gridCol w:w="1354"/>
        <w:gridCol w:w="1354"/>
        <w:gridCol w:w="1267"/>
        <w:gridCol w:w="1354"/>
        <w:gridCol w:w="1354"/>
        <w:gridCol w:w="1267"/>
        <w:gridCol w:w="1354"/>
      </w:tblGrid>
      <w:tr w:rsidR="004B2904" w:rsidRPr="00BB165A" w14:paraId="014B923C" w14:textId="77777777" w:rsidTr="004A7F6B">
        <w:trPr>
          <w:trHeight w:val="397"/>
        </w:trPr>
        <w:tc>
          <w:tcPr>
            <w:tcW w:w="2723" w:type="dxa"/>
            <w:tcBorders>
              <w:top w:val="single" w:sz="24" w:space="0" w:color="62B5E5" w:themeColor="accent3"/>
              <w:left w:val="nil"/>
              <w:right w:val="nil"/>
            </w:tcBorders>
            <w:shd w:val="clear" w:color="auto" w:fill="auto"/>
            <w:vAlign w:val="center"/>
          </w:tcPr>
          <w:p w14:paraId="59CEA200" w14:textId="77777777" w:rsidR="004B2904" w:rsidRPr="00BB165A" w:rsidRDefault="004B2904" w:rsidP="00164E01">
            <w:pPr>
              <w:spacing w:after="0" w:line="240" w:lineRule="auto"/>
              <w:jc w:val="center"/>
              <w:rPr>
                <w:rFonts w:eastAsia="Times New Roman" w:cs="Arial"/>
                <w:b/>
                <w:sz w:val="16"/>
                <w:szCs w:val="16"/>
                <w:lang w:eastAsia="en-AU"/>
              </w:rPr>
            </w:pPr>
          </w:p>
        </w:tc>
        <w:tc>
          <w:tcPr>
            <w:tcW w:w="3975" w:type="dxa"/>
            <w:gridSpan w:val="3"/>
            <w:tcBorders>
              <w:top w:val="single" w:sz="24" w:space="0" w:color="62B5E5" w:themeColor="accent3"/>
              <w:left w:val="nil"/>
            </w:tcBorders>
            <w:shd w:val="clear" w:color="auto" w:fill="auto"/>
            <w:vAlign w:val="center"/>
          </w:tcPr>
          <w:p w14:paraId="0943F001" w14:textId="0D6A52CF" w:rsidR="004B2904" w:rsidRPr="00BB165A" w:rsidRDefault="004B2904" w:rsidP="004B2904">
            <w:pPr>
              <w:spacing w:after="0" w:line="240" w:lineRule="auto"/>
              <w:jc w:val="center"/>
              <w:rPr>
                <w:rFonts w:cs="Arial"/>
                <w:b/>
                <w:sz w:val="16"/>
                <w:szCs w:val="16"/>
              </w:rPr>
            </w:pPr>
            <w:r w:rsidRPr="00BB165A">
              <w:rPr>
                <w:rFonts w:cs="Arial"/>
                <w:b/>
                <w:sz w:val="16"/>
                <w:szCs w:val="16"/>
              </w:rPr>
              <w:t>2015 to 2020</w:t>
            </w:r>
          </w:p>
        </w:tc>
        <w:tc>
          <w:tcPr>
            <w:tcW w:w="3975" w:type="dxa"/>
            <w:gridSpan w:val="3"/>
            <w:tcBorders>
              <w:top w:val="single" w:sz="24" w:space="0" w:color="62B5E5" w:themeColor="accent3"/>
            </w:tcBorders>
            <w:shd w:val="clear" w:color="auto" w:fill="F2F2F2" w:themeFill="background1" w:themeFillShade="F2"/>
            <w:vAlign w:val="center"/>
          </w:tcPr>
          <w:p w14:paraId="3A126235" w14:textId="0657A51C" w:rsidR="004B2904" w:rsidRPr="00BB165A" w:rsidRDefault="004B2904" w:rsidP="004B2904">
            <w:pPr>
              <w:spacing w:after="0" w:line="240" w:lineRule="auto"/>
              <w:jc w:val="center"/>
              <w:rPr>
                <w:rFonts w:cs="Arial"/>
                <w:b/>
                <w:sz w:val="16"/>
                <w:szCs w:val="16"/>
              </w:rPr>
            </w:pPr>
            <w:r w:rsidRPr="00BB165A">
              <w:rPr>
                <w:rFonts w:cs="Arial"/>
                <w:b/>
                <w:sz w:val="16"/>
                <w:szCs w:val="16"/>
              </w:rPr>
              <w:t>2017 to 2020</w:t>
            </w:r>
          </w:p>
        </w:tc>
        <w:tc>
          <w:tcPr>
            <w:tcW w:w="3975" w:type="dxa"/>
            <w:gridSpan w:val="3"/>
            <w:tcBorders>
              <w:top w:val="single" w:sz="24" w:space="0" w:color="62B5E5" w:themeColor="accent3"/>
              <w:left w:val="nil"/>
              <w:right w:val="nil"/>
            </w:tcBorders>
            <w:vAlign w:val="center"/>
          </w:tcPr>
          <w:p w14:paraId="2F12DA40" w14:textId="749D4AA6" w:rsidR="004B2904" w:rsidRPr="00BB165A" w:rsidRDefault="004B2904" w:rsidP="004B2904">
            <w:pPr>
              <w:spacing w:after="0" w:line="240" w:lineRule="auto"/>
              <w:jc w:val="center"/>
              <w:rPr>
                <w:rFonts w:cs="Arial"/>
                <w:b/>
                <w:sz w:val="16"/>
                <w:szCs w:val="16"/>
              </w:rPr>
            </w:pPr>
            <w:r w:rsidRPr="00BB165A">
              <w:rPr>
                <w:rFonts w:cs="Arial"/>
                <w:b/>
                <w:sz w:val="16"/>
                <w:szCs w:val="16"/>
              </w:rPr>
              <w:t>2018 to 2020</w:t>
            </w:r>
          </w:p>
        </w:tc>
      </w:tr>
      <w:tr w:rsidR="0099737F" w:rsidRPr="00BB165A" w14:paraId="3519CFD7" w14:textId="29B3959B" w:rsidTr="004A7F6B">
        <w:trPr>
          <w:trHeight w:val="630"/>
        </w:trPr>
        <w:tc>
          <w:tcPr>
            <w:tcW w:w="2723" w:type="dxa"/>
            <w:tcBorders>
              <w:left w:val="nil"/>
              <w:bottom w:val="single" w:sz="4" w:space="0" w:color="auto"/>
              <w:right w:val="nil"/>
            </w:tcBorders>
            <w:shd w:val="clear" w:color="auto" w:fill="auto"/>
            <w:vAlign w:val="center"/>
          </w:tcPr>
          <w:p w14:paraId="4F46BB1D" w14:textId="7FAC3B42" w:rsidR="003F38AE" w:rsidRPr="00BB165A" w:rsidRDefault="003F38AE" w:rsidP="003F38AE">
            <w:pPr>
              <w:spacing w:after="0" w:line="240" w:lineRule="auto"/>
              <w:jc w:val="center"/>
              <w:rPr>
                <w:rFonts w:eastAsia="Times New Roman" w:cs="Arial"/>
                <w:b/>
                <w:sz w:val="16"/>
                <w:szCs w:val="16"/>
                <w:lang w:eastAsia="en-AU"/>
              </w:rPr>
            </w:pPr>
          </w:p>
        </w:tc>
        <w:tc>
          <w:tcPr>
            <w:tcW w:w="1354" w:type="dxa"/>
            <w:tcBorders>
              <w:left w:val="nil"/>
              <w:bottom w:val="single" w:sz="4" w:space="0" w:color="auto"/>
              <w:right w:val="nil"/>
            </w:tcBorders>
            <w:shd w:val="clear" w:color="auto" w:fill="auto"/>
            <w:vAlign w:val="center"/>
            <w:hideMark/>
          </w:tcPr>
          <w:p w14:paraId="67852066" w14:textId="77777777" w:rsidR="003F38AE" w:rsidRPr="00BB165A" w:rsidRDefault="003F38AE" w:rsidP="003F38AE">
            <w:pPr>
              <w:spacing w:after="0" w:line="240" w:lineRule="auto"/>
              <w:jc w:val="center"/>
              <w:rPr>
                <w:rFonts w:eastAsia="Times New Roman" w:cs="Arial"/>
                <w:b/>
                <w:sz w:val="16"/>
                <w:szCs w:val="16"/>
                <w:lang w:eastAsia="en-AU"/>
              </w:rPr>
            </w:pPr>
            <w:r w:rsidRPr="00BB165A">
              <w:rPr>
                <w:rFonts w:cs="Arial"/>
                <w:b/>
                <w:sz w:val="16"/>
                <w:szCs w:val="16"/>
              </w:rPr>
              <w:t>2015 common sample (17 universities)</w:t>
            </w:r>
          </w:p>
        </w:tc>
        <w:tc>
          <w:tcPr>
            <w:tcW w:w="1267" w:type="dxa"/>
            <w:tcBorders>
              <w:left w:val="nil"/>
              <w:bottom w:val="single" w:sz="4" w:space="0" w:color="auto"/>
              <w:right w:val="nil"/>
            </w:tcBorders>
            <w:shd w:val="clear" w:color="auto" w:fill="auto"/>
            <w:vAlign w:val="center"/>
            <w:hideMark/>
          </w:tcPr>
          <w:p w14:paraId="7938D33A" w14:textId="77777777" w:rsidR="003F38AE" w:rsidRPr="00BB165A" w:rsidRDefault="003F38AE" w:rsidP="003F38AE">
            <w:pPr>
              <w:spacing w:after="0" w:line="240" w:lineRule="auto"/>
              <w:jc w:val="center"/>
              <w:rPr>
                <w:rFonts w:eastAsia="Times New Roman" w:cs="Arial"/>
                <w:b/>
                <w:sz w:val="16"/>
                <w:szCs w:val="16"/>
                <w:lang w:eastAsia="en-AU"/>
              </w:rPr>
            </w:pPr>
            <w:r w:rsidRPr="00BB165A">
              <w:rPr>
                <w:rFonts w:cs="Arial"/>
                <w:b/>
                <w:sz w:val="16"/>
                <w:szCs w:val="16"/>
              </w:rPr>
              <w:t xml:space="preserve">Full sample in each year </w:t>
            </w:r>
            <w:r w:rsidRPr="00BB165A">
              <w:rPr>
                <w:rFonts w:cs="Arial"/>
                <w:b/>
                <w:sz w:val="16"/>
                <w:szCs w:val="16"/>
              </w:rPr>
              <w:br/>
              <w:t>(17 universities in 2015</w:t>
            </w:r>
            <w:r w:rsidRPr="00BB165A">
              <w:rPr>
                <w:rFonts w:cs="Arial"/>
                <w:b/>
                <w:sz w:val="16"/>
                <w:szCs w:val="16"/>
              </w:rPr>
              <w:br/>
              <w:t>37 universities in 2020)</w:t>
            </w:r>
          </w:p>
        </w:tc>
        <w:tc>
          <w:tcPr>
            <w:tcW w:w="1354" w:type="dxa"/>
            <w:tcBorders>
              <w:left w:val="nil"/>
              <w:bottom w:val="single" w:sz="4" w:space="0" w:color="auto"/>
            </w:tcBorders>
            <w:shd w:val="clear" w:color="auto" w:fill="auto"/>
            <w:vAlign w:val="center"/>
            <w:hideMark/>
          </w:tcPr>
          <w:p w14:paraId="140C40AC" w14:textId="77777777" w:rsidR="003F38AE" w:rsidRPr="00BB165A" w:rsidRDefault="003F38AE" w:rsidP="003F38AE">
            <w:pPr>
              <w:spacing w:after="0" w:line="240" w:lineRule="auto"/>
              <w:jc w:val="center"/>
              <w:rPr>
                <w:rFonts w:eastAsia="Times New Roman" w:cs="Arial"/>
                <w:b/>
                <w:sz w:val="16"/>
                <w:szCs w:val="16"/>
                <w:lang w:eastAsia="en-AU"/>
              </w:rPr>
            </w:pPr>
            <w:r w:rsidRPr="00BB165A">
              <w:rPr>
                <w:rFonts w:cs="Arial"/>
                <w:b/>
                <w:sz w:val="16"/>
                <w:szCs w:val="16"/>
              </w:rPr>
              <w:t>All universities (37 universities)</w:t>
            </w:r>
          </w:p>
        </w:tc>
        <w:tc>
          <w:tcPr>
            <w:tcW w:w="1354" w:type="dxa"/>
            <w:tcBorders>
              <w:bottom w:val="single" w:sz="4" w:space="0" w:color="auto"/>
              <w:right w:val="nil"/>
            </w:tcBorders>
            <w:shd w:val="clear" w:color="auto" w:fill="F2F2F2" w:themeFill="background1" w:themeFillShade="F2"/>
            <w:vAlign w:val="center"/>
          </w:tcPr>
          <w:p w14:paraId="786FA329" w14:textId="1B67BEA1" w:rsidR="003F38AE" w:rsidRPr="00BB165A" w:rsidRDefault="003F38AE" w:rsidP="003F38AE">
            <w:pPr>
              <w:spacing w:after="0" w:line="240" w:lineRule="auto"/>
              <w:jc w:val="center"/>
              <w:rPr>
                <w:rFonts w:cs="Arial"/>
                <w:b/>
                <w:sz w:val="16"/>
                <w:szCs w:val="16"/>
              </w:rPr>
            </w:pPr>
            <w:r w:rsidRPr="00BB165A">
              <w:rPr>
                <w:rFonts w:eastAsia="Times New Roman" w:cs="Arial"/>
                <w:b/>
                <w:sz w:val="16"/>
                <w:szCs w:val="16"/>
                <w:lang w:eastAsia="en-AU"/>
              </w:rPr>
              <w:t>2017 common sample (25 universities)</w:t>
            </w:r>
          </w:p>
        </w:tc>
        <w:tc>
          <w:tcPr>
            <w:tcW w:w="1267" w:type="dxa"/>
            <w:tcBorders>
              <w:left w:val="nil"/>
              <w:bottom w:val="single" w:sz="4" w:space="0" w:color="auto"/>
              <w:right w:val="nil"/>
            </w:tcBorders>
            <w:shd w:val="clear" w:color="auto" w:fill="F2F2F2" w:themeFill="background1" w:themeFillShade="F2"/>
            <w:vAlign w:val="center"/>
          </w:tcPr>
          <w:p w14:paraId="60D6FDB8" w14:textId="7608DD08" w:rsidR="003F38AE" w:rsidRPr="00BB165A" w:rsidRDefault="003F38AE" w:rsidP="003F38AE">
            <w:pPr>
              <w:spacing w:after="0" w:line="240" w:lineRule="auto"/>
              <w:jc w:val="center"/>
              <w:rPr>
                <w:rFonts w:cs="Arial"/>
                <w:b/>
                <w:sz w:val="16"/>
                <w:szCs w:val="16"/>
              </w:rPr>
            </w:pPr>
            <w:r w:rsidRPr="00BB165A">
              <w:rPr>
                <w:rFonts w:eastAsia="Times New Roman" w:cs="Arial"/>
                <w:b/>
                <w:sz w:val="16"/>
                <w:szCs w:val="16"/>
                <w:lang w:eastAsia="en-AU"/>
              </w:rPr>
              <w:t xml:space="preserve">Full sample in each year </w:t>
            </w:r>
            <w:r w:rsidRPr="00BB165A">
              <w:rPr>
                <w:rFonts w:eastAsia="Times New Roman" w:cs="Arial"/>
                <w:b/>
                <w:sz w:val="16"/>
                <w:szCs w:val="16"/>
                <w:lang w:eastAsia="en-AU"/>
              </w:rPr>
              <w:br/>
              <w:t>(25 universities in 2017</w:t>
            </w:r>
            <w:r w:rsidRPr="00BB165A">
              <w:rPr>
                <w:rFonts w:eastAsia="Times New Roman" w:cs="Arial"/>
                <w:b/>
                <w:sz w:val="16"/>
                <w:szCs w:val="16"/>
                <w:lang w:eastAsia="en-AU"/>
              </w:rPr>
              <w:br/>
              <w:t>37 in 2020)</w:t>
            </w:r>
          </w:p>
        </w:tc>
        <w:tc>
          <w:tcPr>
            <w:tcW w:w="1354" w:type="dxa"/>
            <w:tcBorders>
              <w:left w:val="nil"/>
              <w:bottom w:val="single" w:sz="4" w:space="0" w:color="auto"/>
            </w:tcBorders>
            <w:shd w:val="clear" w:color="auto" w:fill="F2F2F2" w:themeFill="background1" w:themeFillShade="F2"/>
            <w:vAlign w:val="center"/>
          </w:tcPr>
          <w:p w14:paraId="522A773C" w14:textId="4D148519" w:rsidR="003F38AE" w:rsidRPr="00BB165A" w:rsidRDefault="003F38AE" w:rsidP="003F38AE">
            <w:pPr>
              <w:spacing w:after="0" w:line="240" w:lineRule="auto"/>
              <w:jc w:val="center"/>
              <w:rPr>
                <w:rFonts w:cs="Arial"/>
                <w:b/>
                <w:sz w:val="16"/>
                <w:szCs w:val="16"/>
              </w:rPr>
            </w:pPr>
            <w:r w:rsidRPr="00BB165A">
              <w:rPr>
                <w:rFonts w:eastAsia="Times New Roman" w:cs="Arial"/>
                <w:b/>
                <w:sz w:val="16"/>
                <w:szCs w:val="16"/>
                <w:lang w:eastAsia="en-AU"/>
              </w:rPr>
              <w:t>All universities (37 universities)</w:t>
            </w:r>
          </w:p>
        </w:tc>
        <w:tc>
          <w:tcPr>
            <w:tcW w:w="1354" w:type="dxa"/>
            <w:tcBorders>
              <w:left w:val="nil"/>
              <w:bottom w:val="single" w:sz="4" w:space="0" w:color="auto"/>
              <w:right w:val="nil"/>
            </w:tcBorders>
            <w:vAlign w:val="center"/>
          </w:tcPr>
          <w:p w14:paraId="709A7442" w14:textId="7EFCC630" w:rsidR="003F38AE" w:rsidRPr="00BB165A" w:rsidRDefault="003F38AE" w:rsidP="003F38AE">
            <w:pPr>
              <w:spacing w:after="0" w:line="240" w:lineRule="auto"/>
              <w:jc w:val="center"/>
              <w:rPr>
                <w:rFonts w:cs="Arial"/>
                <w:b/>
                <w:sz w:val="16"/>
                <w:szCs w:val="16"/>
              </w:rPr>
            </w:pPr>
            <w:r w:rsidRPr="00BB165A">
              <w:rPr>
                <w:rFonts w:eastAsia="Times New Roman" w:cs="Arial"/>
                <w:b/>
                <w:sz w:val="16"/>
                <w:szCs w:val="16"/>
                <w:lang w:eastAsia="en-AU"/>
              </w:rPr>
              <w:t>2018 common sample (25 universities)</w:t>
            </w:r>
          </w:p>
        </w:tc>
        <w:tc>
          <w:tcPr>
            <w:tcW w:w="1267" w:type="dxa"/>
            <w:tcBorders>
              <w:left w:val="nil"/>
              <w:bottom w:val="single" w:sz="4" w:space="0" w:color="auto"/>
              <w:right w:val="nil"/>
            </w:tcBorders>
            <w:vAlign w:val="center"/>
          </w:tcPr>
          <w:p w14:paraId="3F58C123" w14:textId="424C1A8B" w:rsidR="003F38AE" w:rsidRPr="00BB165A" w:rsidRDefault="003F38AE" w:rsidP="003F38AE">
            <w:pPr>
              <w:spacing w:after="0" w:line="240" w:lineRule="auto"/>
              <w:jc w:val="center"/>
              <w:rPr>
                <w:rFonts w:cs="Arial"/>
                <w:b/>
                <w:sz w:val="16"/>
                <w:szCs w:val="16"/>
              </w:rPr>
            </w:pPr>
            <w:r w:rsidRPr="00BB165A">
              <w:rPr>
                <w:rFonts w:eastAsia="Times New Roman" w:cs="Arial"/>
                <w:b/>
                <w:sz w:val="16"/>
                <w:szCs w:val="16"/>
                <w:lang w:eastAsia="en-AU"/>
              </w:rPr>
              <w:t xml:space="preserve">Full sample in each year </w:t>
            </w:r>
            <w:r w:rsidRPr="00BB165A">
              <w:rPr>
                <w:rFonts w:eastAsia="Times New Roman" w:cs="Arial"/>
                <w:b/>
                <w:sz w:val="16"/>
                <w:szCs w:val="16"/>
                <w:lang w:eastAsia="en-AU"/>
              </w:rPr>
              <w:br/>
              <w:t>(32 universities in 2017</w:t>
            </w:r>
            <w:r w:rsidRPr="00BB165A">
              <w:rPr>
                <w:rFonts w:eastAsia="Times New Roman" w:cs="Arial"/>
                <w:b/>
                <w:sz w:val="16"/>
                <w:szCs w:val="16"/>
                <w:lang w:eastAsia="en-AU"/>
              </w:rPr>
              <w:br/>
              <w:t>37 in 2020)</w:t>
            </w:r>
          </w:p>
        </w:tc>
        <w:tc>
          <w:tcPr>
            <w:tcW w:w="1354" w:type="dxa"/>
            <w:tcBorders>
              <w:left w:val="nil"/>
              <w:bottom w:val="single" w:sz="4" w:space="0" w:color="auto"/>
              <w:right w:val="nil"/>
            </w:tcBorders>
            <w:vAlign w:val="center"/>
          </w:tcPr>
          <w:p w14:paraId="697F3419" w14:textId="7CA3311E" w:rsidR="003F38AE" w:rsidRPr="00BB165A" w:rsidRDefault="003F38AE" w:rsidP="003F38AE">
            <w:pPr>
              <w:spacing w:after="0" w:line="240" w:lineRule="auto"/>
              <w:jc w:val="center"/>
              <w:rPr>
                <w:rFonts w:cs="Arial"/>
                <w:b/>
                <w:sz w:val="16"/>
                <w:szCs w:val="16"/>
              </w:rPr>
            </w:pPr>
            <w:r w:rsidRPr="00BB165A">
              <w:rPr>
                <w:rFonts w:eastAsia="Times New Roman" w:cs="Arial"/>
                <w:b/>
                <w:sz w:val="16"/>
                <w:szCs w:val="16"/>
                <w:lang w:eastAsia="en-AU"/>
              </w:rPr>
              <w:t>All universities (37 universities)</w:t>
            </w:r>
          </w:p>
        </w:tc>
      </w:tr>
      <w:tr w:rsidR="00B933BD" w:rsidRPr="00BB165A" w14:paraId="5A96166D" w14:textId="469B6E3A" w:rsidTr="00416131">
        <w:trPr>
          <w:trHeight w:val="210"/>
        </w:trPr>
        <w:tc>
          <w:tcPr>
            <w:tcW w:w="2723" w:type="dxa"/>
            <w:tcBorders>
              <w:top w:val="nil"/>
              <w:left w:val="nil"/>
              <w:bottom w:val="single" w:sz="4" w:space="0" w:color="auto"/>
              <w:right w:val="nil"/>
            </w:tcBorders>
            <w:shd w:val="clear" w:color="auto" w:fill="auto"/>
            <w:noWrap/>
            <w:vAlign w:val="bottom"/>
            <w:hideMark/>
          </w:tcPr>
          <w:p w14:paraId="3A473E47" w14:textId="41791AC4" w:rsidR="00B933BD" w:rsidRPr="00BB165A" w:rsidRDefault="00B933BD" w:rsidP="00B933BD">
            <w:pPr>
              <w:spacing w:after="0" w:line="240" w:lineRule="auto"/>
              <w:rPr>
                <w:rFonts w:eastAsia="Times New Roman" w:cs="Arial"/>
                <w:sz w:val="16"/>
                <w:szCs w:val="16"/>
                <w:lang w:eastAsia="en-AU"/>
              </w:rPr>
            </w:pPr>
            <w:r>
              <w:rPr>
                <w:rFonts w:eastAsia="Times New Roman" w:cs="Arial"/>
                <w:sz w:val="16"/>
                <w:szCs w:val="16"/>
                <w:lang w:eastAsia="en-AU"/>
              </w:rPr>
              <w:t>Teaching c</w:t>
            </w:r>
            <w:r w:rsidRPr="00BB165A">
              <w:rPr>
                <w:rFonts w:eastAsia="Times New Roman" w:cs="Arial"/>
                <w:sz w:val="16"/>
                <w:szCs w:val="16"/>
                <w:lang w:eastAsia="en-AU"/>
              </w:rPr>
              <w:t>ost per EFTSL - all levels</w:t>
            </w:r>
          </w:p>
        </w:tc>
        <w:tc>
          <w:tcPr>
            <w:tcW w:w="1354" w:type="dxa"/>
            <w:tcBorders>
              <w:top w:val="single" w:sz="4" w:space="0" w:color="auto"/>
              <w:left w:val="nil"/>
              <w:bottom w:val="single" w:sz="4" w:space="0" w:color="auto"/>
              <w:right w:val="nil"/>
            </w:tcBorders>
            <w:shd w:val="clear" w:color="auto" w:fill="auto"/>
            <w:noWrap/>
            <w:vAlign w:val="center"/>
            <w:hideMark/>
          </w:tcPr>
          <w:p w14:paraId="5A2CF518" w14:textId="5B9CE6FC"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w:t>
            </w:r>
          </w:p>
        </w:tc>
        <w:tc>
          <w:tcPr>
            <w:tcW w:w="1267" w:type="dxa"/>
            <w:tcBorders>
              <w:top w:val="single" w:sz="4" w:space="0" w:color="auto"/>
              <w:left w:val="nil"/>
              <w:bottom w:val="single" w:sz="4" w:space="0" w:color="auto"/>
              <w:right w:val="nil"/>
            </w:tcBorders>
            <w:shd w:val="clear" w:color="auto" w:fill="auto"/>
            <w:noWrap/>
            <w:vAlign w:val="center"/>
            <w:hideMark/>
          </w:tcPr>
          <w:p w14:paraId="09C3889E" w14:textId="2D563C05"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2.0%</w:t>
            </w:r>
          </w:p>
        </w:tc>
        <w:tc>
          <w:tcPr>
            <w:tcW w:w="1354" w:type="dxa"/>
            <w:tcBorders>
              <w:top w:val="single" w:sz="4" w:space="0" w:color="auto"/>
              <w:left w:val="nil"/>
              <w:bottom w:val="single" w:sz="4" w:space="0" w:color="auto"/>
              <w:right w:val="nil"/>
            </w:tcBorders>
            <w:shd w:val="clear" w:color="auto" w:fill="auto"/>
            <w:noWrap/>
            <w:vAlign w:val="center"/>
            <w:hideMark/>
          </w:tcPr>
          <w:p w14:paraId="2D5CC248" w14:textId="604969ED"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354" w:type="dxa"/>
            <w:tcBorders>
              <w:top w:val="single" w:sz="4" w:space="0" w:color="auto"/>
              <w:left w:val="nil"/>
              <w:bottom w:val="single" w:sz="4" w:space="0" w:color="auto"/>
              <w:right w:val="nil"/>
            </w:tcBorders>
            <w:shd w:val="clear" w:color="000000" w:fill="F2F2F2"/>
            <w:vAlign w:val="center"/>
          </w:tcPr>
          <w:p w14:paraId="3B5B41B6" w14:textId="7B718854"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0.6%</w:t>
            </w:r>
          </w:p>
        </w:tc>
        <w:tc>
          <w:tcPr>
            <w:tcW w:w="1267" w:type="dxa"/>
            <w:tcBorders>
              <w:top w:val="single" w:sz="4" w:space="0" w:color="auto"/>
              <w:left w:val="nil"/>
              <w:bottom w:val="single" w:sz="4" w:space="0" w:color="auto"/>
              <w:right w:val="nil"/>
            </w:tcBorders>
            <w:shd w:val="clear" w:color="000000" w:fill="F2F2F2"/>
            <w:vAlign w:val="center"/>
          </w:tcPr>
          <w:p w14:paraId="675C57B7" w14:textId="4D87F98C"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0.8%</w:t>
            </w:r>
          </w:p>
        </w:tc>
        <w:tc>
          <w:tcPr>
            <w:tcW w:w="1354" w:type="dxa"/>
            <w:tcBorders>
              <w:top w:val="single" w:sz="4" w:space="0" w:color="auto"/>
              <w:left w:val="nil"/>
              <w:bottom w:val="single" w:sz="4" w:space="0" w:color="auto"/>
              <w:right w:val="nil"/>
            </w:tcBorders>
            <w:shd w:val="clear" w:color="000000" w:fill="F2F2F2"/>
            <w:vAlign w:val="center"/>
          </w:tcPr>
          <w:p w14:paraId="645CC106" w14:textId="747D5396"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354" w:type="dxa"/>
            <w:tcBorders>
              <w:top w:val="single" w:sz="4" w:space="0" w:color="auto"/>
              <w:left w:val="nil"/>
              <w:bottom w:val="single" w:sz="4" w:space="0" w:color="auto"/>
              <w:right w:val="nil"/>
            </w:tcBorders>
            <w:shd w:val="clear" w:color="auto" w:fill="auto"/>
            <w:vAlign w:val="center"/>
          </w:tcPr>
          <w:p w14:paraId="0306B517" w14:textId="06FC98A2"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0.8%</w:t>
            </w:r>
          </w:p>
        </w:tc>
        <w:tc>
          <w:tcPr>
            <w:tcW w:w="1267" w:type="dxa"/>
            <w:tcBorders>
              <w:top w:val="single" w:sz="4" w:space="0" w:color="auto"/>
              <w:left w:val="nil"/>
              <w:bottom w:val="single" w:sz="4" w:space="0" w:color="auto"/>
              <w:right w:val="nil"/>
            </w:tcBorders>
            <w:shd w:val="clear" w:color="auto" w:fill="auto"/>
            <w:vAlign w:val="center"/>
          </w:tcPr>
          <w:p w14:paraId="78AA6734" w14:textId="23782B23"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0.8%</w:t>
            </w:r>
          </w:p>
        </w:tc>
        <w:tc>
          <w:tcPr>
            <w:tcW w:w="1354" w:type="dxa"/>
            <w:tcBorders>
              <w:top w:val="single" w:sz="4" w:space="0" w:color="auto"/>
              <w:left w:val="nil"/>
              <w:bottom w:val="single" w:sz="4" w:space="0" w:color="auto"/>
              <w:right w:val="nil"/>
            </w:tcBorders>
            <w:shd w:val="clear" w:color="auto" w:fill="auto"/>
            <w:vAlign w:val="center"/>
          </w:tcPr>
          <w:p w14:paraId="53E072BF" w14:textId="541B9E9A"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B933BD" w:rsidRPr="00BB165A" w14:paraId="0A569888" w14:textId="1AF991D5" w:rsidTr="00416131">
        <w:trPr>
          <w:trHeight w:val="210"/>
        </w:trPr>
        <w:tc>
          <w:tcPr>
            <w:tcW w:w="2723" w:type="dxa"/>
            <w:tcBorders>
              <w:top w:val="single" w:sz="4" w:space="0" w:color="auto"/>
              <w:left w:val="nil"/>
              <w:bottom w:val="single" w:sz="4" w:space="0" w:color="auto"/>
              <w:right w:val="nil"/>
            </w:tcBorders>
            <w:shd w:val="clear" w:color="auto" w:fill="auto"/>
            <w:noWrap/>
            <w:vAlign w:val="bottom"/>
            <w:hideMark/>
          </w:tcPr>
          <w:p w14:paraId="4AE73E5F" w14:textId="64E0CAB1" w:rsidR="00B933BD" w:rsidRPr="00BB165A" w:rsidRDefault="00B933BD" w:rsidP="00B933BD">
            <w:pPr>
              <w:spacing w:after="0" w:line="240" w:lineRule="auto"/>
              <w:rPr>
                <w:rFonts w:eastAsia="Times New Roman" w:cs="Arial"/>
                <w:sz w:val="16"/>
                <w:szCs w:val="16"/>
                <w:lang w:eastAsia="en-AU"/>
              </w:rPr>
            </w:pPr>
            <w:r>
              <w:rPr>
                <w:rFonts w:eastAsia="Times New Roman" w:cs="Arial"/>
                <w:sz w:val="16"/>
                <w:szCs w:val="16"/>
                <w:lang w:eastAsia="en-AU"/>
              </w:rPr>
              <w:t>Teaching c</w:t>
            </w:r>
            <w:r w:rsidRPr="00BB165A">
              <w:rPr>
                <w:rFonts w:eastAsia="Times New Roman" w:cs="Arial"/>
                <w:sz w:val="16"/>
                <w:szCs w:val="16"/>
                <w:lang w:eastAsia="en-AU"/>
              </w:rPr>
              <w:t>ost per EFTSL - bachelor</w:t>
            </w:r>
          </w:p>
        </w:tc>
        <w:tc>
          <w:tcPr>
            <w:tcW w:w="1354" w:type="dxa"/>
            <w:tcBorders>
              <w:top w:val="nil"/>
              <w:left w:val="nil"/>
              <w:bottom w:val="single" w:sz="4" w:space="0" w:color="auto"/>
              <w:right w:val="nil"/>
            </w:tcBorders>
            <w:shd w:val="clear" w:color="auto" w:fill="auto"/>
            <w:noWrap/>
            <w:vAlign w:val="center"/>
            <w:hideMark/>
          </w:tcPr>
          <w:p w14:paraId="24509622" w14:textId="42A05F53"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1.7%</w:t>
            </w:r>
          </w:p>
        </w:tc>
        <w:tc>
          <w:tcPr>
            <w:tcW w:w="1267" w:type="dxa"/>
            <w:tcBorders>
              <w:top w:val="nil"/>
              <w:left w:val="nil"/>
              <w:bottom w:val="single" w:sz="4" w:space="0" w:color="auto"/>
              <w:right w:val="nil"/>
            </w:tcBorders>
            <w:shd w:val="clear" w:color="auto" w:fill="auto"/>
            <w:noWrap/>
            <w:vAlign w:val="center"/>
            <w:hideMark/>
          </w:tcPr>
          <w:p w14:paraId="429C651A" w14:textId="1D75C3C7"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3.5%</w:t>
            </w:r>
          </w:p>
        </w:tc>
        <w:tc>
          <w:tcPr>
            <w:tcW w:w="1354" w:type="dxa"/>
            <w:tcBorders>
              <w:top w:val="nil"/>
              <w:left w:val="nil"/>
              <w:bottom w:val="single" w:sz="4" w:space="0" w:color="auto"/>
              <w:right w:val="nil"/>
            </w:tcBorders>
            <w:shd w:val="clear" w:color="auto" w:fill="auto"/>
            <w:noWrap/>
            <w:vAlign w:val="center"/>
            <w:hideMark/>
          </w:tcPr>
          <w:p w14:paraId="04DF6C9E" w14:textId="49E46DDA"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000000" w:fill="F2F2F2"/>
            <w:vAlign w:val="center"/>
          </w:tcPr>
          <w:p w14:paraId="67CC55F8" w14:textId="5B5725C0"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0.8%</w:t>
            </w:r>
          </w:p>
        </w:tc>
        <w:tc>
          <w:tcPr>
            <w:tcW w:w="1267" w:type="dxa"/>
            <w:tcBorders>
              <w:top w:val="nil"/>
              <w:left w:val="nil"/>
              <w:bottom w:val="single" w:sz="4" w:space="0" w:color="auto"/>
              <w:right w:val="nil"/>
            </w:tcBorders>
            <w:shd w:val="clear" w:color="000000" w:fill="F2F2F2"/>
            <w:vAlign w:val="center"/>
          </w:tcPr>
          <w:p w14:paraId="42865D2B" w14:textId="3950239F"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1.2%</w:t>
            </w:r>
          </w:p>
        </w:tc>
        <w:tc>
          <w:tcPr>
            <w:tcW w:w="1354" w:type="dxa"/>
            <w:tcBorders>
              <w:top w:val="nil"/>
              <w:left w:val="nil"/>
              <w:bottom w:val="single" w:sz="4" w:space="0" w:color="auto"/>
              <w:right w:val="nil"/>
            </w:tcBorders>
            <w:shd w:val="clear" w:color="000000" w:fill="F2F2F2"/>
            <w:vAlign w:val="center"/>
          </w:tcPr>
          <w:p w14:paraId="3B9F688D" w14:textId="527361AE"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auto" w:fill="auto"/>
            <w:vAlign w:val="center"/>
          </w:tcPr>
          <w:p w14:paraId="3625A973" w14:textId="2F771EAA"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0.6%</w:t>
            </w:r>
          </w:p>
        </w:tc>
        <w:tc>
          <w:tcPr>
            <w:tcW w:w="1267" w:type="dxa"/>
            <w:tcBorders>
              <w:top w:val="nil"/>
              <w:left w:val="nil"/>
              <w:bottom w:val="single" w:sz="4" w:space="0" w:color="auto"/>
              <w:right w:val="nil"/>
            </w:tcBorders>
            <w:shd w:val="clear" w:color="auto" w:fill="auto"/>
            <w:vAlign w:val="center"/>
          </w:tcPr>
          <w:p w14:paraId="08467123" w14:textId="07E01A0E"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0.6%</w:t>
            </w:r>
          </w:p>
        </w:tc>
        <w:tc>
          <w:tcPr>
            <w:tcW w:w="1354" w:type="dxa"/>
            <w:tcBorders>
              <w:top w:val="nil"/>
              <w:left w:val="nil"/>
              <w:bottom w:val="single" w:sz="4" w:space="0" w:color="auto"/>
              <w:right w:val="nil"/>
            </w:tcBorders>
            <w:shd w:val="clear" w:color="auto" w:fill="auto"/>
            <w:vAlign w:val="center"/>
          </w:tcPr>
          <w:p w14:paraId="735C4B2D" w14:textId="3B544AB3"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B933BD" w:rsidRPr="00BB165A" w14:paraId="23D487CF" w14:textId="5E12DCEC" w:rsidTr="00416131">
        <w:trPr>
          <w:trHeight w:val="210"/>
        </w:trPr>
        <w:tc>
          <w:tcPr>
            <w:tcW w:w="2723" w:type="dxa"/>
            <w:tcBorders>
              <w:top w:val="single" w:sz="4" w:space="0" w:color="auto"/>
              <w:left w:val="nil"/>
              <w:bottom w:val="single" w:sz="4" w:space="0" w:color="auto"/>
              <w:right w:val="nil"/>
            </w:tcBorders>
            <w:shd w:val="clear" w:color="auto" w:fill="auto"/>
            <w:noWrap/>
            <w:vAlign w:val="bottom"/>
            <w:hideMark/>
          </w:tcPr>
          <w:p w14:paraId="3726568C" w14:textId="1ECCCF54" w:rsidR="00B933BD" w:rsidRPr="00BB165A" w:rsidRDefault="00B933BD" w:rsidP="00B933BD">
            <w:pPr>
              <w:spacing w:after="0" w:line="240" w:lineRule="auto"/>
              <w:rPr>
                <w:rFonts w:eastAsia="Times New Roman" w:cs="Arial"/>
                <w:sz w:val="16"/>
                <w:szCs w:val="16"/>
                <w:lang w:eastAsia="en-AU"/>
              </w:rPr>
            </w:pPr>
            <w:r>
              <w:rPr>
                <w:rFonts w:eastAsia="Times New Roman" w:cs="Arial"/>
                <w:sz w:val="16"/>
                <w:szCs w:val="16"/>
                <w:lang w:eastAsia="en-AU"/>
              </w:rPr>
              <w:t>Teaching c</w:t>
            </w:r>
            <w:r w:rsidRPr="00BB165A">
              <w:rPr>
                <w:rFonts w:eastAsia="Times New Roman" w:cs="Arial"/>
                <w:sz w:val="16"/>
                <w:szCs w:val="16"/>
                <w:lang w:eastAsia="en-AU"/>
              </w:rPr>
              <w:t>ost per EFTSL - postgraduate</w:t>
            </w:r>
          </w:p>
        </w:tc>
        <w:tc>
          <w:tcPr>
            <w:tcW w:w="1354" w:type="dxa"/>
            <w:tcBorders>
              <w:top w:val="nil"/>
              <w:left w:val="nil"/>
              <w:bottom w:val="single" w:sz="4" w:space="0" w:color="auto"/>
              <w:right w:val="nil"/>
            </w:tcBorders>
            <w:shd w:val="clear" w:color="auto" w:fill="auto"/>
            <w:noWrap/>
            <w:vAlign w:val="center"/>
            <w:hideMark/>
          </w:tcPr>
          <w:p w14:paraId="54D31B17" w14:textId="2BC29709"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1.3%</w:t>
            </w:r>
          </w:p>
        </w:tc>
        <w:tc>
          <w:tcPr>
            <w:tcW w:w="1267" w:type="dxa"/>
            <w:tcBorders>
              <w:top w:val="nil"/>
              <w:left w:val="nil"/>
              <w:bottom w:val="single" w:sz="4" w:space="0" w:color="auto"/>
              <w:right w:val="nil"/>
            </w:tcBorders>
            <w:shd w:val="clear" w:color="auto" w:fill="auto"/>
            <w:noWrap/>
            <w:vAlign w:val="center"/>
            <w:hideMark/>
          </w:tcPr>
          <w:p w14:paraId="41C32037" w14:textId="6328FE39"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1.8%</w:t>
            </w:r>
          </w:p>
        </w:tc>
        <w:tc>
          <w:tcPr>
            <w:tcW w:w="1354" w:type="dxa"/>
            <w:tcBorders>
              <w:top w:val="nil"/>
              <w:left w:val="nil"/>
              <w:bottom w:val="single" w:sz="4" w:space="0" w:color="auto"/>
              <w:right w:val="nil"/>
            </w:tcBorders>
            <w:shd w:val="clear" w:color="auto" w:fill="auto"/>
            <w:noWrap/>
            <w:vAlign w:val="center"/>
            <w:hideMark/>
          </w:tcPr>
          <w:p w14:paraId="75B7B62B" w14:textId="36ADB543"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000000" w:fill="F2F2F2"/>
            <w:vAlign w:val="center"/>
          </w:tcPr>
          <w:p w14:paraId="1EA3F60A" w14:textId="410F9C0A"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-0.4%</w:t>
            </w:r>
          </w:p>
        </w:tc>
        <w:tc>
          <w:tcPr>
            <w:tcW w:w="1267" w:type="dxa"/>
            <w:tcBorders>
              <w:top w:val="nil"/>
              <w:left w:val="nil"/>
              <w:bottom w:val="single" w:sz="4" w:space="0" w:color="auto"/>
              <w:right w:val="nil"/>
            </w:tcBorders>
            <w:shd w:val="clear" w:color="000000" w:fill="F2F2F2"/>
            <w:vAlign w:val="center"/>
          </w:tcPr>
          <w:p w14:paraId="7590CDE7" w14:textId="0EE1F72A"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-0.8%</w:t>
            </w:r>
          </w:p>
        </w:tc>
        <w:tc>
          <w:tcPr>
            <w:tcW w:w="1354" w:type="dxa"/>
            <w:tcBorders>
              <w:top w:val="nil"/>
              <w:left w:val="nil"/>
              <w:bottom w:val="single" w:sz="4" w:space="0" w:color="auto"/>
              <w:right w:val="nil"/>
            </w:tcBorders>
            <w:shd w:val="clear" w:color="000000" w:fill="F2F2F2"/>
            <w:vAlign w:val="center"/>
          </w:tcPr>
          <w:p w14:paraId="2C2C8F3A" w14:textId="0DD3BD55"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auto" w:fill="auto"/>
            <w:vAlign w:val="center"/>
          </w:tcPr>
          <w:p w14:paraId="241CA1B4" w14:textId="0F132CC4"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1.1%</w:t>
            </w:r>
          </w:p>
        </w:tc>
        <w:tc>
          <w:tcPr>
            <w:tcW w:w="1267" w:type="dxa"/>
            <w:tcBorders>
              <w:top w:val="nil"/>
              <w:left w:val="nil"/>
              <w:bottom w:val="single" w:sz="4" w:space="0" w:color="auto"/>
              <w:right w:val="nil"/>
            </w:tcBorders>
            <w:shd w:val="clear" w:color="auto" w:fill="auto"/>
            <w:vAlign w:val="center"/>
          </w:tcPr>
          <w:p w14:paraId="0CDD58A1" w14:textId="6DA9083C"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1.1%</w:t>
            </w:r>
          </w:p>
        </w:tc>
        <w:tc>
          <w:tcPr>
            <w:tcW w:w="1354" w:type="dxa"/>
            <w:tcBorders>
              <w:top w:val="nil"/>
              <w:left w:val="nil"/>
              <w:bottom w:val="single" w:sz="4" w:space="0" w:color="auto"/>
              <w:right w:val="nil"/>
            </w:tcBorders>
            <w:shd w:val="clear" w:color="auto" w:fill="auto"/>
            <w:vAlign w:val="center"/>
          </w:tcPr>
          <w:p w14:paraId="14B23110" w14:textId="08ADC602"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r w:rsidR="00B933BD" w:rsidRPr="00BB165A" w14:paraId="3470185B" w14:textId="714429F7" w:rsidTr="00416131">
        <w:trPr>
          <w:trHeight w:val="283"/>
        </w:trPr>
        <w:tc>
          <w:tcPr>
            <w:tcW w:w="2723" w:type="dxa"/>
            <w:tcBorders>
              <w:top w:val="single" w:sz="4" w:space="0" w:color="auto"/>
              <w:left w:val="nil"/>
              <w:bottom w:val="single" w:sz="4" w:space="0" w:color="auto"/>
              <w:right w:val="nil"/>
            </w:tcBorders>
            <w:shd w:val="clear" w:color="auto" w:fill="auto"/>
            <w:noWrap/>
            <w:vAlign w:val="center"/>
            <w:hideMark/>
          </w:tcPr>
          <w:p w14:paraId="2B6AD12A" w14:textId="77777777" w:rsidR="00B933BD" w:rsidRPr="00BB165A" w:rsidRDefault="00B933BD" w:rsidP="00CE2BBE">
            <w:pPr>
              <w:spacing w:after="0" w:line="240" w:lineRule="auto"/>
              <w:rPr>
                <w:rFonts w:eastAsia="Times New Roman" w:cs="Arial"/>
                <w:sz w:val="16"/>
                <w:szCs w:val="16"/>
                <w:lang w:eastAsia="en-AU"/>
              </w:rPr>
            </w:pPr>
            <w:r w:rsidRPr="00BB165A">
              <w:rPr>
                <w:rFonts w:eastAsia="Times New Roman" w:cs="Arial"/>
                <w:sz w:val="16"/>
                <w:szCs w:val="16"/>
                <w:lang w:eastAsia="en-AU"/>
              </w:rPr>
              <w:t>Total EFTSL</w:t>
            </w:r>
          </w:p>
        </w:tc>
        <w:tc>
          <w:tcPr>
            <w:tcW w:w="1354" w:type="dxa"/>
            <w:tcBorders>
              <w:top w:val="nil"/>
              <w:left w:val="nil"/>
              <w:bottom w:val="single" w:sz="4" w:space="0" w:color="auto"/>
              <w:right w:val="nil"/>
            </w:tcBorders>
            <w:shd w:val="clear" w:color="auto" w:fill="auto"/>
            <w:noWrap/>
            <w:vAlign w:val="center"/>
            <w:hideMark/>
          </w:tcPr>
          <w:p w14:paraId="3BE6FE3E" w14:textId="0D91F6E6"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2.4%</w:t>
            </w:r>
          </w:p>
        </w:tc>
        <w:tc>
          <w:tcPr>
            <w:tcW w:w="1267" w:type="dxa"/>
            <w:tcBorders>
              <w:top w:val="nil"/>
              <w:left w:val="nil"/>
              <w:bottom w:val="single" w:sz="4" w:space="0" w:color="auto"/>
              <w:right w:val="nil"/>
            </w:tcBorders>
            <w:shd w:val="clear" w:color="auto" w:fill="auto"/>
            <w:noWrap/>
            <w:vAlign w:val="center"/>
            <w:hideMark/>
          </w:tcPr>
          <w:p w14:paraId="27B45D07" w14:textId="33B98390"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auto" w:fill="auto"/>
            <w:noWrap/>
            <w:vAlign w:val="center"/>
            <w:hideMark/>
          </w:tcPr>
          <w:p w14:paraId="4D619A7A" w14:textId="6EF8F304"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2.4%</w:t>
            </w:r>
          </w:p>
        </w:tc>
        <w:tc>
          <w:tcPr>
            <w:tcW w:w="1354" w:type="dxa"/>
            <w:tcBorders>
              <w:top w:val="nil"/>
              <w:left w:val="nil"/>
              <w:bottom w:val="single" w:sz="4" w:space="0" w:color="auto"/>
              <w:right w:val="nil"/>
            </w:tcBorders>
            <w:shd w:val="clear" w:color="000000" w:fill="F2F2F2"/>
            <w:vAlign w:val="center"/>
          </w:tcPr>
          <w:p w14:paraId="6597DC2B" w14:textId="5F8FDA23"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2.8%</w:t>
            </w:r>
          </w:p>
        </w:tc>
        <w:tc>
          <w:tcPr>
            <w:tcW w:w="1267" w:type="dxa"/>
            <w:tcBorders>
              <w:top w:val="nil"/>
              <w:left w:val="nil"/>
              <w:bottom w:val="single" w:sz="4" w:space="0" w:color="auto"/>
              <w:right w:val="nil"/>
            </w:tcBorders>
            <w:shd w:val="clear" w:color="000000" w:fill="F2F2F2"/>
            <w:vAlign w:val="center"/>
          </w:tcPr>
          <w:p w14:paraId="5210D966" w14:textId="2CB049F5"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000000" w:fill="F2F2F2"/>
            <w:vAlign w:val="center"/>
          </w:tcPr>
          <w:p w14:paraId="611CE002" w14:textId="0211FC4C"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2.5%</w:t>
            </w:r>
          </w:p>
        </w:tc>
        <w:tc>
          <w:tcPr>
            <w:tcW w:w="1354" w:type="dxa"/>
            <w:tcBorders>
              <w:top w:val="nil"/>
              <w:left w:val="nil"/>
              <w:bottom w:val="single" w:sz="4" w:space="0" w:color="auto"/>
              <w:right w:val="nil"/>
            </w:tcBorders>
            <w:shd w:val="clear" w:color="auto" w:fill="auto"/>
            <w:vAlign w:val="center"/>
          </w:tcPr>
          <w:p w14:paraId="08F5AF43" w14:textId="07089D3F"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4.2%</w:t>
            </w:r>
          </w:p>
        </w:tc>
        <w:tc>
          <w:tcPr>
            <w:tcW w:w="1267" w:type="dxa"/>
            <w:tcBorders>
              <w:top w:val="nil"/>
              <w:left w:val="nil"/>
              <w:bottom w:val="single" w:sz="4" w:space="0" w:color="auto"/>
              <w:right w:val="nil"/>
            </w:tcBorders>
            <w:shd w:val="clear" w:color="auto" w:fill="auto"/>
            <w:vAlign w:val="center"/>
          </w:tcPr>
          <w:p w14:paraId="2E898A31" w14:textId="70851EC0"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auto" w:fill="auto"/>
            <w:vAlign w:val="center"/>
          </w:tcPr>
          <w:p w14:paraId="5F0AED21" w14:textId="3DF9AAAB"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1.9%</w:t>
            </w:r>
          </w:p>
        </w:tc>
      </w:tr>
      <w:tr w:rsidR="00B933BD" w:rsidRPr="00BB165A" w14:paraId="2B295DB9" w14:textId="0F537584" w:rsidTr="00416131">
        <w:trPr>
          <w:trHeight w:val="420"/>
        </w:trPr>
        <w:tc>
          <w:tcPr>
            <w:tcW w:w="2723" w:type="dxa"/>
            <w:tcBorders>
              <w:top w:val="single" w:sz="4" w:space="0" w:color="auto"/>
              <w:left w:val="nil"/>
              <w:bottom w:val="single" w:sz="4" w:space="0" w:color="auto"/>
              <w:right w:val="nil"/>
            </w:tcBorders>
            <w:shd w:val="clear" w:color="auto" w:fill="auto"/>
            <w:vAlign w:val="bottom"/>
            <w:hideMark/>
          </w:tcPr>
          <w:p w14:paraId="4B633353" w14:textId="77777777" w:rsidR="00B933BD" w:rsidRPr="00BB165A" w:rsidRDefault="00B933BD" w:rsidP="00B933BD">
            <w:pPr>
              <w:spacing w:after="0" w:line="240" w:lineRule="auto"/>
              <w:rPr>
                <w:rFonts w:eastAsia="Times New Roman" w:cs="Arial"/>
                <w:sz w:val="16"/>
                <w:szCs w:val="16"/>
                <w:lang w:eastAsia="en-AU"/>
              </w:rPr>
            </w:pPr>
            <w:r w:rsidRPr="00BB165A">
              <w:rPr>
                <w:rFonts w:eastAsia="Times New Roman" w:cs="Arial"/>
                <w:sz w:val="16"/>
                <w:szCs w:val="16"/>
                <w:lang w:eastAsia="en-AU"/>
              </w:rPr>
              <w:t xml:space="preserve">Continuing expenditure </w:t>
            </w:r>
            <w:r w:rsidRPr="00BB165A">
              <w:rPr>
                <w:rFonts w:eastAsia="Times New Roman" w:cs="Arial"/>
                <w:sz w:val="16"/>
                <w:szCs w:val="16"/>
                <w:lang w:eastAsia="en-AU"/>
              </w:rPr>
              <w:br/>
              <w:t>per EFTSL</w:t>
            </w:r>
          </w:p>
        </w:tc>
        <w:tc>
          <w:tcPr>
            <w:tcW w:w="1354" w:type="dxa"/>
            <w:tcBorders>
              <w:top w:val="nil"/>
              <w:left w:val="nil"/>
              <w:bottom w:val="single" w:sz="4" w:space="0" w:color="auto"/>
              <w:right w:val="nil"/>
            </w:tcBorders>
            <w:shd w:val="clear" w:color="auto" w:fill="auto"/>
            <w:noWrap/>
            <w:vAlign w:val="center"/>
            <w:hideMark/>
          </w:tcPr>
          <w:p w14:paraId="37B4CFF1" w14:textId="2E1547A6"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2.3%</w:t>
            </w:r>
          </w:p>
        </w:tc>
        <w:tc>
          <w:tcPr>
            <w:tcW w:w="1267" w:type="dxa"/>
            <w:tcBorders>
              <w:top w:val="nil"/>
              <w:left w:val="nil"/>
              <w:bottom w:val="single" w:sz="4" w:space="0" w:color="auto"/>
              <w:right w:val="nil"/>
            </w:tcBorders>
            <w:shd w:val="clear" w:color="auto" w:fill="auto"/>
            <w:noWrap/>
            <w:vAlign w:val="center"/>
            <w:hideMark/>
          </w:tcPr>
          <w:p w14:paraId="2E9A33C2" w14:textId="016A89DE"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1.9%</w:t>
            </w:r>
          </w:p>
        </w:tc>
        <w:tc>
          <w:tcPr>
            <w:tcW w:w="1354" w:type="dxa"/>
            <w:tcBorders>
              <w:top w:val="nil"/>
              <w:left w:val="nil"/>
              <w:bottom w:val="single" w:sz="4" w:space="0" w:color="auto"/>
              <w:right w:val="nil"/>
            </w:tcBorders>
            <w:shd w:val="clear" w:color="auto" w:fill="auto"/>
            <w:noWrap/>
            <w:vAlign w:val="center"/>
            <w:hideMark/>
          </w:tcPr>
          <w:p w14:paraId="6CC05FD5" w14:textId="6F37C5F7"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2.3%</w:t>
            </w:r>
          </w:p>
        </w:tc>
        <w:tc>
          <w:tcPr>
            <w:tcW w:w="1354" w:type="dxa"/>
            <w:tcBorders>
              <w:top w:val="nil"/>
              <w:left w:val="nil"/>
              <w:bottom w:val="single" w:sz="4" w:space="0" w:color="auto"/>
              <w:right w:val="nil"/>
            </w:tcBorders>
            <w:shd w:val="clear" w:color="000000" w:fill="F2F2F2"/>
            <w:vAlign w:val="center"/>
          </w:tcPr>
          <w:p w14:paraId="1D35A641" w14:textId="49B2770A"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0.7%</w:t>
            </w:r>
          </w:p>
        </w:tc>
        <w:tc>
          <w:tcPr>
            <w:tcW w:w="1267" w:type="dxa"/>
            <w:tcBorders>
              <w:top w:val="nil"/>
              <w:left w:val="nil"/>
              <w:bottom w:val="single" w:sz="4" w:space="0" w:color="auto"/>
              <w:right w:val="nil"/>
            </w:tcBorders>
            <w:shd w:val="clear" w:color="000000" w:fill="F2F2F2"/>
            <w:vAlign w:val="center"/>
          </w:tcPr>
          <w:p w14:paraId="1878A875" w14:textId="5E8D85A2"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0.9%</w:t>
            </w:r>
          </w:p>
        </w:tc>
        <w:tc>
          <w:tcPr>
            <w:tcW w:w="1354" w:type="dxa"/>
            <w:tcBorders>
              <w:top w:val="nil"/>
              <w:left w:val="nil"/>
              <w:bottom w:val="single" w:sz="4" w:space="0" w:color="auto"/>
              <w:right w:val="nil"/>
            </w:tcBorders>
            <w:shd w:val="clear" w:color="000000" w:fill="F2F2F2"/>
            <w:vAlign w:val="center"/>
          </w:tcPr>
          <w:p w14:paraId="3A28A60E" w14:textId="764C913B"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1.7%</w:t>
            </w:r>
          </w:p>
        </w:tc>
        <w:tc>
          <w:tcPr>
            <w:tcW w:w="1354" w:type="dxa"/>
            <w:tcBorders>
              <w:top w:val="nil"/>
              <w:left w:val="nil"/>
              <w:bottom w:val="single" w:sz="4" w:space="0" w:color="auto"/>
              <w:right w:val="nil"/>
            </w:tcBorders>
            <w:shd w:val="clear" w:color="auto" w:fill="auto"/>
            <w:vAlign w:val="center"/>
          </w:tcPr>
          <w:p w14:paraId="1086C111" w14:textId="726C8E86"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0.1%</w:t>
            </w:r>
          </w:p>
        </w:tc>
        <w:tc>
          <w:tcPr>
            <w:tcW w:w="1267" w:type="dxa"/>
            <w:tcBorders>
              <w:top w:val="nil"/>
              <w:left w:val="nil"/>
              <w:bottom w:val="single" w:sz="4" w:space="0" w:color="auto"/>
              <w:right w:val="nil"/>
            </w:tcBorders>
            <w:shd w:val="clear" w:color="auto" w:fill="auto"/>
            <w:vAlign w:val="center"/>
          </w:tcPr>
          <w:p w14:paraId="216E0B56" w14:textId="49A4A1E4"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0.1%</w:t>
            </w:r>
          </w:p>
        </w:tc>
        <w:tc>
          <w:tcPr>
            <w:tcW w:w="1354" w:type="dxa"/>
            <w:tcBorders>
              <w:top w:val="nil"/>
              <w:left w:val="nil"/>
              <w:bottom w:val="single" w:sz="4" w:space="0" w:color="auto"/>
              <w:right w:val="nil"/>
            </w:tcBorders>
            <w:shd w:val="clear" w:color="auto" w:fill="auto"/>
            <w:vAlign w:val="center"/>
          </w:tcPr>
          <w:p w14:paraId="0FD00FB0" w14:textId="4BE3815E"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0.7%</w:t>
            </w:r>
          </w:p>
        </w:tc>
      </w:tr>
      <w:tr w:rsidR="00B933BD" w:rsidRPr="00BB165A" w14:paraId="06207585" w14:textId="28B99DDC" w:rsidTr="00416131">
        <w:trPr>
          <w:trHeight w:val="420"/>
        </w:trPr>
        <w:tc>
          <w:tcPr>
            <w:tcW w:w="2723" w:type="dxa"/>
            <w:tcBorders>
              <w:top w:val="single" w:sz="4" w:space="0" w:color="auto"/>
              <w:left w:val="nil"/>
              <w:bottom w:val="single" w:sz="4" w:space="0" w:color="auto"/>
              <w:right w:val="nil"/>
            </w:tcBorders>
            <w:shd w:val="clear" w:color="auto" w:fill="auto"/>
            <w:vAlign w:val="bottom"/>
            <w:hideMark/>
          </w:tcPr>
          <w:p w14:paraId="6CFD590C" w14:textId="77777777" w:rsidR="00B933BD" w:rsidRPr="00BB165A" w:rsidRDefault="00B933BD" w:rsidP="00B933BD">
            <w:pPr>
              <w:spacing w:after="0" w:line="240" w:lineRule="auto"/>
              <w:rPr>
                <w:rFonts w:eastAsia="Times New Roman" w:cs="Arial"/>
                <w:sz w:val="16"/>
                <w:szCs w:val="16"/>
                <w:lang w:eastAsia="en-AU"/>
              </w:rPr>
            </w:pPr>
            <w:r w:rsidRPr="00BB165A">
              <w:rPr>
                <w:rFonts w:eastAsia="Times New Roman" w:cs="Arial"/>
                <w:sz w:val="16"/>
                <w:szCs w:val="16"/>
                <w:lang w:eastAsia="en-AU"/>
              </w:rPr>
              <w:t xml:space="preserve">University labour expenditure </w:t>
            </w:r>
            <w:r w:rsidRPr="00BB165A">
              <w:rPr>
                <w:rFonts w:eastAsia="Times New Roman" w:cs="Arial"/>
                <w:sz w:val="16"/>
                <w:szCs w:val="16"/>
                <w:lang w:eastAsia="en-AU"/>
              </w:rPr>
              <w:br/>
              <w:t>per EFTSL</w:t>
            </w:r>
          </w:p>
        </w:tc>
        <w:tc>
          <w:tcPr>
            <w:tcW w:w="1354" w:type="dxa"/>
            <w:tcBorders>
              <w:top w:val="nil"/>
              <w:left w:val="nil"/>
              <w:bottom w:val="single" w:sz="4" w:space="0" w:color="auto"/>
              <w:right w:val="nil"/>
            </w:tcBorders>
            <w:shd w:val="clear" w:color="auto" w:fill="auto"/>
            <w:noWrap/>
            <w:vAlign w:val="center"/>
            <w:hideMark/>
          </w:tcPr>
          <w:p w14:paraId="4E4E0F34" w14:textId="71E6CF4F"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3.2%</w:t>
            </w:r>
          </w:p>
        </w:tc>
        <w:tc>
          <w:tcPr>
            <w:tcW w:w="1267" w:type="dxa"/>
            <w:tcBorders>
              <w:top w:val="nil"/>
              <w:left w:val="nil"/>
              <w:bottom w:val="single" w:sz="4" w:space="0" w:color="auto"/>
              <w:right w:val="nil"/>
            </w:tcBorders>
            <w:shd w:val="clear" w:color="auto" w:fill="auto"/>
            <w:noWrap/>
            <w:vAlign w:val="center"/>
            <w:hideMark/>
          </w:tcPr>
          <w:p w14:paraId="23AA22D2" w14:textId="3EABF393"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2.7%</w:t>
            </w:r>
          </w:p>
        </w:tc>
        <w:tc>
          <w:tcPr>
            <w:tcW w:w="1354" w:type="dxa"/>
            <w:tcBorders>
              <w:top w:val="nil"/>
              <w:left w:val="nil"/>
              <w:bottom w:val="single" w:sz="4" w:space="0" w:color="auto"/>
              <w:right w:val="nil"/>
            </w:tcBorders>
            <w:shd w:val="clear" w:color="auto" w:fill="auto"/>
            <w:noWrap/>
            <w:vAlign w:val="center"/>
            <w:hideMark/>
          </w:tcPr>
          <w:p w14:paraId="51069F77" w14:textId="65AC1B34"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3.0%</w:t>
            </w:r>
          </w:p>
        </w:tc>
        <w:tc>
          <w:tcPr>
            <w:tcW w:w="1354" w:type="dxa"/>
            <w:tcBorders>
              <w:top w:val="nil"/>
              <w:left w:val="nil"/>
              <w:bottom w:val="single" w:sz="4" w:space="0" w:color="auto"/>
              <w:right w:val="nil"/>
            </w:tcBorders>
            <w:shd w:val="clear" w:color="000000" w:fill="F2F2F2"/>
            <w:vAlign w:val="center"/>
          </w:tcPr>
          <w:p w14:paraId="70E127C9" w14:textId="169C7AB3"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2.2%</w:t>
            </w:r>
          </w:p>
        </w:tc>
        <w:tc>
          <w:tcPr>
            <w:tcW w:w="1267" w:type="dxa"/>
            <w:tcBorders>
              <w:top w:val="nil"/>
              <w:left w:val="nil"/>
              <w:bottom w:val="single" w:sz="4" w:space="0" w:color="auto"/>
              <w:right w:val="nil"/>
            </w:tcBorders>
            <w:shd w:val="clear" w:color="000000" w:fill="F2F2F2"/>
            <w:vAlign w:val="center"/>
          </w:tcPr>
          <w:p w14:paraId="06D76386" w14:textId="0C1BF295"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2.0%</w:t>
            </w:r>
          </w:p>
        </w:tc>
        <w:tc>
          <w:tcPr>
            <w:tcW w:w="1354" w:type="dxa"/>
            <w:tcBorders>
              <w:top w:val="nil"/>
              <w:left w:val="nil"/>
              <w:bottom w:val="single" w:sz="4" w:space="0" w:color="auto"/>
              <w:right w:val="nil"/>
            </w:tcBorders>
            <w:shd w:val="clear" w:color="000000" w:fill="F2F2F2"/>
            <w:vAlign w:val="center"/>
          </w:tcPr>
          <w:p w14:paraId="4B115DAF" w14:textId="2735F188"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3.0%</w:t>
            </w:r>
          </w:p>
        </w:tc>
        <w:tc>
          <w:tcPr>
            <w:tcW w:w="1354" w:type="dxa"/>
            <w:tcBorders>
              <w:top w:val="nil"/>
              <w:left w:val="nil"/>
              <w:bottom w:val="single" w:sz="4" w:space="0" w:color="auto"/>
              <w:right w:val="nil"/>
            </w:tcBorders>
            <w:shd w:val="clear" w:color="auto" w:fill="auto"/>
            <w:vAlign w:val="center"/>
          </w:tcPr>
          <w:p w14:paraId="386076CA" w14:textId="5B7FB91C"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3.0%</w:t>
            </w:r>
          </w:p>
        </w:tc>
        <w:tc>
          <w:tcPr>
            <w:tcW w:w="1267" w:type="dxa"/>
            <w:tcBorders>
              <w:top w:val="nil"/>
              <w:left w:val="nil"/>
              <w:bottom w:val="single" w:sz="4" w:space="0" w:color="auto"/>
              <w:right w:val="nil"/>
            </w:tcBorders>
            <w:shd w:val="clear" w:color="auto" w:fill="auto"/>
            <w:vAlign w:val="center"/>
          </w:tcPr>
          <w:p w14:paraId="0F177E1D" w14:textId="4DED44AF"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2.8%</w:t>
            </w:r>
          </w:p>
        </w:tc>
        <w:tc>
          <w:tcPr>
            <w:tcW w:w="1354" w:type="dxa"/>
            <w:tcBorders>
              <w:top w:val="nil"/>
              <w:left w:val="nil"/>
              <w:bottom w:val="single" w:sz="4" w:space="0" w:color="auto"/>
              <w:right w:val="nil"/>
            </w:tcBorders>
            <w:shd w:val="clear" w:color="auto" w:fill="auto"/>
            <w:vAlign w:val="center"/>
          </w:tcPr>
          <w:p w14:paraId="73E9DC68" w14:textId="2270BB6D"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3.5%</w:t>
            </w:r>
          </w:p>
        </w:tc>
      </w:tr>
      <w:tr w:rsidR="00B933BD" w:rsidRPr="00BB165A" w14:paraId="79C6CD5D" w14:textId="07EEBDF3" w:rsidTr="00416131">
        <w:trPr>
          <w:trHeight w:val="630"/>
        </w:trPr>
        <w:tc>
          <w:tcPr>
            <w:tcW w:w="2723" w:type="dxa"/>
            <w:tcBorders>
              <w:top w:val="single" w:sz="4" w:space="0" w:color="auto"/>
              <w:left w:val="nil"/>
              <w:bottom w:val="single" w:sz="4" w:space="0" w:color="auto"/>
              <w:right w:val="nil"/>
            </w:tcBorders>
            <w:shd w:val="clear" w:color="auto" w:fill="auto"/>
            <w:vAlign w:val="bottom"/>
            <w:hideMark/>
          </w:tcPr>
          <w:p w14:paraId="26492844" w14:textId="77777777" w:rsidR="00B933BD" w:rsidRPr="002404D8" w:rsidRDefault="00B933BD" w:rsidP="00B933BD">
            <w:pPr>
              <w:spacing w:after="0" w:line="240" w:lineRule="auto"/>
              <w:rPr>
                <w:rFonts w:eastAsia="Times New Roman" w:cs="Arial"/>
                <w:sz w:val="16"/>
                <w:szCs w:val="16"/>
                <w:lang w:eastAsia="en-AU"/>
              </w:rPr>
            </w:pPr>
            <w:r w:rsidRPr="002404D8">
              <w:rPr>
                <w:rFonts w:eastAsia="Times New Roman" w:cs="Arial"/>
                <w:sz w:val="16"/>
                <w:szCs w:val="16"/>
                <w:lang w:eastAsia="en-AU"/>
              </w:rPr>
              <w:t>Base funding (CGS+Student Contribution Amount (SCA) per EFTSL)</w:t>
            </w:r>
          </w:p>
        </w:tc>
        <w:tc>
          <w:tcPr>
            <w:tcW w:w="1354" w:type="dxa"/>
            <w:tcBorders>
              <w:top w:val="nil"/>
              <w:left w:val="nil"/>
              <w:bottom w:val="single" w:sz="4" w:space="0" w:color="auto"/>
              <w:right w:val="nil"/>
            </w:tcBorders>
            <w:shd w:val="clear" w:color="auto" w:fill="auto"/>
            <w:noWrap/>
            <w:vAlign w:val="center"/>
            <w:hideMark/>
          </w:tcPr>
          <w:p w14:paraId="5F9A6DFA" w14:textId="59D313DF" w:rsidR="00B933BD" w:rsidRPr="00416131" w:rsidRDefault="001332F2" w:rsidP="00E93C66">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1.6%</w:t>
            </w:r>
          </w:p>
        </w:tc>
        <w:tc>
          <w:tcPr>
            <w:tcW w:w="1267" w:type="dxa"/>
            <w:tcBorders>
              <w:top w:val="nil"/>
              <w:left w:val="nil"/>
              <w:bottom w:val="single" w:sz="4" w:space="0" w:color="auto"/>
              <w:right w:val="nil"/>
            </w:tcBorders>
            <w:shd w:val="clear" w:color="auto" w:fill="auto"/>
            <w:noWrap/>
            <w:vAlign w:val="center"/>
            <w:hideMark/>
          </w:tcPr>
          <w:p w14:paraId="4279EF47" w14:textId="11AE3299"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1.5%</w:t>
            </w:r>
          </w:p>
        </w:tc>
        <w:tc>
          <w:tcPr>
            <w:tcW w:w="1354" w:type="dxa"/>
            <w:tcBorders>
              <w:top w:val="nil"/>
              <w:left w:val="nil"/>
              <w:bottom w:val="single" w:sz="4" w:space="0" w:color="auto"/>
              <w:right w:val="nil"/>
            </w:tcBorders>
            <w:shd w:val="clear" w:color="auto" w:fill="auto"/>
            <w:noWrap/>
            <w:vAlign w:val="center"/>
            <w:hideMark/>
          </w:tcPr>
          <w:p w14:paraId="5ADD605E" w14:textId="62D7D03A" w:rsidR="00B933BD" w:rsidRPr="00416131" w:rsidRDefault="001332F2">
            <w:pPr>
              <w:spacing w:after="0" w:line="240" w:lineRule="auto"/>
              <w:jc w:val="center"/>
              <w:rPr>
                <w:rFonts w:asciiTheme="majorHAnsi" w:eastAsia="Times New Roman" w:hAnsiTheme="majorHAnsi" w:cs="Arial"/>
                <w:sz w:val="16"/>
                <w:szCs w:val="16"/>
                <w:lang w:eastAsia="en-AU"/>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000000" w:fill="F2F2F2"/>
            <w:vAlign w:val="center"/>
          </w:tcPr>
          <w:p w14:paraId="46B9C5CD" w14:textId="0C5C2733"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1.5%</w:t>
            </w:r>
          </w:p>
        </w:tc>
        <w:tc>
          <w:tcPr>
            <w:tcW w:w="1267" w:type="dxa"/>
            <w:tcBorders>
              <w:top w:val="nil"/>
              <w:left w:val="nil"/>
              <w:bottom w:val="single" w:sz="4" w:space="0" w:color="auto"/>
              <w:right w:val="nil"/>
            </w:tcBorders>
            <w:shd w:val="clear" w:color="000000" w:fill="F2F2F2"/>
            <w:vAlign w:val="center"/>
          </w:tcPr>
          <w:p w14:paraId="7C2F273B" w14:textId="4658991B"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1.4%</w:t>
            </w:r>
          </w:p>
        </w:tc>
        <w:tc>
          <w:tcPr>
            <w:tcW w:w="1354" w:type="dxa"/>
            <w:tcBorders>
              <w:top w:val="nil"/>
              <w:left w:val="nil"/>
              <w:bottom w:val="single" w:sz="4" w:space="0" w:color="auto"/>
              <w:right w:val="nil"/>
            </w:tcBorders>
            <w:shd w:val="clear" w:color="000000" w:fill="F2F2F2"/>
            <w:vAlign w:val="center"/>
          </w:tcPr>
          <w:p w14:paraId="711843A9" w14:textId="4FF688E2"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c>
          <w:tcPr>
            <w:tcW w:w="1354" w:type="dxa"/>
            <w:tcBorders>
              <w:top w:val="nil"/>
              <w:left w:val="nil"/>
              <w:bottom w:val="single" w:sz="4" w:space="0" w:color="auto"/>
              <w:right w:val="nil"/>
            </w:tcBorders>
            <w:shd w:val="clear" w:color="auto" w:fill="auto"/>
            <w:vAlign w:val="center"/>
          </w:tcPr>
          <w:p w14:paraId="436F9958" w14:textId="3FEE2B68"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1.6%</w:t>
            </w:r>
          </w:p>
        </w:tc>
        <w:tc>
          <w:tcPr>
            <w:tcW w:w="1267" w:type="dxa"/>
            <w:tcBorders>
              <w:top w:val="nil"/>
              <w:left w:val="nil"/>
              <w:bottom w:val="single" w:sz="4" w:space="0" w:color="auto"/>
              <w:right w:val="nil"/>
            </w:tcBorders>
            <w:shd w:val="clear" w:color="auto" w:fill="auto"/>
            <w:vAlign w:val="center"/>
          </w:tcPr>
          <w:p w14:paraId="537C8E1E" w14:textId="2F03FE70"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1.4%</w:t>
            </w:r>
          </w:p>
        </w:tc>
        <w:tc>
          <w:tcPr>
            <w:tcW w:w="1354" w:type="dxa"/>
            <w:tcBorders>
              <w:top w:val="nil"/>
              <w:left w:val="nil"/>
              <w:bottom w:val="single" w:sz="4" w:space="0" w:color="auto"/>
              <w:right w:val="nil"/>
            </w:tcBorders>
            <w:shd w:val="clear" w:color="auto" w:fill="auto"/>
            <w:vAlign w:val="center"/>
          </w:tcPr>
          <w:p w14:paraId="6CF9BEF5" w14:textId="4744D75E" w:rsidR="00B933BD" w:rsidRPr="00416131" w:rsidRDefault="001332F2">
            <w:pPr>
              <w:spacing w:after="0" w:line="240" w:lineRule="auto"/>
              <w:jc w:val="center"/>
              <w:rPr>
                <w:rFonts w:asciiTheme="majorHAnsi" w:hAnsiTheme="majorHAnsi" w:cs="Arial"/>
                <w:sz w:val="16"/>
                <w:szCs w:val="16"/>
              </w:rPr>
            </w:pPr>
            <w:r w:rsidRPr="00416131">
              <w:rPr>
                <w:rFonts w:asciiTheme="majorHAnsi" w:hAnsiTheme="majorHAnsi"/>
                <w:sz w:val="16"/>
                <w:szCs w:val="16"/>
              </w:rPr>
              <w:t>-</w:t>
            </w:r>
          </w:p>
        </w:tc>
      </w:tr>
    </w:tbl>
    <w:p w14:paraId="5AC1531B" w14:textId="026F0F84" w:rsidR="00164E01" w:rsidRPr="00BB165A" w:rsidRDefault="00164E01" w:rsidP="00164E01">
      <w:pPr>
        <w:pStyle w:val="Source"/>
        <w:spacing w:before="0"/>
      </w:pPr>
      <w:r>
        <w:t>Source: Deloitte Access Economics and Department of Education</w:t>
      </w:r>
      <w:r w:rsidR="005C7D32">
        <w:t>, Skills and Employment</w:t>
      </w:r>
      <w:r>
        <w:t xml:space="preserve">. </w:t>
      </w:r>
    </w:p>
    <w:p w14:paraId="3F9B17C5" w14:textId="77777777" w:rsidR="00E26296" w:rsidRDefault="00E26296" w:rsidP="00700937"/>
    <w:p w14:paraId="1CD46CBC" w14:textId="77777777" w:rsidR="000738BE" w:rsidRDefault="000738BE" w:rsidP="00700937"/>
    <w:p w14:paraId="04A57ABC" w14:textId="49DBA29F" w:rsidR="001125F8" w:rsidRDefault="001125F8">
      <w:pPr>
        <w:spacing w:after="0"/>
      </w:pPr>
      <w:r>
        <w:br w:type="page"/>
      </w:r>
    </w:p>
    <w:p w14:paraId="085C0A71" w14:textId="77777777" w:rsidR="000738BE" w:rsidRDefault="000738BE" w:rsidP="00700937"/>
    <w:p w14:paraId="57497067" w14:textId="478BBCB9" w:rsidR="001125F8" w:rsidRPr="00BB165A" w:rsidRDefault="001125F8" w:rsidP="001125F8">
      <w:pPr>
        <w:pStyle w:val="CaptionTable"/>
      </w:pPr>
      <w:bookmarkStart w:id="571" w:name="_Ref102569525"/>
      <w:bookmarkStart w:id="572" w:name="_Toc105776712"/>
      <w:r w:rsidRPr="00BB165A">
        <w:t>: Change in costs by line item, CAGRs</w:t>
      </w:r>
      <w:bookmarkEnd w:id="571"/>
      <w:bookmarkEnd w:id="572"/>
    </w:p>
    <w:tbl>
      <w:tblPr>
        <w:tblStyle w:val="Deloittetable"/>
        <w:tblW w:w="13719" w:type="dxa"/>
        <w:tblLayout w:type="fixed"/>
        <w:tblLook w:val="04A0" w:firstRow="1" w:lastRow="0" w:firstColumn="1" w:lastColumn="0" w:noHBand="0" w:noVBand="1"/>
      </w:tblPr>
      <w:tblGrid>
        <w:gridCol w:w="2980"/>
        <w:gridCol w:w="1789"/>
        <w:gridCol w:w="1790"/>
        <w:gridCol w:w="1790"/>
        <w:gridCol w:w="1790"/>
        <w:gridCol w:w="1790"/>
        <w:gridCol w:w="1790"/>
      </w:tblGrid>
      <w:tr w:rsidR="001125F8" w:rsidRPr="00BB165A" w14:paraId="5B3DAB9A" w14:textId="3E631BED" w:rsidTr="004A7F6B">
        <w:trPr>
          <w:cnfStyle w:val="100000000000" w:firstRow="1" w:lastRow="0" w:firstColumn="0" w:lastColumn="0" w:oddVBand="0" w:evenVBand="0" w:oddHBand="0" w:evenHBand="0" w:firstRowFirstColumn="0" w:firstRowLastColumn="0" w:lastRowFirstColumn="0" w:lastRowLastColumn="0"/>
        </w:trPr>
        <w:tc>
          <w:tcPr>
            <w:tcW w:w="2980" w:type="dxa"/>
            <w:tcBorders>
              <w:bottom w:val="nil"/>
            </w:tcBorders>
          </w:tcPr>
          <w:p w14:paraId="39ED1A86" w14:textId="77777777" w:rsidR="001125F8" w:rsidRPr="00BB165A" w:rsidRDefault="001125F8" w:rsidP="00AD1C80">
            <w:pPr>
              <w:spacing w:after="0"/>
              <w:jc w:val="center"/>
              <w:rPr>
                <w:b/>
                <w:sz w:val="16"/>
              </w:rPr>
            </w:pPr>
          </w:p>
        </w:tc>
        <w:tc>
          <w:tcPr>
            <w:tcW w:w="3579" w:type="dxa"/>
            <w:gridSpan w:val="2"/>
            <w:tcBorders>
              <w:bottom w:val="nil"/>
            </w:tcBorders>
          </w:tcPr>
          <w:p w14:paraId="43C442A6" w14:textId="3ECAE7C1" w:rsidR="001125F8" w:rsidRPr="00BB165A" w:rsidRDefault="001125F8" w:rsidP="00AD1C80">
            <w:pPr>
              <w:spacing w:after="0"/>
              <w:jc w:val="center"/>
              <w:rPr>
                <w:b/>
                <w:sz w:val="16"/>
                <w:lang w:eastAsia="en-AU"/>
              </w:rPr>
            </w:pPr>
            <w:r w:rsidRPr="00BB165A">
              <w:rPr>
                <w:b/>
                <w:sz w:val="16"/>
                <w:lang w:eastAsia="en-AU"/>
              </w:rPr>
              <w:t>2015 to 2020</w:t>
            </w:r>
          </w:p>
        </w:tc>
        <w:tc>
          <w:tcPr>
            <w:tcW w:w="3580" w:type="dxa"/>
            <w:gridSpan w:val="2"/>
            <w:tcBorders>
              <w:bottom w:val="nil"/>
            </w:tcBorders>
            <w:shd w:val="clear" w:color="auto" w:fill="F2F2F2" w:themeFill="background1" w:themeFillShade="F2"/>
          </w:tcPr>
          <w:p w14:paraId="71D5F355" w14:textId="537C1F48" w:rsidR="001125F8" w:rsidRPr="00BB165A" w:rsidRDefault="001125F8" w:rsidP="00AD1C80">
            <w:pPr>
              <w:spacing w:after="0"/>
              <w:jc w:val="center"/>
              <w:rPr>
                <w:b/>
                <w:sz w:val="16"/>
                <w:lang w:eastAsia="en-AU"/>
              </w:rPr>
            </w:pPr>
            <w:r w:rsidRPr="00BB165A">
              <w:rPr>
                <w:b/>
                <w:sz w:val="16"/>
                <w:lang w:eastAsia="en-AU"/>
              </w:rPr>
              <w:t>2017 to 2020</w:t>
            </w:r>
          </w:p>
        </w:tc>
        <w:tc>
          <w:tcPr>
            <w:tcW w:w="3580" w:type="dxa"/>
            <w:gridSpan w:val="2"/>
            <w:tcBorders>
              <w:bottom w:val="nil"/>
            </w:tcBorders>
          </w:tcPr>
          <w:p w14:paraId="7B331E3F" w14:textId="104FB5BA" w:rsidR="001125F8" w:rsidRPr="00BB165A" w:rsidRDefault="001125F8" w:rsidP="00AD1C80">
            <w:pPr>
              <w:spacing w:after="0"/>
              <w:jc w:val="center"/>
              <w:rPr>
                <w:b/>
                <w:sz w:val="16"/>
                <w:lang w:eastAsia="en-AU"/>
              </w:rPr>
            </w:pPr>
            <w:r w:rsidRPr="00BB165A">
              <w:rPr>
                <w:b/>
                <w:sz w:val="16"/>
                <w:lang w:eastAsia="en-AU"/>
              </w:rPr>
              <w:t>2018 to 2020</w:t>
            </w:r>
          </w:p>
        </w:tc>
      </w:tr>
      <w:tr w:rsidR="001125F8" w:rsidRPr="00BB165A" w14:paraId="2DA2A936" w14:textId="7CB0F45C" w:rsidTr="004A7F6B">
        <w:tc>
          <w:tcPr>
            <w:tcW w:w="2980" w:type="dxa"/>
            <w:tcBorders>
              <w:top w:val="nil"/>
            </w:tcBorders>
          </w:tcPr>
          <w:p w14:paraId="3769F30A" w14:textId="77777777" w:rsidR="001125F8" w:rsidRPr="00BB165A" w:rsidRDefault="001125F8" w:rsidP="001125F8">
            <w:pPr>
              <w:spacing w:after="0"/>
              <w:jc w:val="center"/>
              <w:rPr>
                <w:b/>
                <w:sz w:val="16"/>
              </w:rPr>
            </w:pPr>
          </w:p>
        </w:tc>
        <w:tc>
          <w:tcPr>
            <w:tcW w:w="1789" w:type="dxa"/>
            <w:tcBorders>
              <w:top w:val="nil"/>
            </w:tcBorders>
          </w:tcPr>
          <w:p w14:paraId="769D9561" w14:textId="77777777" w:rsidR="001125F8" w:rsidRPr="00BB165A" w:rsidRDefault="001125F8" w:rsidP="001125F8">
            <w:pPr>
              <w:spacing w:after="0"/>
              <w:jc w:val="center"/>
              <w:rPr>
                <w:b/>
                <w:sz w:val="16"/>
              </w:rPr>
            </w:pPr>
            <w:r w:rsidRPr="00BB165A">
              <w:rPr>
                <w:b/>
                <w:sz w:val="16"/>
                <w:lang w:eastAsia="en-AU"/>
              </w:rPr>
              <w:t>Teaching and scholarship costs</w:t>
            </w:r>
          </w:p>
        </w:tc>
        <w:tc>
          <w:tcPr>
            <w:tcW w:w="1790" w:type="dxa"/>
            <w:tcBorders>
              <w:top w:val="nil"/>
            </w:tcBorders>
          </w:tcPr>
          <w:p w14:paraId="1678A6C6" w14:textId="77777777" w:rsidR="001125F8" w:rsidRPr="00BB165A" w:rsidRDefault="001125F8" w:rsidP="001125F8">
            <w:pPr>
              <w:spacing w:after="0"/>
              <w:jc w:val="center"/>
              <w:rPr>
                <w:b/>
                <w:sz w:val="16"/>
              </w:rPr>
            </w:pPr>
            <w:r w:rsidRPr="00BB165A">
              <w:rPr>
                <w:b/>
                <w:sz w:val="16"/>
                <w:lang w:eastAsia="en-AU"/>
              </w:rPr>
              <w:t>All costs (teaching, scholarship, research)</w:t>
            </w:r>
          </w:p>
        </w:tc>
        <w:tc>
          <w:tcPr>
            <w:tcW w:w="1790" w:type="dxa"/>
            <w:tcBorders>
              <w:top w:val="nil"/>
            </w:tcBorders>
            <w:shd w:val="clear" w:color="auto" w:fill="F2F2F2" w:themeFill="background1" w:themeFillShade="F2"/>
          </w:tcPr>
          <w:p w14:paraId="5B0D1443" w14:textId="757E8E2A" w:rsidR="001125F8" w:rsidRPr="00BB165A" w:rsidRDefault="001125F8" w:rsidP="001125F8">
            <w:pPr>
              <w:spacing w:after="0"/>
              <w:jc w:val="center"/>
              <w:rPr>
                <w:b/>
                <w:sz w:val="16"/>
                <w:lang w:eastAsia="en-AU"/>
              </w:rPr>
            </w:pPr>
            <w:r w:rsidRPr="00BB165A">
              <w:rPr>
                <w:b/>
                <w:sz w:val="16"/>
                <w:lang w:eastAsia="en-AU"/>
              </w:rPr>
              <w:t>Teaching and scholarship costs</w:t>
            </w:r>
          </w:p>
        </w:tc>
        <w:tc>
          <w:tcPr>
            <w:tcW w:w="1790" w:type="dxa"/>
            <w:tcBorders>
              <w:top w:val="nil"/>
            </w:tcBorders>
            <w:shd w:val="clear" w:color="auto" w:fill="F2F2F2" w:themeFill="background1" w:themeFillShade="F2"/>
          </w:tcPr>
          <w:p w14:paraId="0F52C3B4" w14:textId="1320E715" w:rsidR="001125F8" w:rsidRPr="00BB165A" w:rsidRDefault="001125F8" w:rsidP="001125F8">
            <w:pPr>
              <w:spacing w:after="0"/>
              <w:jc w:val="center"/>
              <w:rPr>
                <w:b/>
                <w:sz w:val="16"/>
                <w:lang w:eastAsia="en-AU"/>
              </w:rPr>
            </w:pPr>
            <w:r w:rsidRPr="00BB165A">
              <w:rPr>
                <w:b/>
                <w:sz w:val="16"/>
                <w:lang w:eastAsia="en-AU"/>
              </w:rPr>
              <w:t>All costs (teaching, scholarship, research)</w:t>
            </w:r>
          </w:p>
        </w:tc>
        <w:tc>
          <w:tcPr>
            <w:tcW w:w="1790" w:type="dxa"/>
            <w:tcBorders>
              <w:top w:val="nil"/>
            </w:tcBorders>
          </w:tcPr>
          <w:p w14:paraId="7A0F8DA4" w14:textId="46276482" w:rsidR="001125F8" w:rsidRPr="00BB165A" w:rsidRDefault="001125F8" w:rsidP="001125F8">
            <w:pPr>
              <w:spacing w:after="0"/>
              <w:jc w:val="center"/>
              <w:rPr>
                <w:b/>
                <w:sz w:val="16"/>
                <w:lang w:eastAsia="en-AU"/>
              </w:rPr>
            </w:pPr>
            <w:r w:rsidRPr="00BB165A">
              <w:rPr>
                <w:b/>
                <w:sz w:val="16"/>
                <w:lang w:eastAsia="en-AU"/>
              </w:rPr>
              <w:t>Teaching and scholarship costs</w:t>
            </w:r>
          </w:p>
        </w:tc>
        <w:tc>
          <w:tcPr>
            <w:tcW w:w="1790" w:type="dxa"/>
            <w:tcBorders>
              <w:top w:val="nil"/>
            </w:tcBorders>
          </w:tcPr>
          <w:p w14:paraId="2B9B5DF7" w14:textId="7047B02F" w:rsidR="001125F8" w:rsidRPr="00BB165A" w:rsidRDefault="001125F8" w:rsidP="001125F8">
            <w:pPr>
              <w:spacing w:after="0"/>
              <w:jc w:val="center"/>
              <w:rPr>
                <w:b/>
                <w:sz w:val="16"/>
                <w:lang w:eastAsia="en-AU"/>
              </w:rPr>
            </w:pPr>
            <w:r w:rsidRPr="00BB165A">
              <w:rPr>
                <w:b/>
                <w:sz w:val="16"/>
                <w:lang w:eastAsia="en-AU"/>
              </w:rPr>
              <w:t>All costs (teaching, scholarship, research)</w:t>
            </w:r>
          </w:p>
        </w:tc>
      </w:tr>
      <w:tr w:rsidR="00D719D7" w:rsidRPr="00BB165A" w14:paraId="03B99BF2" w14:textId="23FAB922" w:rsidTr="00416131">
        <w:tc>
          <w:tcPr>
            <w:tcW w:w="0" w:type="dxa"/>
          </w:tcPr>
          <w:p w14:paraId="544247B2" w14:textId="77777777" w:rsidR="00D719D7" w:rsidRPr="00BB165A" w:rsidRDefault="00D719D7" w:rsidP="00D719D7">
            <w:pPr>
              <w:spacing w:after="0"/>
              <w:rPr>
                <w:sz w:val="16"/>
              </w:rPr>
            </w:pPr>
            <w:r w:rsidRPr="00BB165A">
              <w:rPr>
                <w:sz w:val="16"/>
                <w:lang w:eastAsia="en-AU"/>
              </w:rPr>
              <w:t>Staff costs</w:t>
            </w:r>
          </w:p>
        </w:tc>
        <w:tc>
          <w:tcPr>
            <w:tcW w:w="0" w:type="dxa"/>
            <w:tcBorders>
              <w:top w:val="single" w:sz="4" w:space="0" w:color="auto"/>
              <w:left w:val="nil"/>
              <w:bottom w:val="single" w:sz="4" w:space="0" w:color="auto"/>
              <w:right w:val="nil"/>
            </w:tcBorders>
            <w:shd w:val="clear" w:color="auto" w:fill="auto"/>
            <w:vAlign w:val="center"/>
          </w:tcPr>
          <w:p w14:paraId="0DC551A8" w14:textId="37071255" w:rsidR="00D719D7" w:rsidRPr="004D0C7A" w:rsidRDefault="00772187" w:rsidP="00E93C66">
            <w:pPr>
              <w:spacing w:after="0"/>
              <w:jc w:val="center"/>
              <w:rPr>
                <w:sz w:val="16"/>
                <w:szCs w:val="16"/>
              </w:rPr>
            </w:pPr>
            <w:r w:rsidRPr="00416131">
              <w:rPr>
                <w:sz w:val="16"/>
                <w:szCs w:val="16"/>
              </w:rPr>
              <w:t>3.7%</w:t>
            </w:r>
          </w:p>
        </w:tc>
        <w:tc>
          <w:tcPr>
            <w:tcW w:w="0" w:type="dxa"/>
            <w:tcBorders>
              <w:top w:val="single" w:sz="4" w:space="0" w:color="auto"/>
              <w:left w:val="nil"/>
              <w:bottom w:val="single" w:sz="4" w:space="0" w:color="auto"/>
              <w:right w:val="nil"/>
            </w:tcBorders>
            <w:shd w:val="clear" w:color="auto" w:fill="auto"/>
            <w:vAlign w:val="center"/>
          </w:tcPr>
          <w:p w14:paraId="65DA5346" w14:textId="255710E9" w:rsidR="00D719D7" w:rsidRPr="004D0C7A" w:rsidRDefault="00772187">
            <w:pPr>
              <w:spacing w:after="0"/>
              <w:jc w:val="center"/>
              <w:rPr>
                <w:sz w:val="16"/>
                <w:szCs w:val="16"/>
              </w:rPr>
            </w:pPr>
            <w:r w:rsidRPr="00416131">
              <w:rPr>
                <w:sz w:val="16"/>
                <w:szCs w:val="16"/>
              </w:rPr>
              <w:t>3.2%</w:t>
            </w:r>
          </w:p>
        </w:tc>
        <w:tc>
          <w:tcPr>
            <w:tcW w:w="0" w:type="dxa"/>
            <w:tcBorders>
              <w:top w:val="single" w:sz="4" w:space="0" w:color="auto"/>
              <w:left w:val="nil"/>
              <w:bottom w:val="single" w:sz="4" w:space="0" w:color="auto"/>
              <w:right w:val="nil"/>
            </w:tcBorders>
            <w:shd w:val="clear" w:color="000000" w:fill="F2F2F2"/>
            <w:vAlign w:val="center"/>
          </w:tcPr>
          <w:p w14:paraId="7E1CDB5F" w14:textId="18307FCE" w:rsidR="00D719D7" w:rsidRPr="006A7720" w:rsidRDefault="00772187">
            <w:pPr>
              <w:spacing w:after="0"/>
              <w:jc w:val="center"/>
              <w:rPr>
                <w:rFonts w:cs="Arial"/>
                <w:sz w:val="16"/>
                <w:szCs w:val="16"/>
              </w:rPr>
            </w:pPr>
            <w:r w:rsidRPr="00416131">
              <w:rPr>
                <w:sz w:val="16"/>
                <w:szCs w:val="16"/>
              </w:rPr>
              <w:t>1.9%</w:t>
            </w:r>
          </w:p>
        </w:tc>
        <w:tc>
          <w:tcPr>
            <w:tcW w:w="0" w:type="dxa"/>
            <w:tcBorders>
              <w:top w:val="single" w:sz="4" w:space="0" w:color="auto"/>
              <w:left w:val="nil"/>
              <w:bottom w:val="single" w:sz="4" w:space="0" w:color="auto"/>
              <w:right w:val="nil"/>
            </w:tcBorders>
            <w:shd w:val="clear" w:color="000000" w:fill="F2F2F2"/>
            <w:vAlign w:val="center"/>
          </w:tcPr>
          <w:p w14:paraId="690BB662" w14:textId="17A3CE6A" w:rsidR="00D719D7" w:rsidRPr="006A7720" w:rsidRDefault="00772187">
            <w:pPr>
              <w:spacing w:after="0"/>
              <w:jc w:val="center"/>
              <w:rPr>
                <w:rFonts w:cs="Arial"/>
                <w:sz w:val="16"/>
                <w:szCs w:val="16"/>
              </w:rPr>
            </w:pPr>
            <w:r w:rsidRPr="00416131">
              <w:rPr>
                <w:sz w:val="16"/>
                <w:szCs w:val="16"/>
              </w:rPr>
              <w:t>2.2%</w:t>
            </w:r>
          </w:p>
        </w:tc>
        <w:tc>
          <w:tcPr>
            <w:tcW w:w="0" w:type="dxa"/>
            <w:tcBorders>
              <w:top w:val="single" w:sz="4" w:space="0" w:color="auto"/>
              <w:left w:val="nil"/>
              <w:bottom w:val="single" w:sz="4" w:space="0" w:color="auto"/>
              <w:right w:val="nil"/>
            </w:tcBorders>
            <w:shd w:val="clear" w:color="auto" w:fill="auto"/>
            <w:vAlign w:val="center"/>
          </w:tcPr>
          <w:p w14:paraId="4E36C4F4" w14:textId="0232846A" w:rsidR="00D719D7" w:rsidRPr="006A7720" w:rsidRDefault="00772187">
            <w:pPr>
              <w:spacing w:after="0"/>
              <w:jc w:val="center"/>
              <w:rPr>
                <w:rFonts w:cs="Arial"/>
                <w:sz w:val="16"/>
                <w:szCs w:val="16"/>
              </w:rPr>
            </w:pPr>
            <w:r w:rsidRPr="00416131">
              <w:rPr>
                <w:sz w:val="16"/>
                <w:szCs w:val="16"/>
              </w:rPr>
              <w:t>3.3%</w:t>
            </w:r>
          </w:p>
        </w:tc>
        <w:tc>
          <w:tcPr>
            <w:tcW w:w="0" w:type="dxa"/>
            <w:tcBorders>
              <w:top w:val="single" w:sz="4" w:space="0" w:color="auto"/>
              <w:left w:val="nil"/>
              <w:bottom w:val="single" w:sz="4" w:space="0" w:color="auto"/>
              <w:right w:val="nil"/>
            </w:tcBorders>
            <w:shd w:val="clear" w:color="auto" w:fill="auto"/>
            <w:vAlign w:val="center"/>
          </w:tcPr>
          <w:p w14:paraId="649D119C" w14:textId="670E8A0E" w:rsidR="00D719D7" w:rsidRPr="006A7720" w:rsidRDefault="00772187">
            <w:pPr>
              <w:spacing w:after="0"/>
              <w:jc w:val="center"/>
              <w:rPr>
                <w:rFonts w:cs="Arial"/>
                <w:sz w:val="16"/>
                <w:szCs w:val="16"/>
              </w:rPr>
            </w:pPr>
            <w:r w:rsidRPr="00416131">
              <w:rPr>
                <w:sz w:val="16"/>
                <w:szCs w:val="16"/>
              </w:rPr>
              <w:t>3.0%</w:t>
            </w:r>
          </w:p>
        </w:tc>
      </w:tr>
      <w:tr w:rsidR="00D719D7" w:rsidRPr="00BB165A" w14:paraId="707F6527" w14:textId="77660D3B" w:rsidTr="00416131">
        <w:tc>
          <w:tcPr>
            <w:tcW w:w="0" w:type="dxa"/>
          </w:tcPr>
          <w:p w14:paraId="02A03B87" w14:textId="77777777" w:rsidR="00D719D7" w:rsidRPr="00BB165A" w:rsidRDefault="00D719D7" w:rsidP="00D719D7">
            <w:pPr>
              <w:spacing w:after="0"/>
              <w:ind w:left="284"/>
              <w:rPr>
                <w:i/>
                <w:sz w:val="16"/>
                <w:lang w:eastAsia="en-AU"/>
              </w:rPr>
            </w:pPr>
            <w:r w:rsidRPr="00BB165A">
              <w:rPr>
                <w:i/>
                <w:sz w:val="16"/>
                <w:lang w:eastAsia="en-AU"/>
              </w:rPr>
              <w:t>Academic staff</w:t>
            </w:r>
          </w:p>
        </w:tc>
        <w:tc>
          <w:tcPr>
            <w:tcW w:w="0" w:type="dxa"/>
            <w:tcBorders>
              <w:top w:val="nil"/>
              <w:left w:val="nil"/>
              <w:bottom w:val="single" w:sz="4" w:space="0" w:color="auto"/>
              <w:right w:val="nil"/>
            </w:tcBorders>
            <w:shd w:val="clear" w:color="auto" w:fill="auto"/>
            <w:vAlign w:val="center"/>
          </w:tcPr>
          <w:p w14:paraId="58186EC0" w14:textId="33D33A18" w:rsidR="00D719D7" w:rsidRPr="004D0C7A" w:rsidRDefault="00772187" w:rsidP="00E93C66">
            <w:pPr>
              <w:spacing w:after="0"/>
              <w:jc w:val="center"/>
              <w:rPr>
                <w:sz w:val="16"/>
                <w:szCs w:val="16"/>
                <w:lang w:eastAsia="en-AU"/>
              </w:rPr>
            </w:pPr>
            <w:r w:rsidRPr="00416131">
              <w:rPr>
                <w:sz w:val="16"/>
                <w:szCs w:val="16"/>
              </w:rPr>
              <w:t>3.5%</w:t>
            </w:r>
          </w:p>
        </w:tc>
        <w:tc>
          <w:tcPr>
            <w:tcW w:w="0" w:type="dxa"/>
            <w:tcBorders>
              <w:top w:val="nil"/>
              <w:left w:val="nil"/>
              <w:bottom w:val="single" w:sz="4" w:space="0" w:color="auto"/>
              <w:right w:val="nil"/>
            </w:tcBorders>
            <w:shd w:val="clear" w:color="auto" w:fill="auto"/>
            <w:vAlign w:val="center"/>
          </w:tcPr>
          <w:p w14:paraId="3C5DAB3F" w14:textId="496870A0" w:rsidR="00D719D7" w:rsidRPr="004D0C7A" w:rsidRDefault="00772187">
            <w:pPr>
              <w:spacing w:after="0"/>
              <w:jc w:val="center"/>
              <w:rPr>
                <w:sz w:val="16"/>
                <w:szCs w:val="16"/>
              </w:rPr>
            </w:pPr>
            <w:r w:rsidRPr="00416131">
              <w:rPr>
                <w:sz w:val="16"/>
                <w:szCs w:val="16"/>
              </w:rPr>
              <w:t>-</w:t>
            </w:r>
          </w:p>
        </w:tc>
        <w:tc>
          <w:tcPr>
            <w:tcW w:w="0" w:type="dxa"/>
            <w:tcBorders>
              <w:top w:val="nil"/>
              <w:left w:val="nil"/>
              <w:bottom w:val="single" w:sz="4" w:space="0" w:color="auto"/>
              <w:right w:val="nil"/>
            </w:tcBorders>
            <w:shd w:val="clear" w:color="000000" w:fill="F2F2F2"/>
            <w:vAlign w:val="center"/>
          </w:tcPr>
          <w:p w14:paraId="0320196D" w14:textId="46B59606" w:rsidR="00D719D7" w:rsidRPr="006A7720" w:rsidRDefault="00772187">
            <w:pPr>
              <w:spacing w:after="0"/>
              <w:jc w:val="center"/>
              <w:rPr>
                <w:rFonts w:cs="Arial"/>
                <w:sz w:val="16"/>
                <w:szCs w:val="16"/>
              </w:rPr>
            </w:pPr>
            <w:r w:rsidRPr="00416131">
              <w:rPr>
                <w:sz w:val="16"/>
                <w:szCs w:val="16"/>
              </w:rPr>
              <w:t>0.2%</w:t>
            </w:r>
          </w:p>
        </w:tc>
        <w:tc>
          <w:tcPr>
            <w:tcW w:w="0" w:type="dxa"/>
            <w:tcBorders>
              <w:top w:val="nil"/>
              <w:left w:val="nil"/>
              <w:bottom w:val="single" w:sz="4" w:space="0" w:color="auto"/>
              <w:right w:val="nil"/>
            </w:tcBorders>
            <w:shd w:val="clear" w:color="000000" w:fill="F2F2F2"/>
            <w:vAlign w:val="center"/>
          </w:tcPr>
          <w:p w14:paraId="3A69A496" w14:textId="3F492D3C" w:rsidR="00D719D7" w:rsidRPr="006A7720" w:rsidRDefault="00772187">
            <w:pPr>
              <w:spacing w:after="0"/>
              <w:jc w:val="center"/>
              <w:rPr>
                <w:rFonts w:cs="Arial"/>
                <w:sz w:val="16"/>
                <w:szCs w:val="16"/>
              </w:rPr>
            </w:pPr>
            <w:r w:rsidRPr="00416131">
              <w:rPr>
                <w:sz w:val="16"/>
                <w:szCs w:val="16"/>
              </w:rPr>
              <w:t>-</w:t>
            </w:r>
          </w:p>
        </w:tc>
        <w:tc>
          <w:tcPr>
            <w:tcW w:w="0" w:type="dxa"/>
            <w:tcBorders>
              <w:top w:val="nil"/>
              <w:left w:val="nil"/>
              <w:bottom w:val="single" w:sz="4" w:space="0" w:color="auto"/>
              <w:right w:val="nil"/>
            </w:tcBorders>
            <w:shd w:val="clear" w:color="auto" w:fill="auto"/>
            <w:vAlign w:val="center"/>
          </w:tcPr>
          <w:p w14:paraId="11A85E46" w14:textId="75593474" w:rsidR="00D719D7" w:rsidRPr="006A7720" w:rsidRDefault="00772187">
            <w:pPr>
              <w:spacing w:after="0"/>
              <w:jc w:val="center"/>
              <w:rPr>
                <w:rFonts w:cs="Arial"/>
                <w:sz w:val="16"/>
                <w:szCs w:val="16"/>
              </w:rPr>
            </w:pPr>
            <w:r w:rsidRPr="00416131">
              <w:rPr>
                <w:sz w:val="16"/>
                <w:szCs w:val="16"/>
              </w:rPr>
              <w:t>3.6%</w:t>
            </w:r>
          </w:p>
        </w:tc>
        <w:tc>
          <w:tcPr>
            <w:tcW w:w="0" w:type="dxa"/>
            <w:tcBorders>
              <w:top w:val="nil"/>
              <w:left w:val="nil"/>
              <w:bottom w:val="single" w:sz="4" w:space="0" w:color="auto"/>
              <w:right w:val="nil"/>
            </w:tcBorders>
            <w:shd w:val="clear" w:color="auto" w:fill="auto"/>
            <w:vAlign w:val="center"/>
          </w:tcPr>
          <w:p w14:paraId="21169A61" w14:textId="7A3E484A" w:rsidR="00D719D7" w:rsidRPr="006A7720" w:rsidRDefault="00772187">
            <w:pPr>
              <w:spacing w:after="0"/>
              <w:jc w:val="center"/>
              <w:rPr>
                <w:rFonts w:cs="Arial"/>
                <w:sz w:val="16"/>
                <w:szCs w:val="16"/>
              </w:rPr>
            </w:pPr>
            <w:r w:rsidRPr="00416131">
              <w:rPr>
                <w:sz w:val="16"/>
                <w:szCs w:val="16"/>
              </w:rPr>
              <w:t>-</w:t>
            </w:r>
          </w:p>
        </w:tc>
      </w:tr>
      <w:tr w:rsidR="00D719D7" w:rsidRPr="00BB165A" w14:paraId="1A168DEF" w14:textId="11FD8B0A" w:rsidTr="00416131">
        <w:tc>
          <w:tcPr>
            <w:tcW w:w="0" w:type="dxa"/>
          </w:tcPr>
          <w:p w14:paraId="62587E21" w14:textId="77777777" w:rsidR="00D719D7" w:rsidRPr="00BB165A" w:rsidRDefault="00D719D7" w:rsidP="00D719D7">
            <w:pPr>
              <w:spacing w:after="0"/>
              <w:ind w:left="284"/>
              <w:rPr>
                <w:i/>
                <w:sz w:val="16"/>
                <w:lang w:eastAsia="en-AU"/>
              </w:rPr>
            </w:pPr>
            <w:r w:rsidRPr="00BB165A">
              <w:rPr>
                <w:i/>
                <w:sz w:val="16"/>
                <w:lang w:eastAsia="en-AU"/>
              </w:rPr>
              <w:t>Casual academic staff</w:t>
            </w:r>
          </w:p>
        </w:tc>
        <w:tc>
          <w:tcPr>
            <w:tcW w:w="0" w:type="dxa"/>
            <w:tcBorders>
              <w:top w:val="nil"/>
              <w:left w:val="nil"/>
              <w:bottom w:val="single" w:sz="4" w:space="0" w:color="auto"/>
              <w:right w:val="nil"/>
            </w:tcBorders>
            <w:shd w:val="clear" w:color="auto" w:fill="auto"/>
            <w:vAlign w:val="center"/>
          </w:tcPr>
          <w:p w14:paraId="77EBA6A7" w14:textId="42682C5A" w:rsidR="00D719D7" w:rsidRPr="004D0C7A" w:rsidRDefault="00772187" w:rsidP="00E93C66">
            <w:pPr>
              <w:spacing w:after="0"/>
              <w:jc w:val="center"/>
              <w:rPr>
                <w:sz w:val="16"/>
                <w:szCs w:val="16"/>
                <w:lang w:eastAsia="en-AU"/>
              </w:rPr>
            </w:pPr>
            <w:r w:rsidRPr="00416131">
              <w:rPr>
                <w:sz w:val="16"/>
                <w:szCs w:val="16"/>
              </w:rPr>
              <w:t>4.4%</w:t>
            </w:r>
          </w:p>
        </w:tc>
        <w:tc>
          <w:tcPr>
            <w:tcW w:w="0" w:type="dxa"/>
            <w:tcBorders>
              <w:top w:val="nil"/>
              <w:left w:val="nil"/>
              <w:bottom w:val="single" w:sz="4" w:space="0" w:color="auto"/>
              <w:right w:val="nil"/>
            </w:tcBorders>
            <w:shd w:val="clear" w:color="auto" w:fill="auto"/>
            <w:vAlign w:val="center"/>
          </w:tcPr>
          <w:p w14:paraId="26655FBD" w14:textId="317A6112" w:rsidR="00D719D7" w:rsidRPr="004D0C7A" w:rsidRDefault="00772187">
            <w:pPr>
              <w:spacing w:after="0"/>
              <w:jc w:val="center"/>
              <w:rPr>
                <w:sz w:val="16"/>
                <w:szCs w:val="16"/>
              </w:rPr>
            </w:pPr>
            <w:r w:rsidRPr="00416131">
              <w:rPr>
                <w:sz w:val="16"/>
                <w:szCs w:val="16"/>
              </w:rPr>
              <w:t>-</w:t>
            </w:r>
          </w:p>
        </w:tc>
        <w:tc>
          <w:tcPr>
            <w:tcW w:w="0" w:type="dxa"/>
            <w:tcBorders>
              <w:top w:val="nil"/>
              <w:left w:val="nil"/>
              <w:bottom w:val="single" w:sz="4" w:space="0" w:color="auto"/>
              <w:right w:val="nil"/>
            </w:tcBorders>
            <w:shd w:val="clear" w:color="000000" w:fill="F2F2F2"/>
            <w:vAlign w:val="center"/>
          </w:tcPr>
          <w:p w14:paraId="73D5B00A" w14:textId="3EEACA5A" w:rsidR="00D719D7" w:rsidRPr="006A7720" w:rsidRDefault="00772187">
            <w:pPr>
              <w:spacing w:after="0"/>
              <w:jc w:val="center"/>
              <w:rPr>
                <w:rFonts w:cs="Arial"/>
                <w:sz w:val="16"/>
                <w:szCs w:val="16"/>
              </w:rPr>
            </w:pPr>
            <w:r w:rsidRPr="00416131">
              <w:rPr>
                <w:sz w:val="16"/>
                <w:szCs w:val="16"/>
              </w:rPr>
              <w:t>4.5%</w:t>
            </w:r>
          </w:p>
        </w:tc>
        <w:tc>
          <w:tcPr>
            <w:tcW w:w="0" w:type="dxa"/>
            <w:tcBorders>
              <w:top w:val="nil"/>
              <w:left w:val="nil"/>
              <w:bottom w:val="single" w:sz="4" w:space="0" w:color="auto"/>
              <w:right w:val="nil"/>
            </w:tcBorders>
            <w:shd w:val="clear" w:color="000000" w:fill="F2F2F2"/>
            <w:vAlign w:val="center"/>
          </w:tcPr>
          <w:p w14:paraId="3787D55A" w14:textId="5061BE3A" w:rsidR="00D719D7" w:rsidRPr="006A7720" w:rsidRDefault="00772187">
            <w:pPr>
              <w:spacing w:after="0"/>
              <w:jc w:val="center"/>
              <w:rPr>
                <w:rFonts w:cs="Arial"/>
                <w:sz w:val="16"/>
                <w:szCs w:val="16"/>
              </w:rPr>
            </w:pPr>
            <w:r w:rsidRPr="00416131">
              <w:rPr>
                <w:sz w:val="16"/>
                <w:szCs w:val="16"/>
              </w:rPr>
              <w:t>-</w:t>
            </w:r>
          </w:p>
        </w:tc>
        <w:tc>
          <w:tcPr>
            <w:tcW w:w="0" w:type="dxa"/>
            <w:tcBorders>
              <w:top w:val="nil"/>
              <w:left w:val="nil"/>
              <w:bottom w:val="single" w:sz="4" w:space="0" w:color="auto"/>
              <w:right w:val="nil"/>
            </w:tcBorders>
            <w:shd w:val="clear" w:color="auto" w:fill="auto"/>
            <w:vAlign w:val="center"/>
          </w:tcPr>
          <w:p w14:paraId="5C846180" w14:textId="50CBA79D" w:rsidR="00D719D7" w:rsidRPr="006A7720" w:rsidRDefault="00772187">
            <w:pPr>
              <w:spacing w:after="0"/>
              <w:jc w:val="center"/>
              <w:rPr>
                <w:rFonts w:cs="Arial"/>
                <w:sz w:val="16"/>
                <w:szCs w:val="16"/>
              </w:rPr>
            </w:pPr>
            <w:r w:rsidRPr="00416131">
              <w:rPr>
                <w:sz w:val="16"/>
                <w:szCs w:val="16"/>
              </w:rPr>
              <w:t>0.1%</w:t>
            </w:r>
          </w:p>
        </w:tc>
        <w:tc>
          <w:tcPr>
            <w:tcW w:w="0" w:type="dxa"/>
            <w:tcBorders>
              <w:top w:val="nil"/>
              <w:left w:val="nil"/>
              <w:bottom w:val="single" w:sz="4" w:space="0" w:color="auto"/>
              <w:right w:val="nil"/>
            </w:tcBorders>
            <w:shd w:val="clear" w:color="auto" w:fill="auto"/>
            <w:vAlign w:val="center"/>
          </w:tcPr>
          <w:p w14:paraId="46CBA6F2" w14:textId="2FEA0522" w:rsidR="00D719D7" w:rsidRPr="006A7720" w:rsidRDefault="00772187">
            <w:pPr>
              <w:spacing w:after="0"/>
              <w:jc w:val="center"/>
              <w:rPr>
                <w:rFonts w:cs="Arial"/>
                <w:sz w:val="16"/>
                <w:szCs w:val="16"/>
              </w:rPr>
            </w:pPr>
            <w:r w:rsidRPr="00416131">
              <w:rPr>
                <w:sz w:val="16"/>
                <w:szCs w:val="16"/>
              </w:rPr>
              <w:t>-</w:t>
            </w:r>
          </w:p>
        </w:tc>
      </w:tr>
      <w:tr w:rsidR="00D719D7" w:rsidRPr="00BB165A" w14:paraId="240010C3" w14:textId="0CF6E7F0" w:rsidTr="00416131">
        <w:tc>
          <w:tcPr>
            <w:tcW w:w="0" w:type="dxa"/>
          </w:tcPr>
          <w:p w14:paraId="6E4FCD1B" w14:textId="77777777" w:rsidR="00D719D7" w:rsidRPr="00BB165A" w:rsidRDefault="00D719D7" w:rsidP="00D719D7">
            <w:pPr>
              <w:spacing w:after="0"/>
              <w:ind w:left="284"/>
              <w:rPr>
                <w:i/>
                <w:sz w:val="16"/>
                <w:lang w:eastAsia="en-AU"/>
              </w:rPr>
            </w:pPr>
            <w:r w:rsidRPr="00BB165A">
              <w:rPr>
                <w:i/>
                <w:sz w:val="16"/>
                <w:lang w:eastAsia="en-AU"/>
              </w:rPr>
              <w:t>Non-academic staff</w:t>
            </w:r>
          </w:p>
        </w:tc>
        <w:tc>
          <w:tcPr>
            <w:tcW w:w="0" w:type="dxa"/>
            <w:tcBorders>
              <w:top w:val="nil"/>
              <w:left w:val="nil"/>
              <w:bottom w:val="single" w:sz="4" w:space="0" w:color="auto"/>
              <w:right w:val="nil"/>
            </w:tcBorders>
            <w:shd w:val="clear" w:color="auto" w:fill="auto"/>
            <w:vAlign w:val="center"/>
          </w:tcPr>
          <w:p w14:paraId="067C895C" w14:textId="3FD3ADB0" w:rsidR="00D719D7" w:rsidRPr="004D0C7A" w:rsidRDefault="00772187" w:rsidP="00E93C66">
            <w:pPr>
              <w:spacing w:after="0"/>
              <w:jc w:val="center"/>
              <w:rPr>
                <w:sz w:val="16"/>
                <w:szCs w:val="16"/>
                <w:lang w:eastAsia="en-AU"/>
              </w:rPr>
            </w:pPr>
            <w:r w:rsidRPr="00416131">
              <w:rPr>
                <w:sz w:val="16"/>
                <w:szCs w:val="16"/>
              </w:rPr>
              <w:t>3.7%</w:t>
            </w:r>
          </w:p>
        </w:tc>
        <w:tc>
          <w:tcPr>
            <w:tcW w:w="0" w:type="dxa"/>
            <w:tcBorders>
              <w:top w:val="nil"/>
              <w:left w:val="nil"/>
              <w:bottom w:val="single" w:sz="4" w:space="0" w:color="auto"/>
              <w:right w:val="nil"/>
            </w:tcBorders>
            <w:shd w:val="clear" w:color="auto" w:fill="auto"/>
            <w:vAlign w:val="center"/>
          </w:tcPr>
          <w:p w14:paraId="72AE4E55" w14:textId="36BB0597" w:rsidR="00D719D7" w:rsidRPr="004D0C7A" w:rsidRDefault="00772187">
            <w:pPr>
              <w:spacing w:after="0"/>
              <w:jc w:val="center"/>
              <w:rPr>
                <w:sz w:val="16"/>
                <w:szCs w:val="16"/>
              </w:rPr>
            </w:pPr>
            <w:r w:rsidRPr="00416131">
              <w:rPr>
                <w:sz w:val="16"/>
                <w:szCs w:val="16"/>
              </w:rPr>
              <w:t>-</w:t>
            </w:r>
          </w:p>
        </w:tc>
        <w:tc>
          <w:tcPr>
            <w:tcW w:w="0" w:type="dxa"/>
            <w:tcBorders>
              <w:top w:val="nil"/>
              <w:left w:val="nil"/>
              <w:bottom w:val="single" w:sz="4" w:space="0" w:color="auto"/>
              <w:right w:val="nil"/>
            </w:tcBorders>
            <w:shd w:val="clear" w:color="000000" w:fill="F2F2F2"/>
            <w:vAlign w:val="center"/>
          </w:tcPr>
          <w:p w14:paraId="47E2C398" w14:textId="3FD244BA" w:rsidR="00D719D7" w:rsidRPr="006A7720" w:rsidRDefault="00772187">
            <w:pPr>
              <w:spacing w:after="0"/>
              <w:jc w:val="center"/>
              <w:rPr>
                <w:rFonts w:cs="Arial"/>
                <w:sz w:val="16"/>
                <w:szCs w:val="16"/>
              </w:rPr>
            </w:pPr>
            <w:r w:rsidRPr="00416131">
              <w:rPr>
                <w:sz w:val="16"/>
                <w:szCs w:val="16"/>
              </w:rPr>
              <w:t>2.8%</w:t>
            </w:r>
          </w:p>
        </w:tc>
        <w:tc>
          <w:tcPr>
            <w:tcW w:w="0" w:type="dxa"/>
            <w:tcBorders>
              <w:top w:val="nil"/>
              <w:left w:val="nil"/>
              <w:bottom w:val="single" w:sz="4" w:space="0" w:color="auto"/>
              <w:right w:val="nil"/>
            </w:tcBorders>
            <w:shd w:val="clear" w:color="000000" w:fill="F2F2F2"/>
            <w:vAlign w:val="center"/>
          </w:tcPr>
          <w:p w14:paraId="1600D585" w14:textId="00A3695E" w:rsidR="00D719D7" w:rsidRPr="006A7720" w:rsidRDefault="00772187">
            <w:pPr>
              <w:spacing w:after="0"/>
              <w:jc w:val="center"/>
              <w:rPr>
                <w:rFonts w:cs="Arial"/>
                <w:sz w:val="16"/>
                <w:szCs w:val="16"/>
              </w:rPr>
            </w:pPr>
            <w:r w:rsidRPr="00416131">
              <w:rPr>
                <w:sz w:val="16"/>
                <w:szCs w:val="16"/>
              </w:rPr>
              <w:t>-</w:t>
            </w:r>
          </w:p>
        </w:tc>
        <w:tc>
          <w:tcPr>
            <w:tcW w:w="0" w:type="dxa"/>
            <w:tcBorders>
              <w:top w:val="nil"/>
              <w:left w:val="nil"/>
              <w:bottom w:val="single" w:sz="4" w:space="0" w:color="auto"/>
              <w:right w:val="nil"/>
            </w:tcBorders>
            <w:shd w:val="clear" w:color="auto" w:fill="auto"/>
            <w:vAlign w:val="center"/>
          </w:tcPr>
          <w:p w14:paraId="04C0611B" w14:textId="180DEDCD" w:rsidR="00D719D7" w:rsidRPr="006A7720" w:rsidRDefault="00772187">
            <w:pPr>
              <w:spacing w:after="0"/>
              <w:jc w:val="center"/>
              <w:rPr>
                <w:rFonts w:cs="Arial"/>
                <w:sz w:val="16"/>
                <w:szCs w:val="16"/>
              </w:rPr>
            </w:pPr>
            <w:r w:rsidRPr="00416131">
              <w:rPr>
                <w:sz w:val="16"/>
                <w:szCs w:val="16"/>
              </w:rPr>
              <w:t>3.7%</w:t>
            </w:r>
          </w:p>
        </w:tc>
        <w:tc>
          <w:tcPr>
            <w:tcW w:w="0" w:type="dxa"/>
            <w:tcBorders>
              <w:top w:val="nil"/>
              <w:left w:val="nil"/>
              <w:bottom w:val="single" w:sz="4" w:space="0" w:color="auto"/>
              <w:right w:val="nil"/>
            </w:tcBorders>
            <w:shd w:val="clear" w:color="auto" w:fill="auto"/>
            <w:vAlign w:val="center"/>
          </w:tcPr>
          <w:p w14:paraId="772CA193" w14:textId="6968A338" w:rsidR="00D719D7" w:rsidRPr="006A7720" w:rsidRDefault="00772187">
            <w:pPr>
              <w:spacing w:after="0"/>
              <w:jc w:val="center"/>
              <w:rPr>
                <w:rFonts w:cs="Arial"/>
                <w:sz w:val="16"/>
                <w:szCs w:val="16"/>
              </w:rPr>
            </w:pPr>
            <w:r w:rsidRPr="00416131">
              <w:rPr>
                <w:sz w:val="16"/>
                <w:szCs w:val="16"/>
              </w:rPr>
              <w:t>-</w:t>
            </w:r>
          </w:p>
        </w:tc>
      </w:tr>
      <w:tr w:rsidR="00D719D7" w:rsidRPr="00BB165A" w14:paraId="23B7417B" w14:textId="5E7FA808" w:rsidTr="00416131">
        <w:tc>
          <w:tcPr>
            <w:tcW w:w="0" w:type="dxa"/>
          </w:tcPr>
          <w:p w14:paraId="318FC250" w14:textId="77777777" w:rsidR="00D719D7" w:rsidRPr="00BB165A" w:rsidRDefault="00D719D7" w:rsidP="00D719D7">
            <w:pPr>
              <w:spacing w:after="0"/>
              <w:rPr>
                <w:sz w:val="16"/>
              </w:rPr>
            </w:pPr>
            <w:r w:rsidRPr="00BB165A">
              <w:rPr>
                <w:sz w:val="16"/>
                <w:lang w:eastAsia="en-AU"/>
              </w:rPr>
              <w:t>Non-staff costs</w:t>
            </w:r>
          </w:p>
        </w:tc>
        <w:tc>
          <w:tcPr>
            <w:tcW w:w="0" w:type="dxa"/>
            <w:tcBorders>
              <w:top w:val="nil"/>
              <w:left w:val="nil"/>
              <w:bottom w:val="single" w:sz="4" w:space="0" w:color="auto"/>
              <w:right w:val="nil"/>
            </w:tcBorders>
            <w:shd w:val="clear" w:color="auto" w:fill="auto"/>
            <w:vAlign w:val="center"/>
          </w:tcPr>
          <w:p w14:paraId="731E36C0" w14:textId="6E4A8733" w:rsidR="00D719D7" w:rsidRPr="004D0C7A" w:rsidRDefault="00772187" w:rsidP="00E93C66">
            <w:pPr>
              <w:spacing w:after="0"/>
              <w:jc w:val="center"/>
              <w:rPr>
                <w:sz w:val="16"/>
                <w:szCs w:val="16"/>
              </w:rPr>
            </w:pPr>
            <w:r w:rsidRPr="00416131">
              <w:rPr>
                <w:sz w:val="16"/>
                <w:szCs w:val="16"/>
              </w:rPr>
              <w:t>-0.8%</w:t>
            </w:r>
          </w:p>
        </w:tc>
        <w:tc>
          <w:tcPr>
            <w:tcW w:w="0" w:type="dxa"/>
            <w:tcBorders>
              <w:top w:val="nil"/>
              <w:left w:val="nil"/>
              <w:bottom w:val="single" w:sz="4" w:space="0" w:color="auto"/>
              <w:right w:val="nil"/>
            </w:tcBorders>
            <w:shd w:val="clear" w:color="auto" w:fill="auto"/>
            <w:vAlign w:val="center"/>
          </w:tcPr>
          <w:p w14:paraId="69274CB9" w14:textId="3C31AE9B" w:rsidR="00D719D7" w:rsidRPr="004D0C7A" w:rsidRDefault="00772187">
            <w:pPr>
              <w:spacing w:after="0"/>
              <w:jc w:val="center"/>
              <w:rPr>
                <w:sz w:val="16"/>
                <w:szCs w:val="16"/>
              </w:rPr>
            </w:pPr>
            <w:r w:rsidRPr="00416131">
              <w:rPr>
                <w:sz w:val="16"/>
                <w:szCs w:val="16"/>
              </w:rPr>
              <w:t>1.1%</w:t>
            </w:r>
          </w:p>
        </w:tc>
        <w:tc>
          <w:tcPr>
            <w:tcW w:w="0" w:type="dxa"/>
            <w:tcBorders>
              <w:top w:val="nil"/>
              <w:left w:val="nil"/>
              <w:bottom w:val="single" w:sz="4" w:space="0" w:color="auto"/>
              <w:right w:val="nil"/>
            </w:tcBorders>
            <w:shd w:val="clear" w:color="000000" w:fill="F2F2F2"/>
            <w:vAlign w:val="center"/>
          </w:tcPr>
          <w:p w14:paraId="097C0D80" w14:textId="59044C8B" w:rsidR="00D719D7" w:rsidRPr="006A7720" w:rsidRDefault="00772187">
            <w:pPr>
              <w:spacing w:after="0"/>
              <w:jc w:val="center"/>
              <w:rPr>
                <w:rFonts w:cs="Arial"/>
                <w:sz w:val="16"/>
                <w:szCs w:val="16"/>
              </w:rPr>
            </w:pPr>
            <w:r w:rsidRPr="00416131">
              <w:rPr>
                <w:sz w:val="16"/>
                <w:szCs w:val="16"/>
              </w:rPr>
              <w:t>-1.2%</w:t>
            </w:r>
          </w:p>
        </w:tc>
        <w:tc>
          <w:tcPr>
            <w:tcW w:w="0" w:type="dxa"/>
            <w:tcBorders>
              <w:top w:val="nil"/>
              <w:left w:val="nil"/>
              <w:bottom w:val="single" w:sz="4" w:space="0" w:color="auto"/>
              <w:right w:val="nil"/>
            </w:tcBorders>
            <w:shd w:val="clear" w:color="000000" w:fill="F2F2F2"/>
            <w:vAlign w:val="center"/>
          </w:tcPr>
          <w:p w14:paraId="2994F9DD" w14:textId="14F96157" w:rsidR="00D719D7" w:rsidRPr="006A7720" w:rsidRDefault="00772187">
            <w:pPr>
              <w:spacing w:after="0"/>
              <w:jc w:val="center"/>
              <w:rPr>
                <w:rFonts w:cs="Arial"/>
                <w:sz w:val="16"/>
                <w:szCs w:val="16"/>
              </w:rPr>
            </w:pPr>
            <w:r w:rsidRPr="00416131">
              <w:rPr>
                <w:sz w:val="16"/>
                <w:szCs w:val="16"/>
              </w:rPr>
              <w:t>-1.3%</w:t>
            </w:r>
          </w:p>
        </w:tc>
        <w:tc>
          <w:tcPr>
            <w:tcW w:w="0" w:type="dxa"/>
            <w:tcBorders>
              <w:top w:val="nil"/>
              <w:left w:val="nil"/>
              <w:bottom w:val="single" w:sz="4" w:space="0" w:color="auto"/>
              <w:right w:val="nil"/>
            </w:tcBorders>
            <w:shd w:val="clear" w:color="auto" w:fill="auto"/>
            <w:vAlign w:val="center"/>
          </w:tcPr>
          <w:p w14:paraId="52592689" w14:textId="3E180F36" w:rsidR="00D719D7" w:rsidRPr="006A7720" w:rsidRDefault="00772187">
            <w:pPr>
              <w:spacing w:after="0"/>
              <w:jc w:val="center"/>
              <w:rPr>
                <w:rFonts w:cs="Arial"/>
                <w:sz w:val="16"/>
                <w:szCs w:val="16"/>
              </w:rPr>
            </w:pPr>
            <w:r w:rsidRPr="00416131">
              <w:rPr>
                <w:sz w:val="16"/>
                <w:szCs w:val="16"/>
              </w:rPr>
              <w:t>-2.8%</w:t>
            </w:r>
          </w:p>
        </w:tc>
        <w:tc>
          <w:tcPr>
            <w:tcW w:w="0" w:type="dxa"/>
            <w:tcBorders>
              <w:top w:val="nil"/>
              <w:left w:val="nil"/>
              <w:bottom w:val="single" w:sz="4" w:space="0" w:color="auto"/>
              <w:right w:val="nil"/>
            </w:tcBorders>
            <w:shd w:val="clear" w:color="auto" w:fill="auto"/>
            <w:vAlign w:val="center"/>
          </w:tcPr>
          <w:p w14:paraId="625E120C" w14:textId="3C0C64D5" w:rsidR="00D719D7" w:rsidRPr="006A7720" w:rsidRDefault="00772187">
            <w:pPr>
              <w:spacing w:after="0"/>
              <w:jc w:val="center"/>
              <w:rPr>
                <w:rFonts w:cs="Arial"/>
                <w:sz w:val="16"/>
                <w:szCs w:val="16"/>
              </w:rPr>
            </w:pPr>
            <w:r w:rsidRPr="00416131">
              <w:rPr>
                <w:sz w:val="16"/>
                <w:szCs w:val="16"/>
              </w:rPr>
              <w:t>-3.7%</w:t>
            </w:r>
          </w:p>
        </w:tc>
      </w:tr>
      <w:tr w:rsidR="00D719D7" w:rsidRPr="00BB165A" w14:paraId="62DE806A" w14:textId="58EA9408" w:rsidTr="00416131">
        <w:tc>
          <w:tcPr>
            <w:tcW w:w="0" w:type="dxa"/>
          </w:tcPr>
          <w:p w14:paraId="4857D138" w14:textId="77777777" w:rsidR="00D719D7" w:rsidRPr="00BB165A" w:rsidRDefault="00D719D7" w:rsidP="00D719D7">
            <w:pPr>
              <w:spacing w:after="0"/>
              <w:ind w:left="284"/>
              <w:rPr>
                <w:i/>
                <w:sz w:val="16"/>
                <w:lang w:eastAsia="en-AU"/>
              </w:rPr>
            </w:pPr>
            <w:r w:rsidRPr="00BB165A">
              <w:rPr>
                <w:i/>
                <w:sz w:val="16"/>
                <w:lang w:eastAsia="en-AU"/>
              </w:rPr>
              <w:t>Depreciation, amortisation, repairs, maintenance, borrowing, bad debts</w:t>
            </w:r>
          </w:p>
        </w:tc>
        <w:tc>
          <w:tcPr>
            <w:tcW w:w="0" w:type="dxa"/>
            <w:tcBorders>
              <w:top w:val="nil"/>
              <w:left w:val="nil"/>
              <w:bottom w:val="single" w:sz="4" w:space="0" w:color="auto"/>
              <w:right w:val="nil"/>
            </w:tcBorders>
            <w:shd w:val="clear" w:color="auto" w:fill="auto"/>
            <w:vAlign w:val="center"/>
          </w:tcPr>
          <w:p w14:paraId="6C021A65" w14:textId="42850D87" w:rsidR="00D719D7" w:rsidRPr="004D0C7A" w:rsidRDefault="00772187" w:rsidP="00E93C66">
            <w:pPr>
              <w:spacing w:after="0"/>
              <w:jc w:val="center"/>
              <w:rPr>
                <w:sz w:val="16"/>
                <w:szCs w:val="16"/>
                <w:lang w:eastAsia="en-AU"/>
              </w:rPr>
            </w:pPr>
            <w:r w:rsidRPr="00416131">
              <w:rPr>
                <w:sz w:val="16"/>
                <w:szCs w:val="16"/>
              </w:rPr>
              <w:t>2.5%</w:t>
            </w:r>
          </w:p>
        </w:tc>
        <w:tc>
          <w:tcPr>
            <w:tcW w:w="0" w:type="dxa"/>
            <w:tcBorders>
              <w:top w:val="nil"/>
              <w:left w:val="nil"/>
              <w:bottom w:val="single" w:sz="4" w:space="0" w:color="auto"/>
              <w:right w:val="nil"/>
            </w:tcBorders>
            <w:shd w:val="clear" w:color="auto" w:fill="auto"/>
            <w:vAlign w:val="center"/>
          </w:tcPr>
          <w:p w14:paraId="27BB98B8" w14:textId="0564DF32" w:rsidR="00D719D7" w:rsidRPr="004D0C7A" w:rsidRDefault="00772187">
            <w:pPr>
              <w:spacing w:after="0"/>
              <w:jc w:val="center"/>
              <w:rPr>
                <w:sz w:val="16"/>
                <w:szCs w:val="16"/>
              </w:rPr>
            </w:pPr>
            <w:r w:rsidRPr="00416131">
              <w:rPr>
                <w:sz w:val="16"/>
                <w:szCs w:val="16"/>
              </w:rPr>
              <w:t>-</w:t>
            </w:r>
          </w:p>
        </w:tc>
        <w:tc>
          <w:tcPr>
            <w:tcW w:w="0" w:type="dxa"/>
            <w:tcBorders>
              <w:top w:val="nil"/>
              <w:left w:val="nil"/>
              <w:bottom w:val="single" w:sz="4" w:space="0" w:color="auto"/>
              <w:right w:val="nil"/>
            </w:tcBorders>
            <w:shd w:val="clear" w:color="000000" w:fill="F2F2F2"/>
            <w:vAlign w:val="center"/>
          </w:tcPr>
          <w:p w14:paraId="04DE920C" w14:textId="09D32AE7" w:rsidR="00D719D7" w:rsidRPr="006A7720" w:rsidRDefault="00772187">
            <w:pPr>
              <w:spacing w:after="0"/>
              <w:jc w:val="center"/>
              <w:rPr>
                <w:rFonts w:cs="Arial"/>
                <w:sz w:val="16"/>
                <w:szCs w:val="16"/>
              </w:rPr>
            </w:pPr>
            <w:r w:rsidRPr="00416131">
              <w:rPr>
                <w:sz w:val="16"/>
                <w:szCs w:val="16"/>
              </w:rPr>
              <w:t>3.2%</w:t>
            </w:r>
          </w:p>
        </w:tc>
        <w:tc>
          <w:tcPr>
            <w:tcW w:w="0" w:type="dxa"/>
            <w:tcBorders>
              <w:top w:val="nil"/>
              <w:left w:val="nil"/>
              <w:bottom w:val="single" w:sz="4" w:space="0" w:color="auto"/>
              <w:right w:val="nil"/>
            </w:tcBorders>
            <w:shd w:val="clear" w:color="000000" w:fill="F2F2F2"/>
            <w:vAlign w:val="center"/>
          </w:tcPr>
          <w:p w14:paraId="00F561FC" w14:textId="05219A11" w:rsidR="00D719D7" w:rsidRPr="006A7720" w:rsidRDefault="00772187">
            <w:pPr>
              <w:spacing w:after="0"/>
              <w:jc w:val="center"/>
              <w:rPr>
                <w:rFonts w:cs="Arial"/>
                <w:sz w:val="16"/>
                <w:szCs w:val="16"/>
              </w:rPr>
            </w:pPr>
            <w:r w:rsidRPr="00416131">
              <w:rPr>
                <w:sz w:val="16"/>
                <w:szCs w:val="16"/>
              </w:rPr>
              <w:t>-</w:t>
            </w:r>
          </w:p>
        </w:tc>
        <w:tc>
          <w:tcPr>
            <w:tcW w:w="0" w:type="dxa"/>
            <w:tcBorders>
              <w:top w:val="nil"/>
              <w:left w:val="nil"/>
              <w:bottom w:val="single" w:sz="4" w:space="0" w:color="auto"/>
              <w:right w:val="nil"/>
            </w:tcBorders>
            <w:shd w:val="clear" w:color="auto" w:fill="auto"/>
            <w:vAlign w:val="center"/>
          </w:tcPr>
          <w:p w14:paraId="59005D2B" w14:textId="75202FDA" w:rsidR="00D719D7" w:rsidRPr="006A7720" w:rsidRDefault="00772187">
            <w:pPr>
              <w:spacing w:after="0"/>
              <w:jc w:val="center"/>
              <w:rPr>
                <w:rFonts w:cs="Arial"/>
                <w:sz w:val="16"/>
                <w:szCs w:val="16"/>
              </w:rPr>
            </w:pPr>
            <w:r w:rsidRPr="00416131">
              <w:rPr>
                <w:sz w:val="16"/>
                <w:szCs w:val="16"/>
              </w:rPr>
              <w:t>4.3%</w:t>
            </w:r>
          </w:p>
        </w:tc>
        <w:tc>
          <w:tcPr>
            <w:tcW w:w="0" w:type="dxa"/>
            <w:tcBorders>
              <w:top w:val="nil"/>
              <w:left w:val="nil"/>
              <w:bottom w:val="single" w:sz="4" w:space="0" w:color="auto"/>
              <w:right w:val="nil"/>
            </w:tcBorders>
            <w:shd w:val="clear" w:color="auto" w:fill="auto"/>
            <w:vAlign w:val="center"/>
          </w:tcPr>
          <w:p w14:paraId="3A3DCE59" w14:textId="6ED8A871" w:rsidR="00D719D7" w:rsidRPr="006A7720" w:rsidRDefault="00772187">
            <w:pPr>
              <w:spacing w:after="0"/>
              <w:jc w:val="center"/>
              <w:rPr>
                <w:rFonts w:cs="Arial"/>
                <w:sz w:val="16"/>
                <w:szCs w:val="16"/>
              </w:rPr>
            </w:pPr>
            <w:r w:rsidRPr="00416131">
              <w:rPr>
                <w:sz w:val="16"/>
                <w:szCs w:val="16"/>
              </w:rPr>
              <w:t>-</w:t>
            </w:r>
          </w:p>
        </w:tc>
      </w:tr>
      <w:tr w:rsidR="00D719D7" w:rsidRPr="00BB165A" w14:paraId="39A3FBFA" w14:textId="5C5A80EA" w:rsidTr="00416131">
        <w:tc>
          <w:tcPr>
            <w:tcW w:w="0" w:type="dxa"/>
          </w:tcPr>
          <w:p w14:paraId="0CF15DD8" w14:textId="77777777" w:rsidR="00D719D7" w:rsidRPr="00BB165A" w:rsidRDefault="00D719D7" w:rsidP="00D719D7">
            <w:pPr>
              <w:spacing w:after="0"/>
              <w:ind w:left="284"/>
              <w:rPr>
                <w:i/>
                <w:sz w:val="16"/>
                <w:lang w:eastAsia="en-AU"/>
              </w:rPr>
            </w:pPr>
            <w:r w:rsidRPr="00BB165A">
              <w:rPr>
                <w:i/>
                <w:sz w:val="16"/>
                <w:lang w:eastAsia="en-AU"/>
              </w:rPr>
              <w:t>All other</w:t>
            </w:r>
          </w:p>
        </w:tc>
        <w:tc>
          <w:tcPr>
            <w:tcW w:w="0" w:type="dxa"/>
            <w:tcBorders>
              <w:top w:val="nil"/>
              <w:left w:val="nil"/>
              <w:bottom w:val="single" w:sz="4" w:space="0" w:color="auto"/>
              <w:right w:val="nil"/>
            </w:tcBorders>
            <w:shd w:val="clear" w:color="auto" w:fill="auto"/>
            <w:vAlign w:val="center"/>
          </w:tcPr>
          <w:p w14:paraId="22A9DA33" w14:textId="08C2E6C6" w:rsidR="00D719D7" w:rsidRPr="004D0C7A" w:rsidRDefault="00772187" w:rsidP="00E93C66">
            <w:pPr>
              <w:spacing w:after="0"/>
              <w:jc w:val="center"/>
              <w:rPr>
                <w:sz w:val="16"/>
                <w:szCs w:val="16"/>
                <w:lang w:eastAsia="en-AU"/>
              </w:rPr>
            </w:pPr>
            <w:r w:rsidRPr="00416131">
              <w:rPr>
                <w:sz w:val="16"/>
                <w:szCs w:val="16"/>
              </w:rPr>
              <w:t>-2.1%</w:t>
            </w:r>
          </w:p>
        </w:tc>
        <w:tc>
          <w:tcPr>
            <w:tcW w:w="0" w:type="dxa"/>
            <w:tcBorders>
              <w:top w:val="nil"/>
              <w:left w:val="nil"/>
              <w:bottom w:val="single" w:sz="4" w:space="0" w:color="auto"/>
              <w:right w:val="nil"/>
            </w:tcBorders>
            <w:shd w:val="clear" w:color="auto" w:fill="auto"/>
            <w:vAlign w:val="center"/>
          </w:tcPr>
          <w:p w14:paraId="692488E1" w14:textId="381BE6D0" w:rsidR="00D719D7" w:rsidRPr="004D0C7A" w:rsidRDefault="00772187">
            <w:pPr>
              <w:spacing w:after="0"/>
              <w:jc w:val="center"/>
              <w:rPr>
                <w:sz w:val="16"/>
                <w:szCs w:val="16"/>
              </w:rPr>
            </w:pPr>
            <w:r w:rsidRPr="00416131">
              <w:rPr>
                <w:sz w:val="16"/>
                <w:szCs w:val="16"/>
              </w:rPr>
              <w:t>-</w:t>
            </w:r>
          </w:p>
        </w:tc>
        <w:tc>
          <w:tcPr>
            <w:tcW w:w="0" w:type="dxa"/>
            <w:tcBorders>
              <w:top w:val="nil"/>
              <w:left w:val="nil"/>
              <w:bottom w:val="single" w:sz="4" w:space="0" w:color="auto"/>
              <w:right w:val="nil"/>
            </w:tcBorders>
            <w:shd w:val="clear" w:color="000000" w:fill="F2F2F2"/>
            <w:vAlign w:val="center"/>
          </w:tcPr>
          <w:p w14:paraId="7B042744" w14:textId="21728BD6" w:rsidR="00D719D7" w:rsidRPr="006A7720" w:rsidRDefault="00772187">
            <w:pPr>
              <w:spacing w:after="0"/>
              <w:jc w:val="center"/>
              <w:rPr>
                <w:rFonts w:cs="Arial"/>
                <w:sz w:val="16"/>
                <w:szCs w:val="16"/>
              </w:rPr>
            </w:pPr>
            <w:r w:rsidRPr="00416131">
              <w:rPr>
                <w:sz w:val="16"/>
                <w:szCs w:val="16"/>
              </w:rPr>
              <w:t>-2.8%</w:t>
            </w:r>
          </w:p>
        </w:tc>
        <w:tc>
          <w:tcPr>
            <w:tcW w:w="0" w:type="dxa"/>
            <w:tcBorders>
              <w:top w:val="nil"/>
              <w:left w:val="nil"/>
              <w:bottom w:val="single" w:sz="4" w:space="0" w:color="auto"/>
              <w:right w:val="nil"/>
            </w:tcBorders>
            <w:shd w:val="clear" w:color="000000" w:fill="F2F2F2"/>
            <w:vAlign w:val="center"/>
          </w:tcPr>
          <w:p w14:paraId="74D27640" w14:textId="426B5527" w:rsidR="00D719D7" w:rsidRPr="006A7720" w:rsidRDefault="00772187">
            <w:pPr>
              <w:spacing w:after="0"/>
              <w:jc w:val="center"/>
              <w:rPr>
                <w:rFonts w:cs="Arial"/>
                <w:sz w:val="16"/>
                <w:szCs w:val="16"/>
              </w:rPr>
            </w:pPr>
            <w:r w:rsidRPr="00416131">
              <w:rPr>
                <w:sz w:val="16"/>
                <w:szCs w:val="16"/>
              </w:rPr>
              <w:t>-</w:t>
            </w:r>
          </w:p>
        </w:tc>
        <w:tc>
          <w:tcPr>
            <w:tcW w:w="0" w:type="dxa"/>
            <w:tcBorders>
              <w:top w:val="nil"/>
              <w:left w:val="nil"/>
              <w:bottom w:val="single" w:sz="4" w:space="0" w:color="auto"/>
              <w:right w:val="nil"/>
            </w:tcBorders>
            <w:shd w:val="clear" w:color="auto" w:fill="auto"/>
            <w:vAlign w:val="center"/>
          </w:tcPr>
          <w:p w14:paraId="06540878" w14:textId="2AAE8CCA" w:rsidR="00D719D7" w:rsidRPr="006A7720" w:rsidRDefault="00772187">
            <w:pPr>
              <w:spacing w:after="0"/>
              <w:jc w:val="center"/>
              <w:rPr>
                <w:rFonts w:cs="Arial"/>
                <w:sz w:val="16"/>
                <w:szCs w:val="16"/>
              </w:rPr>
            </w:pPr>
            <w:r w:rsidRPr="00416131">
              <w:rPr>
                <w:sz w:val="16"/>
                <w:szCs w:val="16"/>
              </w:rPr>
              <w:t>-5.2%</w:t>
            </w:r>
          </w:p>
        </w:tc>
        <w:tc>
          <w:tcPr>
            <w:tcW w:w="0" w:type="dxa"/>
            <w:tcBorders>
              <w:top w:val="nil"/>
              <w:left w:val="nil"/>
              <w:bottom w:val="single" w:sz="4" w:space="0" w:color="auto"/>
              <w:right w:val="nil"/>
            </w:tcBorders>
            <w:shd w:val="clear" w:color="auto" w:fill="auto"/>
            <w:vAlign w:val="center"/>
          </w:tcPr>
          <w:p w14:paraId="171087B2" w14:textId="055BF023" w:rsidR="00D719D7" w:rsidRPr="006A7720" w:rsidRDefault="00772187">
            <w:pPr>
              <w:spacing w:after="0"/>
              <w:jc w:val="center"/>
              <w:rPr>
                <w:rFonts w:cs="Arial"/>
                <w:sz w:val="16"/>
                <w:szCs w:val="16"/>
              </w:rPr>
            </w:pPr>
            <w:r w:rsidRPr="00416131">
              <w:rPr>
                <w:sz w:val="16"/>
                <w:szCs w:val="16"/>
              </w:rPr>
              <w:t>-</w:t>
            </w:r>
          </w:p>
        </w:tc>
      </w:tr>
      <w:tr w:rsidR="00D719D7" w:rsidRPr="00BB165A" w14:paraId="59388855" w14:textId="4F98780D" w:rsidTr="00416131">
        <w:tc>
          <w:tcPr>
            <w:tcW w:w="0" w:type="dxa"/>
          </w:tcPr>
          <w:p w14:paraId="6306704C" w14:textId="77777777" w:rsidR="00D719D7" w:rsidRPr="00BB165A" w:rsidRDefault="00D719D7" w:rsidP="00D719D7">
            <w:pPr>
              <w:spacing w:after="0"/>
              <w:rPr>
                <w:sz w:val="16"/>
              </w:rPr>
            </w:pPr>
            <w:r w:rsidRPr="00BB165A">
              <w:rPr>
                <w:sz w:val="16"/>
                <w:lang w:eastAsia="en-AU"/>
              </w:rPr>
              <w:t>Total costs</w:t>
            </w:r>
          </w:p>
        </w:tc>
        <w:tc>
          <w:tcPr>
            <w:tcW w:w="0" w:type="dxa"/>
            <w:tcBorders>
              <w:top w:val="nil"/>
              <w:left w:val="nil"/>
              <w:bottom w:val="single" w:sz="4" w:space="0" w:color="auto"/>
              <w:right w:val="nil"/>
            </w:tcBorders>
            <w:shd w:val="clear" w:color="auto" w:fill="auto"/>
            <w:vAlign w:val="center"/>
          </w:tcPr>
          <w:p w14:paraId="090F0295" w14:textId="33181E85" w:rsidR="00D719D7" w:rsidRPr="004D0C7A" w:rsidRDefault="00772187" w:rsidP="00E93C66">
            <w:pPr>
              <w:spacing w:after="0"/>
              <w:jc w:val="center"/>
              <w:rPr>
                <w:sz w:val="16"/>
                <w:szCs w:val="16"/>
              </w:rPr>
            </w:pPr>
            <w:r w:rsidRPr="00416131">
              <w:rPr>
                <w:sz w:val="16"/>
                <w:szCs w:val="16"/>
              </w:rPr>
              <w:t>1.8%</w:t>
            </w:r>
          </w:p>
        </w:tc>
        <w:tc>
          <w:tcPr>
            <w:tcW w:w="0" w:type="dxa"/>
            <w:tcBorders>
              <w:top w:val="nil"/>
              <w:left w:val="nil"/>
              <w:bottom w:val="single" w:sz="4" w:space="0" w:color="auto"/>
              <w:right w:val="nil"/>
            </w:tcBorders>
            <w:shd w:val="clear" w:color="auto" w:fill="auto"/>
            <w:vAlign w:val="center"/>
          </w:tcPr>
          <w:p w14:paraId="1FE2C1FB" w14:textId="3F57A9CF" w:rsidR="00D719D7" w:rsidRPr="004D0C7A" w:rsidRDefault="00772187">
            <w:pPr>
              <w:spacing w:after="0"/>
              <w:jc w:val="center"/>
              <w:rPr>
                <w:sz w:val="16"/>
                <w:szCs w:val="16"/>
              </w:rPr>
            </w:pPr>
            <w:r w:rsidRPr="00416131">
              <w:rPr>
                <w:sz w:val="16"/>
                <w:szCs w:val="16"/>
              </w:rPr>
              <w:t>2.3%</w:t>
            </w:r>
          </w:p>
        </w:tc>
        <w:tc>
          <w:tcPr>
            <w:tcW w:w="0" w:type="dxa"/>
            <w:tcBorders>
              <w:top w:val="nil"/>
              <w:left w:val="nil"/>
              <w:bottom w:val="single" w:sz="4" w:space="0" w:color="auto"/>
              <w:right w:val="nil"/>
            </w:tcBorders>
            <w:shd w:val="clear" w:color="000000" w:fill="F2F2F2"/>
            <w:vAlign w:val="center"/>
          </w:tcPr>
          <w:p w14:paraId="0CFC4949" w14:textId="211A4DB5" w:rsidR="00D719D7" w:rsidRPr="006A7720" w:rsidRDefault="00772187">
            <w:pPr>
              <w:spacing w:after="0"/>
              <w:jc w:val="center"/>
              <w:rPr>
                <w:rFonts w:cs="Arial"/>
                <w:sz w:val="16"/>
                <w:szCs w:val="16"/>
              </w:rPr>
            </w:pPr>
            <w:r w:rsidRPr="00416131">
              <w:rPr>
                <w:sz w:val="16"/>
                <w:szCs w:val="16"/>
              </w:rPr>
              <w:t>0.6%</w:t>
            </w:r>
          </w:p>
        </w:tc>
        <w:tc>
          <w:tcPr>
            <w:tcW w:w="0" w:type="dxa"/>
            <w:tcBorders>
              <w:top w:val="nil"/>
              <w:left w:val="nil"/>
              <w:bottom w:val="single" w:sz="4" w:space="0" w:color="auto"/>
              <w:right w:val="nil"/>
            </w:tcBorders>
            <w:shd w:val="clear" w:color="000000" w:fill="F2F2F2"/>
            <w:vAlign w:val="center"/>
          </w:tcPr>
          <w:p w14:paraId="7EF298D4" w14:textId="0923D4A0" w:rsidR="00D719D7" w:rsidRPr="006A7720" w:rsidRDefault="00772187">
            <w:pPr>
              <w:spacing w:after="0"/>
              <w:jc w:val="center"/>
              <w:rPr>
                <w:rFonts w:cs="Arial"/>
                <w:sz w:val="16"/>
                <w:szCs w:val="16"/>
              </w:rPr>
            </w:pPr>
            <w:r w:rsidRPr="00416131">
              <w:rPr>
                <w:sz w:val="16"/>
                <w:szCs w:val="16"/>
              </w:rPr>
              <w:t>0.7%</w:t>
            </w:r>
          </w:p>
        </w:tc>
        <w:tc>
          <w:tcPr>
            <w:tcW w:w="0" w:type="dxa"/>
            <w:tcBorders>
              <w:top w:val="nil"/>
              <w:left w:val="nil"/>
              <w:bottom w:val="single" w:sz="4" w:space="0" w:color="auto"/>
              <w:right w:val="nil"/>
            </w:tcBorders>
            <w:shd w:val="clear" w:color="auto" w:fill="auto"/>
            <w:vAlign w:val="center"/>
          </w:tcPr>
          <w:p w14:paraId="39ECD288" w14:textId="3EA0B69F" w:rsidR="00D719D7" w:rsidRPr="006A7720" w:rsidRDefault="00772187">
            <w:pPr>
              <w:spacing w:after="0"/>
              <w:jc w:val="center"/>
              <w:rPr>
                <w:rFonts w:cs="Arial"/>
                <w:sz w:val="16"/>
                <w:szCs w:val="16"/>
              </w:rPr>
            </w:pPr>
            <w:r w:rsidRPr="00416131">
              <w:rPr>
                <w:sz w:val="16"/>
                <w:szCs w:val="16"/>
              </w:rPr>
              <w:t>0.8%</w:t>
            </w:r>
          </w:p>
        </w:tc>
        <w:tc>
          <w:tcPr>
            <w:tcW w:w="0" w:type="dxa"/>
            <w:tcBorders>
              <w:top w:val="nil"/>
              <w:left w:val="nil"/>
              <w:bottom w:val="single" w:sz="4" w:space="0" w:color="auto"/>
              <w:right w:val="nil"/>
            </w:tcBorders>
            <w:shd w:val="clear" w:color="auto" w:fill="auto"/>
            <w:vAlign w:val="center"/>
          </w:tcPr>
          <w:p w14:paraId="27427DAA" w14:textId="368AC9F4" w:rsidR="00D719D7" w:rsidRPr="006A7720" w:rsidRDefault="00772187">
            <w:pPr>
              <w:spacing w:after="0"/>
              <w:jc w:val="center"/>
              <w:rPr>
                <w:rFonts w:cs="Arial"/>
                <w:sz w:val="16"/>
                <w:szCs w:val="16"/>
              </w:rPr>
            </w:pPr>
            <w:r w:rsidRPr="00416131">
              <w:rPr>
                <w:sz w:val="16"/>
                <w:szCs w:val="16"/>
              </w:rPr>
              <w:t>0.1%</w:t>
            </w:r>
          </w:p>
        </w:tc>
      </w:tr>
    </w:tbl>
    <w:p w14:paraId="68D31006" w14:textId="42A1BA18" w:rsidR="001125F8" w:rsidRPr="00BB165A" w:rsidRDefault="001125F8" w:rsidP="001125F8">
      <w:pPr>
        <w:pStyle w:val="Source"/>
      </w:pPr>
      <w:r>
        <w:t>Source: Deloitte Access Economics and Department of Education</w:t>
      </w:r>
      <w:r w:rsidR="00922FED">
        <w:t>, Skills and Employment</w:t>
      </w:r>
      <w:r>
        <w:t xml:space="preserve">. </w:t>
      </w:r>
    </w:p>
    <w:p w14:paraId="0AC8E016" w14:textId="77777777" w:rsidR="001125F8" w:rsidRDefault="001125F8" w:rsidP="00700937"/>
    <w:p w14:paraId="36BBB905" w14:textId="77777777" w:rsidR="001125F8" w:rsidRDefault="001125F8" w:rsidP="00700937"/>
    <w:p w14:paraId="09FA84E8" w14:textId="68E510A0" w:rsidR="001125F8" w:rsidRDefault="001125F8" w:rsidP="00700937">
      <w:pPr>
        <w:sectPr w:rsidR="001125F8" w:rsidSect="000738BE">
          <w:pgSz w:w="16838" w:h="11906" w:orient="landscape" w:code="9"/>
          <w:pgMar w:top="1418" w:right="1985" w:bottom="1416" w:left="1134" w:header="680" w:footer="425" w:gutter="0"/>
          <w:cols w:space="284"/>
          <w:docGrid w:linePitch="360"/>
        </w:sectPr>
      </w:pPr>
    </w:p>
    <w:p w14:paraId="29FE1672" w14:textId="77777777" w:rsidR="00CE6DC4" w:rsidRPr="00BB165A" w:rsidRDefault="00CE6DC4" w:rsidP="006118C2">
      <w:pPr>
        <w:pStyle w:val="Heading2"/>
      </w:pPr>
      <w:bookmarkStart w:id="573" w:name="_Toc532245602"/>
      <w:bookmarkStart w:id="574" w:name="_Toc532376131"/>
      <w:bookmarkStart w:id="575" w:name="_Toc532245603"/>
      <w:bookmarkStart w:id="576" w:name="_Toc532376132"/>
      <w:bookmarkStart w:id="577" w:name="_Toc532245604"/>
      <w:bookmarkStart w:id="578" w:name="_Toc532376133"/>
      <w:bookmarkStart w:id="579" w:name="_Toc532245605"/>
      <w:bookmarkStart w:id="580" w:name="_Toc532376134"/>
      <w:bookmarkStart w:id="581" w:name="_Toc532245606"/>
      <w:bookmarkStart w:id="582" w:name="_Toc532376135"/>
      <w:bookmarkStart w:id="583" w:name="_Toc532245607"/>
      <w:bookmarkStart w:id="584" w:name="_Toc532376136"/>
      <w:bookmarkStart w:id="585" w:name="_Toc532245608"/>
      <w:bookmarkStart w:id="586" w:name="_Toc532376137"/>
      <w:bookmarkStart w:id="587" w:name="_Toc532245609"/>
      <w:bookmarkStart w:id="588" w:name="_Toc532376138"/>
      <w:bookmarkStart w:id="589" w:name="_Toc20417350"/>
      <w:bookmarkStart w:id="590" w:name="_Toc20417353"/>
      <w:bookmarkStart w:id="591" w:name="_Toc532224667"/>
      <w:bookmarkStart w:id="592" w:name="_Toc20417360"/>
      <w:bookmarkStart w:id="593" w:name="_Toc20417361"/>
      <w:bookmarkStart w:id="594" w:name="_Toc532376029"/>
      <w:bookmarkStart w:id="595" w:name="_Toc532224668"/>
      <w:bookmarkStart w:id="596" w:name="_Toc532376030"/>
      <w:bookmarkStart w:id="597" w:name="_Ref534706439"/>
      <w:bookmarkStart w:id="598" w:name="_Toc20246012"/>
      <w:bookmarkStart w:id="599" w:name="_Toc105776191"/>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sidRPr="00BB165A">
        <w:t>Examining costs ‘below the line’</w:t>
      </w:r>
      <w:bookmarkEnd w:id="597"/>
      <w:bookmarkEnd w:id="598"/>
      <w:bookmarkEnd w:id="599"/>
      <w:r w:rsidRPr="00BB165A">
        <w:t xml:space="preserve"> </w:t>
      </w:r>
    </w:p>
    <w:p w14:paraId="13AFE7C9" w14:textId="42E472AB" w:rsidR="00A4300D" w:rsidRPr="00BB165A" w:rsidRDefault="00CE6DC4" w:rsidP="00A4300D">
      <w:bookmarkStart w:id="600" w:name="_Toc529370392"/>
      <w:bookmarkStart w:id="601" w:name="_Toc529370419"/>
      <w:bookmarkStart w:id="602" w:name="_Toc529454491"/>
      <w:bookmarkStart w:id="603" w:name="_Toc529454583"/>
      <w:bookmarkStart w:id="604" w:name="_Toc529459995"/>
      <w:bookmarkStart w:id="605" w:name="_Toc529546367"/>
      <w:bookmarkStart w:id="606" w:name="_Toc529547007"/>
      <w:bookmarkStart w:id="607" w:name="_Toc529370393"/>
      <w:bookmarkStart w:id="608" w:name="_Toc529370420"/>
      <w:bookmarkStart w:id="609" w:name="_Toc529454492"/>
      <w:bookmarkStart w:id="610" w:name="_Toc529454584"/>
      <w:bookmarkStart w:id="611" w:name="_Toc529459996"/>
      <w:bookmarkStart w:id="612" w:name="_Toc529546368"/>
      <w:bookmarkStart w:id="613" w:name="_Toc529547008"/>
      <w:bookmarkStart w:id="614" w:name="_Toc529370394"/>
      <w:bookmarkStart w:id="615" w:name="_Toc529370421"/>
      <w:bookmarkStart w:id="616" w:name="_Toc529454493"/>
      <w:bookmarkStart w:id="617" w:name="_Toc529454585"/>
      <w:bookmarkStart w:id="618" w:name="_Toc529459997"/>
      <w:bookmarkStart w:id="619" w:name="_Toc529546369"/>
      <w:bookmarkStart w:id="620" w:name="_Toc529547009"/>
      <w:bookmarkStart w:id="621" w:name="_Toc529370395"/>
      <w:bookmarkStart w:id="622" w:name="_Toc529370422"/>
      <w:bookmarkStart w:id="623" w:name="_Toc529454494"/>
      <w:bookmarkStart w:id="624" w:name="_Toc529454586"/>
      <w:bookmarkStart w:id="625" w:name="_Toc529459998"/>
      <w:bookmarkStart w:id="626" w:name="_Toc529546370"/>
      <w:bookmarkStart w:id="627" w:name="_Toc529547010"/>
      <w:bookmarkStart w:id="628" w:name="_Toc529370396"/>
      <w:bookmarkStart w:id="629" w:name="_Toc529370423"/>
      <w:bookmarkStart w:id="630" w:name="_Toc529454495"/>
      <w:bookmarkStart w:id="631" w:name="_Toc529454587"/>
      <w:bookmarkStart w:id="632" w:name="_Toc529459999"/>
      <w:bookmarkStart w:id="633" w:name="_Toc529546371"/>
      <w:bookmarkStart w:id="634" w:name="_Toc529547011"/>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sidRPr="00BB165A">
        <w:t>As part of the</w:t>
      </w:r>
      <w:r w:rsidR="00A4300D" w:rsidRPr="00BB165A">
        <w:t xml:space="preserve"> consultation process undertaken at the outset of </w:t>
      </w:r>
      <w:r w:rsidR="00754732" w:rsidRPr="00BB165A">
        <w:t xml:space="preserve">the 2018 </w:t>
      </w:r>
      <w:r w:rsidR="00A4300D" w:rsidRPr="00BB165A">
        <w:t xml:space="preserve">study, two areas </w:t>
      </w:r>
      <w:r w:rsidRPr="00BB165A">
        <w:t xml:space="preserve">were identified </w:t>
      </w:r>
      <w:r w:rsidR="00A4300D" w:rsidRPr="00BB165A">
        <w:t xml:space="preserve">where the true cost of teaching and scholarship may not be captured by standard financial or statutory reporting, and </w:t>
      </w:r>
      <w:r w:rsidR="00736569">
        <w:t>which</w:t>
      </w:r>
      <w:r w:rsidR="00736569" w:rsidRPr="00BB165A">
        <w:t xml:space="preserve"> </w:t>
      </w:r>
      <w:r w:rsidR="00A4300D" w:rsidRPr="00BB165A">
        <w:t xml:space="preserve">were not captured in </w:t>
      </w:r>
      <w:r w:rsidR="00736569">
        <w:t>previous data collection</w:t>
      </w:r>
      <w:r w:rsidR="00220306">
        <w:t>s.</w:t>
      </w:r>
      <w:r w:rsidR="00152542" w:rsidRPr="00BB165A">
        <w:t xml:space="preserve"> </w:t>
      </w:r>
    </w:p>
    <w:p w14:paraId="5E5BD1B9" w14:textId="68EE0F6C" w:rsidR="00A4300D" w:rsidRPr="00BB165A" w:rsidRDefault="00A4300D" w:rsidP="00A4300D">
      <w:r w:rsidRPr="00BB165A">
        <w:t xml:space="preserve">To recognise these potentially material costs, two additional line items </w:t>
      </w:r>
      <w:r w:rsidR="00152542" w:rsidRPr="00BB165A">
        <w:t>have been</w:t>
      </w:r>
      <w:r w:rsidRPr="00BB165A">
        <w:t xml:space="preserve"> included in the costing template</w:t>
      </w:r>
      <w:r w:rsidR="00152542" w:rsidRPr="00BB165A">
        <w:t xml:space="preserve"> since 2018</w:t>
      </w:r>
      <w:r w:rsidRPr="00BB165A">
        <w:t xml:space="preserve">, namely ‘in-kind’ costs, and ‘additional partnership’ costs. These items were included ‘below the line’, to reflect that they would not be expected to reconcile to statutory reporting. </w:t>
      </w:r>
    </w:p>
    <w:p w14:paraId="03899FE5" w14:textId="2B66606E" w:rsidR="00754732" w:rsidRPr="00BB165A" w:rsidRDefault="00501D96" w:rsidP="00A4300D">
      <w:r w:rsidRPr="00BB165A">
        <w:t xml:space="preserve">As part of the consultations informing the </w:t>
      </w:r>
      <w:r w:rsidR="001354D3">
        <w:t xml:space="preserve">previous </w:t>
      </w:r>
      <w:r w:rsidRPr="00BB165A">
        <w:t>2019 study</w:t>
      </w:r>
      <w:r w:rsidR="00DC6B6C">
        <w:t xml:space="preserve"> (collecting data </w:t>
      </w:r>
      <w:r w:rsidR="005106A9">
        <w:t>from</w:t>
      </w:r>
      <w:r w:rsidR="00DC6B6C">
        <w:t xml:space="preserve"> 2018)</w:t>
      </w:r>
      <w:r w:rsidRPr="00BB165A">
        <w:t xml:space="preserve">, an additional below the line item allowing universities to include an optional depreciation adjustment was included. This adjustment was intended to account for the potential that capital costs may be underestimated as a result of the way depreciation is calculated at certain universities. </w:t>
      </w:r>
      <w:r w:rsidR="00A5311B" w:rsidRPr="00BB165A">
        <w:t xml:space="preserve">Further details on the purpose of this adjustment is set out in </w:t>
      </w:r>
      <w:r w:rsidR="000934CD">
        <w:t xml:space="preserve">Section </w:t>
      </w:r>
      <w:r w:rsidR="000934CD">
        <w:fldChar w:fldCharType="begin"/>
      </w:r>
      <w:r w:rsidR="000934CD">
        <w:instrText xml:space="preserve"> REF _Ref103332734 \r \h </w:instrText>
      </w:r>
      <w:r w:rsidR="000934CD">
        <w:fldChar w:fldCharType="separate"/>
      </w:r>
      <w:r w:rsidR="00E83FB1">
        <w:t>4.3</w:t>
      </w:r>
      <w:r w:rsidR="000934CD">
        <w:fldChar w:fldCharType="end"/>
      </w:r>
      <w:r w:rsidR="00A5311B" w:rsidRPr="00BB165A">
        <w:t xml:space="preserve">. </w:t>
      </w:r>
    </w:p>
    <w:p w14:paraId="51C7C711" w14:textId="303AE7FC" w:rsidR="00A4300D" w:rsidRPr="00BB165A" w:rsidRDefault="00A4300D" w:rsidP="00A4300D">
      <w:r w:rsidRPr="00BB165A">
        <w:t xml:space="preserve">Notably, the baseline analysis in this report does not include </w:t>
      </w:r>
      <w:r w:rsidR="00A5311B" w:rsidRPr="00BB165A">
        <w:t>any of these below the line</w:t>
      </w:r>
      <w:r w:rsidRPr="00BB165A">
        <w:t xml:space="preserve"> costs items</w:t>
      </w:r>
      <w:r w:rsidR="00CE6DC4" w:rsidRPr="00BB165A">
        <w:t xml:space="preserve"> to ensure consistency with the previous exercise</w:t>
      </w:r>
      <w:r w:rsidR="00A5311B" w:rsidRPr="00BB165A">
        <w:t>s</w:t>
      </w:r>
      <w:r w:rsidR="00CE6DC4" w:rsidRPr="00BB165A">
        <w:t xml:space="preserve">. They are not included in the comparison to base funding levels in </w:t>
      </w:r>
      <w:r w:rsidR="002D3041" w:rsidRPr="00BB165A">
        <w:t>S</w:t>
      </w:r>
      <w:r w:rsidR="00CE6DC4" w:rsidRPr="00BB165A">
        <w:t xml:space="preserve">ection </w:t>
      </w:r>
      <w:r w:rsidR="002D3041" w:rsidRPr="00BB165A">
        <w:fldChar w:fldCharType="begin"/>
      </w:r>
      <w:r w:rsidR="002D3041" w:rsidRPr="00BB165A">
        <w:instrText xml:space="preserve"> REF _Ref534713016 \r \h </w:instrText>
      </w:r>
      <w:r w:rsidR="008B3BBC" w:rsidRPr="00BB165A">
        <w:instrText xml:space="preserve"> \* MERGEFORMAT </w:instrText>
      </w:r>
      <w:r w:rsidR="002D3041" w:rsidRPr="00BB165A">
        <w:fldChar w:fldCharType="separate"/>
      </w:r>
      <w:r w:rsidR="00E83FB1">
        <w:t>2.3</w:t>
      </w:r>
      <w:r w:rsidR="002D3041" w:rsidRPr="00BB165A">
        <w:fldChar w:fldCharType="end"/>
      </w:r>
      <w:r w:rsidR="00CE6DC4" w:rsidRPr="00BB165A">
        <w:t xml:space="preserve">. </w:t>
      </w:r>
    </w:p>
    <w:p w14:paraId="782CBDD3" w14:textId="313B6ACC" w:rsidR="004B2917" w:rsidRPr="00691B65" w:rsidRDefault="0045103F" w:rsidP="00EB4550">
      <w:r w:rsidRPr="00BB165A">
        <w:t xml:space="preserve">Overall, below the line items had a relatively small impact on </w:t>
      </w:r>
      <w:r w:rsidR="00A4300D" w:rsidRPr="00BB165A">
        <w:t xml:space="preserve">total teaching and scholarship costs. On average costs were </w:t>
      </w:r>
      <w:r w:rsidR="00A5311B" w:rsidRPr="00BB165A">
        <w:t>1.</w:t>
      </w:r>
      <w:r w:rsidR="00B13E6B" w:rsidRPr="00BB165A">
        <w:t>7</w:t>
      </w:r>
      <w:r w:rsidR="00A4300D" w:rsidRPr="00BB165A">
        <w:t xml:space="preserve">% higher </w:t>
      </w:r>
      <w:r w:rsidR="00B13E6B" w:rsidRPr="00BB165A">
        <w:t xml:space="preserve">in 2019 and 2020 </w:t>
      </w:r>
      <w:r w:rsidRPr="00BB165A">
        <w:t xml:space="preserve">as a result of including these </w:t>
      </w:r>
      <w:r w:rsidR="00A4300D" w:rsidRPr="00BB165A">
        <w:t>items (</w:t>
      </w:r>
      <w:r w:rsidR="002D3041" w:rsidRPr="00BB165A">
        <w:fldChar w:fldCharType="begin"/>
      </w:r>
      <w:r w:rsidR="002D3041" w:rsidRPr="00BB165A">
        <w:instrText xml:space="preserve"> REF _Ref534713034 \r \h </w:instrText>
      </w:r>
      <w:r w:rsidR="008B3BBC" w:rsidRPr="00BB165A">
        <w:instrText xml:space="preserve"> \* MERGEFORMAT </w:instrText>
      </w:r>
      <w:r w:rsidR="002D3041" w:rsidRPr="00BB165A">
        <w:fldChar w:fldCharType="separate"/>
      </w:r>
      <w:r w:rsidR="00E83FB1">
        <w:t>Table 2.5</w:t>
      </w:r>
      <w:r w:rsidR="002D3041" w:rsidRPr="00BB165A">
        <w:fldChar w:fldCharType="end"/>
      </w:r>
      <w:r w:rsidRPr="00BB165A">
        <w:t>). It should be noted</w:t>
      </w:r>
      <w:r w:rsidR="00A4300D" w:rsidRPr="00BB165A">
        <w:t xml:space="preserve"> </w:t>
      </w:r>
      <w:r w:rsidRPr="00BB165A">
        <w:t xml:space="preserve">that some universities </w:t>
      </w:r>
      <w:r w:rsidR="00A4300D" w:rsidRPr="00BB165A">
        <w:t xml:space="preserve">indicated difficulty in accurately identifying and measuring </w:t>
      </w:r>
      <w:r w:rsidR="00A5311B" w:rsidRPr="00BB165A">
        <w:t xml:space="preserve">in-kind costs </w:t>
      </w:r>
      <w:r w:rsidR="00A4300D" w:rsidRPr="00BB165A">
        <w:t>to a level of</w:t>
      </w:r>
      <w:r w:rsidRPr="00BB165A">
        <w:t xml:space="preserve"> confidence where they could be</w:t>
      </w:r>
      <w:r w:rsidR="00A4300D" w:rsidRPr="00BB165A">
        <w:t xml:space="preserve"> reliably included in the template.</w:t>
      </w:r>
      <w:r w:rsidR="00235029" w:rsidRPr="00BB165A">
        <w:t xml:space="preserve"> For those universities who did report below the line items, their costs were </w:t>
      </w:r>
      <w:r w:rsidR="00943C41" w:rsidRPr="00BB165A">
        <w:t>7.</w:t>
      </w:r>
      <w:r w:rsidR="00BB6605">
        <w:t>0</w:t>
      </w:r>
      <w:r w:rsidR="00235029" w:rsidRPr="00BB165A">
        <w:t>% higher</w:t>
      </w:r>
      <w:r w:rsidR="00943C41" w:rsidRPr="00BB165A">
        <w:t xml:space="preserve"> in 2019 and 7.</w:t>
      </w:r>
      <w:r w:rsidR="00281504" w:rsidRPr="00BB165A">
        <w:t>3</w:t>
      </w:r>
      <w:r w:rsidR="00943C41" w:rsidRPr="00BB165A">
        <w:t>% higher in 2020</w:t>
      </w:r>
      <w:r w:rsidR="00235029" w:rsidRPr="00BB165A">
        <w:t>.</w:t>
      </w:r>
      <w:r w:rsidR="00235029">
        <w:t xml:space="preserve"> </w:t>
      </w:r>
    </w:p>
    <w:p w14:paraId="677B4202" w14:textId="0EF39C7A" w:rsidR="00A4300D" w:rsidRPr="00BB165A" w:rsidRDefault="00A4300D" w:rsidP="006118C2">
      <w:pPr>
        <w:pStyle w:val="CaptionTable"/>
      </w:pPr>
      <w:bookmarkStart w:id="635" w:name="_Ref534713034"/>
      <w:bookmarkStart w:id="636" w:name="_Toc20245931"/>
      <w:bookmarkStart w:id="637" w:name="_Ref100051681"/>
      <w:bookmarkStart w:id="638" w:name="_Toc105776713"/>
      <w:r w:rsidRPr="00BB165A">
        <w:t>: Total average impact of ‘below the line’ costs on teaching and scholarship costs</w:t>
      </w:r>
      <w:bookmarkEnd w:id="635"/>
      <w:bookmarkEnd w:id="636"/>
      <w:bookmarkEnd w:id="637"/>
      <w:r w:rsidR="00F945CE" w:rsidRPr="00BB165A">
        <w:t xml:space="preserve"> (2019 and 2020)</w:t>
      </w:r>
      <w:bookmarkEnd w:id="638"/>
    </w:p>
    <w:tbl>
      <w:tblPr>
        <w:tblStyle w:val="Deloittetable"/>
        <w:tblW w:w="9072" w:type="dxa"/>
        <w:tblLayout w:type="fixed"/>
        <w:tblCellMar>
          <w:left w:w="57" w:type="dxa"/>
          <w:right w:w="57" w:type="dxa"/>
        </w:tblCellMar>
        <w:tblLook w:val="04A0" w:firstRow="1" w:lastRow="0" w:firstColumn="1" w:lastColumn="0" w:noHBand="0" w:noVBand="1"/>
      </w:tblPr>
      <w:tblGrid>
        <w:gridCol w:w="2552"/>
        <w:gridCol w:w="1304"/>
        <w:gridCol w:w="1247"/>
        <w:gridCol w:w="57"/>
        <w:gridCol w:w="1304"/>
        <w:gridCol w:w="1304"/>
        <w:gridCol w:w="1304"/>
      </w:tblGrid>
      <w:tr w:rsidR="00D45143" w:rsidRPr="00134C61" w14:paraId="7F07B785" w14:textId="77777777" w:rsidTr="0067298B">
        <w:trPr>
          <w:cnfStyle w:val="100000000000" w:firstRow="1" w:lastRow="0" w:firstColumn="0" w:lastColumn="0" w:oddVBand="0" w:evenVBand="0" w:oddHBand="0" w:evenHBand="0" w:firstRowFirstColumn="0" w:firstRowLastColumn="0" w:lastRowFirstColumn="0" w:lastRowLastColumn="0"/>
          <w:trHeight w:val="572"/>
        </w:trPr>
        <w:tc>
          <w:tcPr>
            <w:tcW w:w="2552" w:type="dxa"/>
            <w:tcBorders>
              <w:left w:val="nil"/>
              <w:bottom w:val="single" w:sz="4" w:space="0" w:color="000000" w:themeColor="text1"/>
              <w:right w:val="nil"/>
            </w:tcBorders>
            <w:noWrap/>
            <w:hideMark/>
          </w:tcPr>
          <w:p w14:paraId="7EA03864" w14:textId="77777777" w:rsidR="00D45143" w:rsidRPr="00BB165A" w:rsidRDefault="00D45143" w:rsidP="00112BC5"/>
        </w:tc>
        <w:tc>
          <w:tcPr>
            <w:tcW w:w="1304" w:type="dxa"/>
            <w:tcBorders>
              <w:left w:val="nil"/>
              <w:bottom w:val="single" w:sz="4" w:space="0" w:color="000000" w:themeColor="text1"/>
              <w:right w:val="nil"/>
            </w:tcBorders>
            <w:noWrap/>
            <w:hideMark/>
          </w:tcPr>
          <w:p w14:paraId="63A04338" w14:textId="77777777" w:rsidR="00D45143" w:rsidRPr="00BB165A" w:rsidRDefault="00D45143" w:rsidP="00112BC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304" w:type="dxa"/>
            <w:gridSpan w:val="2"/>
            <w:tcBorders>
              <w:left w:val="nil"/>
              <w:bottom w:val="single" w:sz="4" w:space="0" w:color="000000" w:themeColor="text1"/>
              <w:right w:val="nil"/>
            </w:tcBorders>
            <w:hideMark/>
          </w:tcPr>
          <w:p w14:paraId="163FB4F5" w14:textId="77777777" w:rsidR="00D45143" w:rsidRPr="00BB165A" w:rsidRDefault="00D45143" w:rsidP="00112BC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w:t>
            </w:r>
          </w:p>
        </w:tc>
        <w:tc>
          <w:tcPr>
            <w:tcW w:w="1304" w:type="dxa"/>
            <w:tcBorders>
              <w:left w:val="nil"/>
              <w:bottom w:val="single" w:sz="4" w:space="0" w:color="000000" w:themeColor="text1"/>
              <w:right w:val="nil"/>
            </w:tcBorders>
          </w:tcPr>
          <w:p w14:paraId="250DC6EA" w14:textId="77777777" w:rsidR="00D45143" w:rsidRPr="00BB165A" w:rsidRDefault="00D45143" w:rsidP="00112BC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304" w:type="dxa"/>
            <w:tcBorders>
              <w:left w:val="nil"/>
              <w:bottom w:val="single" w:sz="4" w:space="0" w:color="000000" w:themeColor="text1"/>
              <w:right w:val="nil"/>
            </w:tcBorders>
          </w:tcPr>
          <w:p w14:paraId="1C94C36B" w14:textId="77777777" w:rsidR="00D45143" w:rsidRPr="00BB165A" w:rsidRDefault="00D45143" w:rsidP="00112BC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w:t>
            </w:r>
          </w:p>
        </w:tc>
        <w:tc>
          <w:tcPr>
            <w:tcW w:w="1304" w:type="dxa"/>
            <w:tcBorders>
              <w:left w:val="nil"/>
              <w:bottom w:val="single" w:sz="4" w:space="0" w:color="000000" w:themeColor="text1"/>
              <w:right w:val="nil"/>
            </w:tcBorders>
          </w:tcPr>
          <w:p w14:paraId="1219B37F" w14:textId="77777777" w:rsidR="00D45143" w:rsidRPr="00BB165A" w:rsidRDefault="00CB22BE" w:rsidP="00112BC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Number of universities reporting below the line costs</w:t>
            </w:r>
          </w:p>
        </w:tc>
      </w:tr>
      <w:tr w:rsidR="00235029" w:rsidRPr="00134C61" w14:paraId="79A65E9A" w14:textId="77777777" w:rsidTr="00CB1BC5">
        <w:trPr>
          <w:trHeight w:val="227"/>
        </w:trPr>
        <w:tc>
          <w:tcPr>
            <w:tcW w:w="2552" w:type="dxa"/>
            <w:tcBorders>
              <w:left w:val="nil"/>
              <w:bottom w:val="single" w:sz="4" w:space="0" w:color="000000" w:themeColor="text1"/>
              <w:right w:val="nil"/>
            </w:tcBorders>
            <w:noWrap/>
          </w:tcPr>
          <w:p w14:paraId="661865D8" w14:textId="77777777" w:rsidR="00235029" w:rsidRPr="00BB165A" w:rsidRDefault="00235029" w:rsidP="00CB1BC5">
            <w:pPr>
              <w:spacing w:after="0"/>
            </w:pPr>
          </w:p>
        </w:tc>
        <w:tc>
          <w:tcPr>
            <w:tcW w:w="2551" w:type="dxa"/>
            <w:gridSpan w:val="2"/>
            <w:tcBorders>
              <w:left w:val="nil"/>
              <w:bottom w:val="single" w:sz="4" w:space="0" w:color="000000" w:themeColor="text1"/>
              <w:right w:val="nil"/>
            </w:tcBorders>
            <w:noWrap/>
          </w:tcPr>
          <w:p w14:paraId="51080B79" w14:textId="77777777" w:rsidR="00235029" w:rsidRPr="00BB165A" w:rsidRDefault="00235029" w:rsidP="00CB1BC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3969" w:type="dxa"/>
            <w:gridSpan w:val="4"/>
            <w:tcBorders>
              <w:left w:val="nil"/>
              <w:bottom w:val="single" w:sz="4" w:space="0" w:color="000000" w:themeColor="text1"/>
              <w:right w:val="nil"/>
            </w:tcBorders>
          </w:tcPr>
          <w:p w14:paraId="56A7AD0B" w14:textId="3AC8BDB2" w:rsidR="00235029" w:rsidRPr="00BB165A" w:rsidRDefault="00235029" w:rsidP="00CB1BC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Universities who reported below the line costs</w:t>
            </w:r>
          </w:p>
        </w:tc>
      </w:tr>
      <w:tr w:rsidR="00C332F6" w:rsidRPr="00134C61" w14:paraId="3DBD9E51" w14:textId="77777777" w:rsidTr="009A2D21">
        <w:trPr>
          <w:trHeight w:val="226"/>
        </w:trPr>
        <w:tc>
          <w:tcPr>
            <w:tcW w:w="2552" w:type="dxa"/>
            <w:tcBorders>
              <w:top w:val="single" w:sz="4" w:space="0" w:color="000000" w:themeColor="text1"/>
              <w:left w:val="nil"/>
              <w:bottom w:val="single" w:sz="4" w:space="0" w:color="000000" w:themeColor="text1"/>
              <w:right w:val="nil"/>
            </w:tcBorders>
            <w:noWrap/>
            <w:hideMark/>
          </w:tcPr>
          <w:p w14:paraId="7E883174" w14:textId="77777777" w:rsidR="00C332F6" w:rsidRPr="00BB165A" w:rsidRDefault="00C332F6" w:rsidP="00C332F6">
            <w:pPr>
              <w:spacing w:after="0" w:line="240" w:lineRule="auto"/>
              <w:rPr>
                <w:rFonts w:eastAsia="Times New Roman" w:cs="Arial"/>
                <w:b/>
                <w:sz w:val="16"/>
                <w:szCs w:val="16"/>
                <w:lang w:eastAsia="en-AU"/>
              </w:rPr>
            </w:pPr>
            <w:r w:rsidRPr="00BB165A">
              <w:rPr>
                <w:rFonts w:eastAsia="Times New Roman" w:cs="Arial"/>
                <w:b/>
                <w:sz w:val="16"/>
                <w:szCs w:val="16"/>
                <w:lang w:eastAsia="en-AU"/>
              </w:rPr>
              <w:t>In-kind costs</w:t>
            </w:r>
          </w:p>
        </w:tc>
        <w:tc>
          <w:tcPr>
            <w:tcW w:w="1304" w:type="dxa"/>
            <w:tcBorders>
              <w:top w:val="single" w:sz="4" w:space="0" w:color="000000" w:themeColor="text1"/>
              <w:left w:val="nil"/>
              <w:bottom w:val="single" w:sz="4" w:space="0" w:color="000000" w:themeColor="text1"/>
              <w:right w:val="nil"/>
            </w:tcBorders>
            <w:noWrap/>
            <w:vAlign w:val="bottom"/>
          </w:tcPr>
          <w:p w14:paraId="49DE248E" w14:textId="5C948843" w:rsidR="00C332F6" w:rsidRPr="00BB165A" w:rsidRDefault="00C332F6" w:rsidP="00C332F6">
            <w:pPr>
              <w:spacing w:after="0" w:line="240" w:lineRule="auto"/>
              <w:jc w:val="center"/>
              <w:rPr>
                <w:rFonts w:eastAsia="Times New Roman" w:cs="Arial"/>
                <w:sz w:val="16"/>
                <w:szCs w:val="16"/>
                <w:lang w:eastAsia="en-AU"/>
              </w:rPr>
            </w:pPr>
          </w:p>
        </w:tc>
        <w:tc>
          <w:tcPr>
            <w:tcW w:w="1304" w:type="dxa"/>
            <w:gridSpan w:val="2"/>
            <w:tcBorders>
              <w:top w:val="single" w:sz="4" w:space="0" w:color="000000" w:themeColor="text1"/>
              <w:left w:val="nil"/>
              <w:bottom w:val="single" w:sz="4" w:space="0" w:color="000000" w:themeColor="text1"/>
              <w:right w:val="nil"/>
            </w:tcBorders>
            <w:noWrap/>
            <w:vAlign w:val="bottom"/>
          </w:tcPr>
          <w:p w14:paraId="6A2D2756" w14:textId="3B844695" w:rsidR="00C332F6" w:rsidRPr="00BB165A" w:rsidRDefault="00C332F6" w:rsidP="00C332F6">
            <w:pPr>
              <w:spacing w:after="0" w:line="240" w:lineRule="auto"/>
              <w:jc w:val="center"/>
              <w:rPr>
                <w:rFonts w:eastAsia="Times New Roman" w:cs="Arial"/>
                <w:sz w:val="16"/>
                <w:szCs w:val="16"/>
                <w:lang w:eastAsia="en-AU"/>
              </w:rPr>
            </w:pPr>
          </w:p>
        </w:tc>
        <w:tc>
          <w:tcPr>
            <w:tcW w:w="1304" w:type="dxa"/>
            <w:tcBorders>
              <w:top w:val="single" w:sz="4" w:space="0" w:color="000000" w:themeColor="text1"/>
              <w:left w:val="nil"/>
              <w:bottom w:val="single" w:sz="4" w:space="0" w:color="000000" w:themeColor="text1"/>
              <w:right w:val="nil"/>
            </w:tcBorders>
            <w:vAlign w:val="bottom"/>
          </w:tcPr>
          <w:p w14:paraId="614B0095" w14:textId="30EE2814" w:rsidR="00C332F6" w:rsidRPr="00BB165A" w:rsidRDefault="00C332F6" w:rsidP="00C332F6">
            <w:pPr>
              <w:spacing w:after="0" w:line="240" w:lineRule="auto"/>
              <w:jc w:val="center"/>
              <w:rPr>
                <w:rFonts w:eastAsia="Times New Roman" w:cs="Arial"/>
                <w:sz w:val="16"/>
                <w:szCs w:val="16"/>
                <w:lang w:eastAsia="en-AU"/>
              </w:rPr>
            </w:pPr>
          </w:p>
        </w:tc>
        <w:tc>
          <w:tcPr>
            <w:tcW w:w="1304" w:type="dxa"/>
            <w:tcBorders>
              <w:top w:val="single" w:sz="4" w:space="0" w:color="000000" w:themeColor="text1"/>
              <w:left w:val="nil"/>
              <w:bottom w:val="single" w:sz="4" w:space="0" w:color="000000" w:themeColor="text1"/>
              <w:right w:val="nil"/>
            </w:tcBorders>
            <w:vAlign w:val="bottom"/>
          </w:tcPr>
          <w:p w14:paraId="15623504" w14:textId="54A3F4AB" w:rsidR="00C332F6" w:rsidRPr="00BB165A" w:rsidRDefault="00C332F6" w:rsidP="00C332F6">
            <w:pPr>
              <w:spacing w:after="0" w:line="240" w:lineRule="auto"/>
              <w:jc w:val="center"/>
              <w:rPr>
                <w:rFonts w:eastAsia="Times New Roman" w:cs="Arial"/>
                <w:sz w:val="16"/>
                <w:szCs w:val="16"/>
                <w:lang w:eastAsia="en-AU"/>
              </w:rPr>
            </w:pPr>
          </w:p>
        </w:tc>
        <w:tc>
          <w:tcPr>
            <w:tcW w:w="1304" w:type="dxa"/>
            <w:tcBorders>
              <w:top w:val="single" w:sz="4" w:space="0" w:color="000000" w:themeColor="text1"/>
              <w:left w:val="nil"/>
              <w:bottom w:val="single" w:sz="4" w:space="0" w:color="000000" w:themeColor="text1"/>
              <w:right w:val="nil"/>
            </w:tcBorders>
            <w:vAlign w:val="bottom"/>
          </w:tcPr>
          <w:p w14:paraId="7398889B" w14:textId="641354AA" w:rsidR="00C332F6" w:rsidRPr="00BB165A" w:rsidRDefault="00C332F6" w:rsidP="00C332F6">
            <w:pPr>
              <w:spacing w:after="0" w:line="240" w:lineRule="auto"/>
              <w:jc w:val="center"/>
              <w:rPr>
                <w:rFonts w:eastAsia="Times New Roman" w:cs="Arial"/>
                <w:sz w:val="16"/>
                <w:szCs w:val="16"/>
                <w:lang w:eastAsia="en-AU"/>
              </w:rPr>
            </w:pPr>
          </w:p>
        </w:tc>
      </w:tr>
      <w:tr w:rsidR="006E3D2E" w:rsidRPr="00134C61" w14:paraId="0BC7416E" w14:textId="77777777" w:rsidTr="00416131">
        <w:trPr>
          <w:trHeight w:val="226"/>
        </w:trPr>
        <w:tc>
          <w:tcPr>
            <w:tcW w:w="0" w:type="dxa"/>
            <w:tcBorders>
              <w:top w:val="single" w:sz="4" w:space="0" w:color="000000" w:themeColor="text1"/>
              <w:left w:val="nil"/>
              <w:bottom w:val="single" w:sz="4" w:space="0" w:color="auto"/>
              <w:right w:val="nil"/>
            </w:tcBorders>
            <w:noWrap/>
          </w:tcPr>
          <w:p w14:paraId="6CC8AD53" w14:textId="3C71B12C"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2019</w:t>
            </w:r>
          </w:p>
        </w:tc>
        <w:tc>
          <w:tcPr>
            <w:tcW w:w="0" w:type="dxa"/>
            <w:tcBorders>
              <w:top w:val="nil"/>
              <w:left w:val="nil"/>
              <w:bottom w:val="single" w:sz="4" w:space="0" w:color="auto"/>
              <w:right w:val="nil"/>
            </w:tcBorders>
            <w:shd w:val="clear" w:color="auto" w:fill="auto"/>
            <w:noWrap/>
          </w:tcPr>
          <w:p w14:paraId="69AE3CFD" w14:textId="05726777" w:rsidR="006E3D2E" w:rsidRPr="00BB165A" w:rsidRDefault="005207B6" w:rsidP="006E3D2E">
            <w:pPr>
              <w:spacing w:after="0" w:line="240" w:lineRule="auto"/>
              <w:jc w:val="center"/>
              <w:rPr>
                <w:rFonts w:cs="Arial"/>
                <w:sz w:val="16"/>
                <w:szCs w:val="16"/>
              </w:rPr>
            </w:pPr>
            <w:r w:rsidRPr="00F926E3">
              <w:t>$97</w:t>
            </w:r>
          </w:p>
        </w:tc>
        <w:tc>
          <w:tcPr>
            <w:tcW w:w="0" w:type="dxa"/>
            <w:gridSpan w:val="2"/>
            <w:tcBorders>
              <w:top w:val="nil"/>
              <w:left w:val="nil"/>
              <w:bottom w:val="single" w:sz="4" w:space="0" w:color="000000"/>
              <w:right w:val="nil"/>
            </w:tcBorders>
            <w:shd w:val="clear" w:color="auto" w:fill="auto"/>
            <w:noWrap/>
          </w:tcPr>
          <w:p w14:paraId="5C66AF38" w14:textId="10F80132" w:rsidR="006E3D2E" w:rsidRPr="00BB165A" w:rsidRDefault="005207B6" w:rsidP="006E3D2E">
            <w:pPr>
              <w:spacing w:after="0" w:line="240" w:lineRule="auto"/>
              <w:jc w:val="center"/>
              <w:rPr>
                <w:rFonts w:cs="Arial"/>
                <w:sz w:val="16"/>
                <w:szCs w:val="16"/>
              </w:rPr>
            </w:pPr>
            <w:r w:rsidRPr="00F926E3">
              <w:t>0.5%</w:t>
            </w:r>
          </w:p>
        </w:tc>
        <w:tc>
          <w:tcPr>
            <w:tcW w:w="0" w:type="dxa"/>
            <w:tcBorders>
              <w:top w:val="nil"/>
              <w:left w:val="nil"/>
              <w:bottom w:val="single" w:sz="4" w:space="0" w:color="000000"/>
              <w:right w:val="nil"/>
            </w:tcBorders>
            <w:shd w:val="clear" w:color="auto" w:fill="auto"/>
          </w:tcPr>
          <w:p w14:paraId="6A5CD41A" w14:textId="1552A126" w:rsidR="006E3D2E" w:rsidRPr="00BB165A" w:rsidRDefault="005207B6" w:rsidP="006E3D2E">
            <w:pPr>
              <w:spacing w:after="0" w:line="240" w:lineRule="auto"/>
              <w:jc w:val="center"/>
              <w:rPr>
                <w:rFonts w:cs="Arial"/>
                <w:sz w:val="16"/>
                <w:szCs w:val="16"/>
              </w:rPr>
            </w:pPr>
            <w:r w:rsidRPr="00F926E3">
              <w:t>$745</w:t>
            </w:r>
          </w:p>
        </w:tc>
        <w:tc>
          <w:tcPr>
            <w:tcW w:w="0" w:type="dxa"/>
            <w:tcBorders>
              <w:top w:val="nil"/>
              <w:left w:val="nil"/>
              <w:bottom w:val="single" w:sz="4" w:space="0" w:color="000000"/>
              <w:right w:val="nil"/>
            </w:tcBorders>
            <w:shd w:val="clear" w:color="auto" w:fill="auto"/>
          </w:tcPr>
          <w:p w14:paraId="0641E4B5" w14:textId="0D41CAA3" w:rsidR="006E3D2E" w:rsidRPr="00BB165A" w:rsidRDefault="005207B6" w:rsidP="006E3D2E">
            <w:pPr>
              <w:spacing w:after="0" w:line="240" w:lineRule="auto"/>
              <w:jc w:val="center"/>
              <w:rPr>
                <w:rFonts w:cs="Arial"/>
                <w:sz w:val="16"/>
                <w:szCs w:val="16"/>
              </w:rPr>
            </w:pPr>
            <w:r w:rsidRPr="00F926E3">
              <w:t>3.5%</w:t>
            </w:r>
          </w:p>
        </w:tc>
        <w:tc>
          <w:tcPr>
            <w:tcW w:w="0" w:type="dxa"/>
            <w:tcBorders>
              <w:top w:val="nil"/>
              <w:left w:val="nil"/>
              <w:bottom w:val="single" w:sz="4" w:space="0" w:color="000000"/>
              <w:right w:val="nil"/>
            </w:tcBorders>
            <w:shd w:val="clear" w:color="auto" w:fill="auto"/>
          </w:tcPr>
          <w:p w14:paraId="28EF9F84" w14:textId="300786E3" w:rsidR="006E3D2E" w:rsidRPr="00BB165A" w:rsidRDefault="005207B6" w:rsidP="006E3D2E">
            <w:pPr>
              <w:spacing w:after="0" w:line="240" w:lineRule="auto"/>
              <w:jc w:val="center"/>
              <w:rPr>
                <w:rFonts w:cs="Arial"/>
                <w:sz w:val="16"/>
                <w:szCs w:val="16"/>
              </w:rPr>
            </w:pPr>
            <w:r w:rsidRPr="00F926E3">
              <w:t>3</w:t>
            </w:r>
          </w:p>
        </w:tc>
      </w:tr>
      <w:tr w:rsidR="006E3D2E" w:rsidRPr="00134C61" w14:paraId="33CA313B" w14:textId="77777777" w:rsidTr="00416131">
        <w:trPr>
          <w:trHeight w:val="226"/>
        </w:trPr>
        <w:tc>
          <w:tcPr>
            <w:tcW w:w="0" w:type="dxa"/>
            <w:tcBorders>
              <w:top w:val="single" w:sz="4" w:space="0" w:color="auto"/>
              <w:left w:val="nil"/>
              <w:bottom w:val="single" w:sz="4" w:space="0" w:color="auto"/>
              <w:right w:val="nil"/>
            </w:tcBorders>
            <w:noWrap/>
          </w:tcPr>
          <w:p w14:paraId="33053C69" w14:textId="5B772551"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2020</w:t>
            </w:r>
          </w:p>
        </w:tc>
        <w:tc>
          <w:tcPr>
            <w:tcW w:w="0" w:type="dxa"/>
            <w:tcBorders>
              <w:top w:val="single" w:sz="4" w:space="0" w:color="auto"/>
              <w:left w:val="nil"/>
              <w:bottom w:val="single" w:sz="4" w:space="0" w:color="auto"/>
              <w:right w:val="nil"/>
            </w:tcBorders>
            <w:shd w:val="clear" w:color="auto" w:fill="auto"/>
            <w:noWrap/>
          </w:tcPr>
          <w:p w14:paraId="6AEB649B" w14:textId="2BCE8ABB" w:rsidR="006E3D2E" w:rsidRPr="00BB165A" w:rsidRDefault="005207B6" w:rsidP="006E3D2E">
            <w:pPr>
              <w:spacing w:after="0" w:line="240" w:lineRule="auto"/>
              <w:jc w:val="center"/>
              <w:rPr>
                <w:rFonts w:cs="Arial"/>
                <w:sz w:val="16"/>
                <w:szCs w:val="16"/>
              </w:rPr>
            </w:pPr>
            <w:r w:rsidRPr="00F926E3">
              <w:t>$99</w:t>
            </w:r>
          </w:p>
        </w:tc>
        <w:tc>
          <w:tcPr>
            <w:tcW w:w="0" w:type="dxa"/>
            <w:gridSpan w:val="2"/>
            <w:tcBorders>
              <w:top w:val="nil"/>
              <w:left w:val="nil"/>
              <w:bottom w:val="single" w:sz="4" w:space="0" w:color="000000"/>
              <w:right w:val="nil"/>
            </w:tcBorders>
            <w:shd w:val="clear" w:color="auto" w:fill="auto"/>
            <w:noWrap/>
          </w:tcPr>
          <w:p w14:paraId="637F6DB1" w14:textId="2DAD00BA" w:rsidR="006E3D2E" w:rsidRPr="00BB165A" w:rsidRDefault="005207B6" w:rsidP="006E3D2E">
            <w:pPr>
              <w:spacing w:after="0" w:line="240" w:lineRule="auto"/>
              <w:jc w:val="center"/>
              <w:rPr>
                <w:rFonts w:cs="Arial"/>
                <w:sz w:val="16"/>
                <w:szCs w:val="16"/>
              </w:rPr>
            </w:pPr>
            <w:r w:rsidRPr="00F926E3">
              <w:t>0.5%</w:t>
            </w:r>
          </w:p>
        </w:tc>
        <w:tc>
          <w:tcPr>
            <w:tcW w:w="0" w:type="dxa"/>
            <w:tcBorders>
              <w:top w:val="nil"/>
              <w:left w:val="nil"/>
              <w:bottom w:val="single" w:sz="4" w:space="0" w:color="000000"/>
              <w:right w:val="nil"/>
            </w:tcBorders>
            <w:shd w:val="clear" w:color="auto" w:fill="auto"/>
          </w:tcPr>
          <w:p w14:paraId="2AA001FC" w14:textId="61019C69" w:rsidR="006E3D2E" w:rsidRPr="00BB165A" w:rsidRDefault="005207B6" w:rsidP="006E3D2E">
            <w:pPr>
              <w:spacing w:after="0" w:line="240" w:lineRule="auto"/>
              <w:jc w:val="center"/>
              <w:rPr>
                <w:rFonts w:cs="Arial"/>
                <w:sz w:val="16"/>
                <w:szCs w:val="16"/>
              </w:rPr>
            </w:pPr>
            <w:r w:rsidRPr="00F926E3">
              <w:t>$747</w:t>
            </w:r>
          </w:p>
        </w:tc>
        <w:tc>
          <w:tcPr>
            <w:tcW w:w="0" w:type="dxa"/>
            <w:tcBorders>
              <w:top w:val="nil"/>
              <w:left w:val="nil"/>
              <w:bottom w:val="single" w:sz="4" w:space="0" w:color="000000"/>
              <w:right w:val="nil"/>
            </w:tcBorders>
            <w:shd w:val="clear" w:color="auto" w:fill="auto"/>
          </w:tcPr>
          <w:p w14:paraId="5778DC7D" w14:textId="15DA54DE" w:rsidR="006E3D2E" w:rsidRPr="00BB165A" w:rsidRDefault="005207B6" w:rsidP="006E3D2E">
            <w:pPr>
              <w:spacing w:after="0" w:line="240" w:lineRule="auto"/>
              <w:jc w:val="center"/>
              <w:rPr>
                <w:rFonts w:cs="Arial"/>
                <w:sz w:val="16"/>
                <w:szCs w:val="16"/>
              </w:rPr>
            </w:pPr>
            <w:r w:rsidRPr="00F926E3">
              <w:t>3.9%</w:t>
            </w:r>
          </w:p>
        </w:tc>
        <w:tc>
          <w:tcPr>
            <w:tcW w:w="0" w:type="dxa"/>
            <w:tcBorders>
              <w:top w:val="nil"/>
              <w:left w:val="nil"/>
              <w:bottom w:val="single" w:sz="4" w:space="0" w:color="000000"/>
              <w:right w:val="nil"/>
            </w:tcBorders>
            <w:shd w:val="clear" w:color="auto" w:fill="auto"/>
          </w:tcPr>
          <w:p w14:paraId="52AF8D3D" w14:textId="73F691A0" w:rsidR="006E3D2E" w:rsidRPr="00BB165A" w:rsidRDefault="005207B6" w:rsidP="006E3D2E">
            <w:pPr>
              <w:spacing w:after="0" w:line="240" w:lineRule="auto"/>
              <w:jc w:val="center"/>
              <w:rPr>
                <w:rFonts w:cs="Arial"/>
                <w:sz w:val="16"/>
                <w:szCs w:val="16"/>
              </w:rPr>
            </w:pPr>
            <w:r w:rsidRPr="00F926E3">
              <w:t>3</w:t>
            </w:r>
          </w:p>
        </w:tc>
      </w:tr>
      <w:tr w:rsidR="006E3D2E" w:rsidRPr="00134C61" w14:paraId="7E67F77E" w14:textId="77777777" w:rsidTr="00416131">
        <w:trPr>
          <w:trHeight w:val="226"/>
        </w:trPr>
        <w:tc>
          <w:tcPr>
            <w:tcW w:w="0" w:type="dxa"/>
            <w:tcBorders>
              <w:top w:val="single" w:sz="4" w:space="0" w:color="auto"/>
              <w:left w:val="nil"/>
              <w:bottom w:val="single" w:sz="4" w:space="0" w:color="auto"/>
              <w:right w:val="nil"/>
            </w:tcBorders>
            <w:noWrap/>
            <w:hideMark/>
          </w:tcPr>
          <w:p w14:paraId="2E6F5495" w14:textId="64360AEA" w:rsidR="006E3D2E" w:rsidRPr="00BB165A" w:rsidRDefault="006E3D2E" w:rsidP="006E3D2E">
            <w:pPr>
              <w:spacing w:after="0" w:line="240" w:lineRule="auto"/>
              <w:rPr>
                <w:rFonts w:eastAsia="Times New Roman" w:cs="Arial"/>
                <w:b/>
                <w:sz w:val="16"/>
                <w:szCs w:val="16"/>
                <w:lang w:eastAsia="en-AU"/>
              </w:rPr>
            </w:pPr>
            <w:r w:rsidRPr="00BB165A">
              <w:rPr>
                <w:rFonts w:eastAsia="Times New Roman" w:cs="Arial"/>
                <w:b/>
                <w:sz w:val="16"/>
                <w:szCs w:val="16"/>
                <w:lang w:eastAsia="en-AU"/>
              </w:rPr>
              <w:t>Third-party and partnership costs</w:t>
            </w:r>
          </w:p>
        </w:tc>
        <w:tc>
          <w:tcPr>
            <w:tcW w:w="0" w:type="dxa"/>
            <w:tcBorders>
              <w:top w:val="single" w:sz="4" w:space="0" w:color="auto"/>
              <w:left w:val="nil"/>
              <w:bottom w:val="single" w:sz="4" w:space="0" w:color="auto"/>
              <w:right w:val="nil"/>
            </w:tcBorders>
            <w:shd w:val="clear" w:color="auto" w:fill="auto"/>
            <w:noWrap/>
            <w:hideMark/>
          </w:tcPr>
          <w:p w14:paraId="000C92BA" w14:textId="1A0DA55A" w:rsidR="006E3D2E" w:rsidRPr="00BB165A" w:rsidRDefault="006E3D2E" w:rsidP="006E3D2E">
            <w:pPr>
              <w:spacing w:after="0" w:line="240" w:lineRule="auto"/>
              <w:jc w:val="center"/>
              <w:rPr>
                <w:rFonts w:eastAsia="Times New Roman" w:cs="Arial"/>
                <w:sz w:val="16"/>
                <w:szCs w:val="16"/>
                <w:lang w:eastAsia="en-AU"/>
              </w:rPr>
            </w:pPr>
          </w:p>
        </w:tc>
        <w:tc>
          <w:tcPr>
            <w:tcW w:w="0" w:type="dxa"/>
            <w:gridSpan w:val="2"/>
            <w:tcBorders>
              <w:top w:val="nil"/>
              <w:left w:val="nil"/>
              <w:bottom w:val="single" w:sz="4" w:space="0" w:color="000000"/>
              <w:right w:val="nil"/>
            </w:tcBorders>
            <w:shd w:val="clear" w:color="auto" w:fill="auto"/>
            <w:noWrap/>
            <w:hideMark/>
          </w:tcPr>
          <w:p w14:paraId="7D659EB1" w14:textId="37C86890"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3E85E430" w14:textId="553DA42E"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318FDEAE" w14:textId="38D058B2"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775E797F" w14:textId="2BE7724B" w:rsidR="006E3D2E" w:rsidRPr="00BB165A" w:rsidRDefault="006E3D2E" w:rsidP="006E3D2E">
            <w:pPr>
              <w:spacing w:after="0" w:line="240" w:lineRule="auto"/>
              <w:jc w:val="center"/>
              <w:rPr>
                <w:rFonts w:eastAsia="Times New Roman" w:cs="Arial"/>
                <w:sz w:val="16"/>
                <w:szCs w:val="16"/>
                <w:lang w:eastAsia="en-AU"/>
              </w:rPr>
            </w:pPr>
          </w:p>
        </w:tc>
      </w:tr>
      <w:tr w:rsidR="006E3D2E" w:rsidRPr="00134C61" w14:paraId="2AF2D5EF" w14:textId="77777777" w:rsidTr="00416131">
        <w:trPr>
          <w:trHeight w:val="226"/>
        </w:trPr>
        <w:tc>
          <w:tcPr>
            <w:tcW w:w="0" w:type="dxa"/>
            <w:tcBorders>
              <w:top w:val="single" w:sz="4" w:space="0" w:color="auto"/>
              <w:left w:val="nil"/>
              <w:bottom w:val="single" w:sz="4" w:space="0" w:color="auto"/>
              <w:right w:val="nil"/>
            </w:tcBorders>
            <w:noWrap/>
          </w:tcPr>
          <w:p w14:paraId="1C9B944E" w14:textId="67CC54C6"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2019</w:t>
            </w:r>
          </w:p>
        </w:tc>
        <w:tc>
          <w:tcPr>
            <w:tcW w:w="0" w:type="dxa"/>
            <w:tcBorders>
              <w:top w:val="single" w:sz="4" w:space="0" w:color="auto"/>
              <w:left w:val="nil"/>
              <w:bottom w:val="single" w:sz="4" w:space="0" w:color="auto"/>
              <w:right w:val="nil"/>
            </w:tcBorders>
            <w:shd w:val="clear" w:color="auto" w:fill="auto"/>
            <w:noWrap/>
          </w:tcPr>
          <w:p w14:paraId="179536CD" w14:textId="6918619D" w:rsidR="006E3D2E" w:rsidRPr="00BB165A" w:rsidRDefault="005207B6" w:rsidP="006E3D2E">
            <w:pPr>
              <w:spacing w:after="0" w:line="240" w:lineRule="auto"/>
              <w:jc w:val="center"/>
              <w:rPr>
                <w:rFonts w:cs="Arial"/>
                <w:sz w:val="16"/>
                <w:szCs w:val="16"/>
              </w:rPr>
            </w:pPr>
            <w:r w:rsidRPr="00F926E3">
              <w:t>$125</w:t>
            </w:r>
          </w:p>
        </w:tc>
        <w:tc>
          <w:tcPr>
            <w:tcW w:w="0" w:type="dxa"/>
            <w:gridSpan w:val="2"/>
            <w:tcBorders>
              <w:top w:val="nil"/>
              <w:left w:val="nil"/>
              <w:bottom w:val="single" w:sz="4" w:space="0" w:color="000000"/>
              <w:right w:val="nil"/>
            </w:tcBorders>
            <w:shd w:val="clear" w:color="auto" w:fill="auto"/>
            <w:noWrap/>
          </w:tcPr>
          <w:p w14:paraId="52640E5E" w14:textId="6765B0FB" w:rsidR="006E3D2E" w:rsidRPr="00BB165A" w:rsidRDefault="005207B6" w:rsidP="006E3D2E">
            <w:pPr>
              <w:spacing w:after="0" w:line="240" w:lineRule="auto"/>
              <w:jc w:val="center"/>
              <w:rPr>
                <w:rFonts w:cs="Arial"/>
                <w:sz w:val="16"/>
                <w:szCs w:val="16"/>
              </w:rPr>
            </w:pPr>
            <w:r w:rsidRPr="00F926E3">
              <w:t>0.7%</w:t>
            </w:r>
          </w:p>
        </w:tc>
        <w:tc>
          <w:tcPr>
            <w:tcW w:w="0" w:type="dxa"/>
            <w:tcBorders>
              <w:top w:val="nil"/>
              <w:left w:val="nil"/>
              <w:bottom w:val="single" w:sz="4" w:space="0" w:color="000000"/>
              <w:right w:val="nil"/>
            </w:tcBorders>
            <w:shd w:val="clear" w:color="auto" w:fill="auto"/>
          </w:tcPr>
          <w:p w14:paraId="63881951" w14:textId="43436B12" w:rsidR="006E3D2E" w:rsidRPr="00BB165A" w:rsidRDefault="005207B6" w:rsidP="006E3D2E">
            <w:pPr>
              <w:spacing w:after="0" w:line="240" w:lineRule="auto"/>
              <w:jc w:val="center"/>
              <w:rPr>
                <w:rFonts w:cs="Arial"/>
                <w:sz w:val="16"/>
                <w:szCs w:val="16"/>
              </w:rPr>
            </w:pPr>
            <w:r w:rsidRPr="00F926E3">
              <w:t>$735</w:t>
            </w:r>
          </w:p>
        </w:tc>
        <w:tc>
          <w:tcPr>
            <w:tcW w:w="0" w:type="dxa"/>
            <w:tcBorders>
              <w:top w:val="nil"/>
              <w:left w:val="nil"/>
              <w:bottom w:val="single" w:sz="4" w:space="0" w:color="000000"/>
              <w:right w:val="nil"/>
            </w:tcBorders>
            <w:shd w:val="clear" w:color="auto" w:fill="auto"/>
          </w:tcPr>
          <w:p w14:paraId="77402B36" w14:textId="3305D9AB" w:rsidR="006E3D2E" w:rsidRPr="00BB165A" w:rsidRDefault="005207B6" w:rsidP="006E3D2E">
            <w:pPr>
              <w:spacing w:after="0" w:line="240" w:lineRule="auto"/>
              <w:jc w:val="center"/>
              <w:rPr>
                <w:rFonts w:cs="Arial"/>
                <w:sz w:val="16"/>
                <w:szCs w:val="16"/>
              </w:rPr>
            </w:pPr>
            <w:r w:rsidRPr="00F926E3">
              <w:t>3.5%</w:t>
            </w:r>
          </w:p>
        </w:tc>
        <w:tc>
          <w:tcPr>
            <w:tcW w:w="0" w:type="dxa"/>
            <w:tcBorders>
              <w:top w:val="nil"/>
              <w:left w:val="nil"/>
              <w:bottom w:val="single" w:sz="4" w:space="0" w:color="000000"/>
              <w:right w:val="nil"/>
            </w:tcBorders>
            <w:shd w:val="clear" w:color="auto" w:fill="auto"/>
          </w:tcPr>
          <w:p w14:paraId="73C6C14E" w14:textId="027C4287" w:rsidR="006E3D2E" w:rsidRPr="00BB165A" w:rsidRDefault="005207B6" w:rsidP="006E3D2E">
            <w:pPr>
              <w:spacing w:after="0" w:line="240" w:lineRule="auto"/>
              <w:jc w:val="center"/>
              <w:rPr>
                <w:rFonts w:cs="Arial"/>
                <w:sz w:val="16"/>
                <w:szCs w:val="16"/>
              </w:rPr>
            </w:pPr>
            <w:r w:rsidRPr="00F926E3">
              <w:t>6</w:t>
            </w:r>
          </w:p>
        </w:tc>
      </w:tr>
      <w:tr w:rsidR="006E3D2E" w:rsidRPr="00134C61" w14:paraId="37DB2B43" w14:textId="77777777" w:rsidTr="00416131">
        <w:trPr>
          <w:trHeight w:val="226"/>
        </w:trPr>
        <w:tc>
          <w:tcPr>
            <w:tcW w:w="0" w:type="dxa"/>
            <w:tcBorders>
              <w:top w:val="single" w:sz="4" w:space="0" w:color="auto"/>
              <w:left w:val="nil"/>
              <w:bottom w:val="single" w:sz="4" w:space="0" w:color="auto"/>
              <w:right w:val="nil"/>
            </w:tcBorders>
            <w:noWrap/>
          </w:tcPr>
          <w:p w14:paraId="63A01AB8" w14:textId="24DD0B32"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2020</w:t>
            </w:r>
          </w:p>
        </w:tc>
        <w:tc>
          <w:tcPr>
            <w:tcW w:w="0" w:type="dxa"/>
            <w:tcBorders>
              <w:top w:val="single" w:sz="4" w:space="0" w:color="auto"/>
              <w:left w:val="nil"/>
              <w:bottom w:val="single" w:sz="4" w:space="0" w:color="auto"/>
              <w:right w:val="nil"/>
            </w:tcBorders>
            <w:shd w:val="clear" w:color="auto" w:fill="auto"/>
            <w:noWrap/>
          </w:tcPr>
          <w:p w14:paraId="102E026D" w14:textId="7410DA81" w:rsidR="006E3D2E" w:rsidRPr="00BB165A" w:rsidRDefault="005207B6" w:rsidP="006E3D2E">
            <w:pPr>
              <w:spacing w:after="0" w:line="240" w:lineRule="auto"/>
              <w:jc w:val="center"/>
              <w:rPr>
                <w:rFonts w:cs="Arial"/>
                <w:sz w:val="16"/>
                <w:szCs w:val="16"/>
              </w:rPr>
            </w:pPr>
            <w:r w:rsidRPr="00F926E3">
              <w:t>$99</w:t>
            </w:r>
          </w:p>
        </w:tc>
        <w:tc>
          <w:tcPr>
            <w:tcW w:w="0" w:type="dxa"/>
            <w:gridSpan w:val="2"/>
            <w:tcBorders>
              <w:top w:val="nil"/>
              <w:left w:val="nil"/>
              <w:bottom w:val="single" w:sz="4" w:space="0" w:color="000000"/>
              <w:right w:val="nil"/>
            </w:tcBorders>
            <w:shd w:val="clear" w:color="auto" w:fill="auto"/>
            <w:noWrap/>
          </w:tcPr>
          <w:p w14:paraId="501FD38F" w14:textId="459B802D" w:rsidR="006E3D2E" w:rsidRPr="00BB165A" w:rsidRDefault="005207B6" w:rsidP="006E3D2E">
            <w:pPr>
              <w:spacing w:after="0" w:line="240" w:lineRule="auto"/>
              <w:jc w:val="center"/>
              <w:rPr>
                <w:rFonts w:cs="Arial"/>
                <w:sz w:val="16"/>
                <w:szCs w:val="16"/>
              </w:rPr>
            </w:pPr>
            <w:r w:rsidRPr="00F926E3">
              <w:t>0.5%</w:t>
            </w:r>
          </w:p>
        </w:tc>
        <w:tc>
          <w:tcPr>
            <w:tcW w:w="0" w:type="dxa"/>
            <w:tcBorders>
              <w:top w:val="nil"/>
              <w:left w:val="nil"/>
              <w:bottom w:val="single" w:sz="4" w:space="0" w:color="000000"/>
              <w:right w:val="nil"/>
            </w:tcBorders>
            <w:shd w:val="clear" w:color="auto" w:fill="auto"/>
          </w:tcPr>
          <w:p w14:paraId="7003E51F" w14:textId="79910BBF" w:rsidR="006E3D2E" w:rsidRPr="00BB165A" w:rsidRDefault="005207B6" w:rsidP="006E3D2E">
            <w:pPr>
              <w:spacing w:after="0" w:line="240" w:lineRule="auto"/>
              <w:jc w:val="center"/>
              <w:rPr>
                <w:rFonts w:cs="Arial"/>
                <w:sz w:val="16"/>
                <w:szCs w:val="16"/>
              </w:rPr>
            </w:pPr>
            <w:r w:rsidRPr="00F926E3">
              <w:t>$813</w:t>
            </w:r>
          </w:p>
        </w:tc>
        <w:tc>
          <w:tcPr>
            <w:tcW w:w="0" w:type="dxa"/>
            <w:tcBorders>
              <w:top w:val="nil"/>
              <w:left w:val="nil"/>
              <w:bottom w:val="single" w:sz="4" w:space="0" w:color="000000"/>
              <w:right w:val="nil"/>
            </w:tcBorders>
            <w:shd w:val="clear" w:color="auto" w:fill="auto"/>
          </w:tcPr>
          <w:p w14:paraId="6079BDBC" w14:textId="61C350B6" w:rsidR="006E3D2E" w:rsidRPr="00BB165A" w:rsidRDefault="005207B6" w:rsidP="006E3D2E">
            <w:pPr>
              <w:spacing w:after="0" w:line="240" w:lineRule="auto"/>
              <w:jc w:val="center"/>
              <w:rPr>
                <w:rFonts w:cs="Arial"/>
                <w:sz w:val="16"/>
                <w:szCs w:val="16"/>
              </w:rPr>
            </w:pPr>
            <w:r w:rsidRPr="00F926E3">
              <w:t>4.3%</w:t>
            </w:r>
          </w:p>
        </w:tc>
        <w:tc>
          <w:tcPr>
            <w:tcW w:w="0" w:type="dxa"/>
            <w:tcBorders>
              <w:top w:val="nil"/>
              <w:left w:val="nil"/>
              <w:bottom w:val="single" w:sz="4" w:space="0" w:color="000000"/>
              <w:right w:val="nil"/>
            </w:tcBorders>
            <w:shd w:val="clear" w:color="auto" w:fill="auto"/>
          </w:tcPr>
          <w:p w14:paraId="3970CFA8" w14:textId="1CFC32E2" w:rsidR="006E3D2E" w:rsidRPr="00BB165A" w:rsidRDefault="005207B6" w:rsidP="006E3D2E">
            <w:pPr>
              <w:spacing w:after="0" w:line="240" w:lineRule="auto"/>
              <w:jc w:val="center"/>
              <w:rPr>
                <w:rFonts w:cs="Arial"/>
                <w:sz w:val="16"/>
                <w:szCs w:val="16"/>
              </w:rPr>
            </w:pPr>
            <w:r w:rsidRPr="00F926E3">
              <w:t>5</w:t>
            </w:r>
          </w:p>
        </w:tc>
      </w:tr>
      <w:tr w:rsidR="006E3D2E" w:rsidRPr="00134C61" w14:paraId="58C7493F" w14:textId="77777777" w:rsidTr="00416131">
        <w:trPr>
          <w:trHeight w:val="226"/>
        </w:trPr>
        <w:tc>
          <w:tcPr>
            <w:tcW w:w="0" w:type="dxa"/>
            <w:tcBorders>
              <w:top w:val="single" w:sz="4" w:space="0" w:color="auto"/>
              <w:left w:val="nil"/>
              <w:bottom w:val="single" w:sz="4" w:space="0" w:color="auto"/>
              <w:right w:val="nil"/>
            </w:tcBorders>
            <w:noWrap/>
          </w:tcPr>
          <w:p w14:paraId="758E8E70" w14:textId="77777777" w:rsidR="006E3D2E" w:rsidRPr="00BB165A" w:rsidRDefault="006E3D2E" w:rsidP="006E3D2E">
            <w:pPr>
              <w:spacing w:after="0" w:line="240" w:lineRule="auto"/>
              <w:rPr>
                <w:rFonts w:eastAsia="Times New Roman" w:cs="Arial"/>
                <w:b/>
                <w:sz w:val="16"/>
                <w:szCs w:val="16"/>
                <w:lang w:eastAsia="en-AU"/>
              </w:rPr>
            </w:pPr>
            <w:r w:rsidRPr="00BB165A">
              <w:rPr>
                <w:rFonts w:eastAsia="Times New Roman" w:cs="Arial"/>
                <w:b/>
                <w:sz w:val="16"/>
                <w:szCs w:val="16"/>
                <w:lang w:eastAsia="en-AU"/>
              </w:rPr>
              <w:t>Optional depreciation adjustment</w:t>
            </w:r>
          </w:p>
        </w:tc>
        <w:tc>
          <w:tcPr>
            <w:tcW w:w="0" w:type="dxa"/>
            <w:tcBorders>
              <w:top w:val="single" w:sz="4" w:space="0" w:color="auto"/>
              <w:left w:val="nil"/>
              <w:bottom w:val="single" w:sz="4" w:space="0" w:color="auto"/>
              <w:right w:val="nil"/>
            </w:tcBorders>
            <w:shd w:val="clear" w:color="auto" w:fill="auto"/>
            <w:noWrap/>
          </w:tcPr>
          <w:p w14:paraId="78FB4DA7" w14:textId="23AE3926" w:rsidR="006E3D2E" w:rsidRPr="00BB165A" w:rsidRDefault="006E3D2E" w:rsidP="006E3D2E">
            <w:pPr>
              <w:spacing w:after="0" w:line="240" w:lineRule="auto"/>
              <w:jc w:val="center"/>
              <w:rPr>
                <w:rFonts w:eastAsia="Times New Roman" w:cs="Arial"/>
                <w:sz w:val="16"/>
                <w:szCs w:val="16"/>
                <w:lang w:eastAsia="en-AU"/>
              </w:rPr>
            </w:pPr>
          </w:p>
        </w:tc>
        <w:tc>
          <w:tcPr>
            <w:tcW w:w="0" w:type="dxa"/>
            <w:gridSpan w:val="2"/>
            <w:tcBorders>
              <w:top w:val="nil"/>
              <w:left w:val="nil"/>
              <w:bottom w:val="single" w:sz="4" w:space="0" w:color="000000"/>
              <w:right w:val="nil"/>
            </w:tcBorders>
            <w:shd w:val="clear" w:color="auto" w:fill="auto"/>
            <w:noWrap/>
          </w:tcPr>
          <w:p w14:paraId="5BDF0052" w14:textId="26D3D440"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151C1EFC" w14:textId="1238B6A3"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72DD712D" w14:textId="24C336FA"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344BBE10" w14:textId="7020CB4A" w:rsidR="006E3D2E" w:rsidRPr="00BB165A" w:rsidRDefault="006E3D2E" w:rsidP="006E3D2E">
            <w:pPr>
              <w:spacing w:after="0" w:line="240" w:lineRule="auto"/>
              <w:jc w:val="center"/>
              <w:rPr>
                <w:rFonts w:eastAsia="Times New Roman" w:cs="Arial"/>
                <w:sz w:val="16"/>
                <w:szCs w:val="16"/>
                <w:lang w:eastAsia="en-AU"/>
              </w:rPr>
            </w:pPr>
          </w:p>
        </w:tc>
      </w:tr>
      <w:tr w:rsidR="006E3D2E" w:rsidRPr="00134C61" w14:paraId="1574605B" w14:textId="77777777" w:rsidTr="00416131">
        <w:trPr>
          <w:trHeight w:val="226"/>
        </w:trPr>
        <w:tc>
          <w:tcPr>
            <w:tcW w:w="0" w:type="dxa"/>
            <w:tcBorders>
              <w:top w:val="single" w:sz="4" w:space="0" w:color="auto"/>
              <w:left w:val="nil"/>
              <w:bottom w:val="single" w:sz="4" w:space="0" w:color="auto"/>
              <w:right w:val="nil"/>
            </w:tcBorders>
            <w:noWrap/>
          </w:tcPr>
          <w:p w14:paraId="324A12EF" w14:textId="02B18D2A"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2019</w:t>
            </w:r>
          </w:p>
        </w:tc>
        <w:tc>
          <w:tcPr>
            <w:tcW w:w="0" w:type="dxa"/>
            <w:tcBorders>
              <w:top w:val="single" w:sz="4" w:space="0" w:color="auto"/>
              <w:left w:val="nil"/>
              <w:bottom w:val="single" w:sz="4" w:space="0" w:color="auto"/>
              <w:right w:val="nil"/>
            </w:tcBorders>
            <w:shd w:val="clear" w:color="auto" w:fill="auto"/>
            <w:noWrap/>
          </w:tcPr>
          <w:p w14:paraId="5EC52647" w14:textId="3523D81C" w:rsidR="006E3D2E" w:rsidRPr="00BB165A" w:rsidRDefault="005207B6" w:rsidP="006E3D2E">
            <w:pPr>
              <w:spacing w:after="0" w:line="240" w:lineRule="auto"/>
              <w:jc w:val="center"/>
              <w:rPr>
                <w:rFonts w:cs="Arial"/>
                <w:sz w:val="16"/>
                <w:szCs w:val="16"/>
              </w:rPr>
            </w:pPr>
            <w:r w:rsidRPr="00F926E3">
              <w:t>$105</w:t>
            </w:r>
          </w:p>
        </w:tc>
        <w:tc>
          <w:tcPr>
            <w:tcW w:w="0" w:type="dxa"/>
            <w:gridSpan w:val="2"/>
            <w:tcBorders>
              <w:top w:val="nil"/>
              <w:left w:val="nil"/>
              <w:bottom w:val="single" w:sz="4" w:space="0" w:color="000000"/>
              <w:right w:val="nil"/>
            </w:tcBorders>
            <w:shd w:val="clear" w:color="auto" w:fill="auto"/>
            <w:noWrap/>
          </w:tcPr>
          <w:p w14:paraId="4C5A4843" w14:textId="3B267853" w:rsidR="006E3D2E" w:rsidRPr="00BB165A" w:rsidRDefault="005207B6" w:rsidP="006E3D2E">
            <w:pPr>
              <w:spacing w:after="0" w:line="240" w:lineRule="auto"/>
              <w:jc w:val="center"/>
              <w:rPr>
                <w:rFonts w:cs="Arial"/>
                <w:sz w:val="16"/>
                <w:szCs w:val="16"/>
              </w:rPr>
            </w:pPr>
            <w:r w:rsidRPr="00F926E3">
              <w:t>0.6%</w:t>
            </w:r>
          </w:p>
        </w:tc>
        <w:tc>
          <w:tcPr>
            <w:tcW w:w="0" w:type="dxa"/>
            <w:tcBorders>
              <w:top w:val="nil"/>
              <w:left w:val="nil"/>
              <w:bottom w:val="single" w:sz="4" w:space="0" w:color="000000"/>
              <w:right w:val="nil"/>
            </w:tcBorders>
            <w:shd w:val="clear" w:color="auto" w:fill="auto"/>
          </w:tcPr>
          <w:p w14:paraId="3E92FD58" w14:textId="4DE2CCF0" w:rsidR="006E3D2E" w:rsidRPr="00BB165A" w:rsidRDefault="005207B6" w:rsidP="006E3D2E">
            <w:pPr>
              <w:spacing w:after="0" w:line="240" w:lineRule="auto"/>
              <w:jc w:val="center"/>
              <w:rPr>
                <w:rFonts w:cs="Arial"/>
                <w:sz w:val="16"/>
                <w:szCs w:val="16"/>
              </w:rPr>
            </w:pPr>
            <w:r w:rsidRPr="00F926E3">
              <w:t>$644</w:t>
            </w:r>
          </w:p>
        </w:tc>
        <w:tc>
          <w:tcPr>
            <w:tcW w:w="0" w:type="dxa"/>
            <w:tcBorders>
              <w:top w:val="nil"/>
              <w:left w:val="nil"/>
              <w:bottom w:val="single" w:sz="4" w:space="0" w:color="000000"/>
              <w:right w:val="nil"/>
            </w:tcBorders>
            <w:shd w:val="clear" w:color="auto" w:fill="auto"/>
          </w:tcPr>
          <w:p w14:paraId="280DEBFE" w14:textId="29C00C96" w:rsidR="006E3D2E" w:rsidRPr="00BB165A" w:rsidRDefault="005207B6" w:rsidP="006E3D2E">
            <w:pPr>
              <w:spacing w:after="0" w:line="240" w:lineRule="auto"/>
              <w:jc w:val="center"/>
              <w:rPr>
                <w:rFonts w:cs="Arial"/>
                <w:sz w:val="16"/>
                <w:szCs w:val="16"/>
              </w:rPr>
            </w:pPr>
            <w:r w:rsidRPr="00F926E3">
              <w:t>3.1%</w:t>
            </w:r>
          </w:p>
        </w:tc>
        <w:tc>
          <w:tcPr>
            <w:tcW w:w="0" w:type="dxa"/>
            <w:tcBorders>
              <w:top w:val="nil"/>
              <w:left w:val="nil"/>
              <w:bottom w:val="single" w:sz="4" w:space="0" w:color="000000"/>
              <w:right w:val="nil"/>
            </w:tcBorders>
            <w:shd w:val="clear" w:color="auto" w:fill="auto"/>
          </w:tcPr>
          <w:p w14:paraId="39232CA4" w14:textId="47AF9A61" w:rsidR="006E3D2E" w:rsidRPr="00BB165A" w:rsidRDefault="005207B6" w:rsidP="006E3D2E">
            <w:pPr>
              <w:spacing w:after="0" w:line="240" w:lineRule="auto"/>
              <w:jc w:val="center"/>
              <w:rPr>
                <w:rFonts w:cs="Arial"/>
                <w:sz w:val="16"/>
                <w:szCs w:val="16"/>
              </w:rPr>
            </w:pPr>
            <w:r w:rsidRPr="00F926E3">
              <w:t>6</w:t>
            </w:r>
          </w:p>
        </w:tc>
      </w:tr>
      <w:tr w:rsidR="006E3D2E" w:rsidRPr="00134C61" w14:paraId="4F81927A" w14:textId="77777777" w:rsidTr="00416131">
        <w:trPr>
          <w:trHeight w:val="226"/>
        </w:trPr>
        <w:tc>
          <w:tcPr>
            <w:tcW w:w="0" w:type="dxa"/>
            <w:tcBorders>
              <w:top w:val="single" w:sz="4" w:space="0" w:color="auto"/>
              <w:left w:val="nil"/>
              <w:bottom w:val="single" w:sz="4" w:space="0" w:color="auto"/>
              <w:right w:val="nil"/>
            </w:tcBorders>
            <w:noWrap/>
          </w:tcPr>
          <w:p w14:paraId="7E390744" w14:textId="708134CF"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2020</w:t>
            </w:r>
          </w:p>
        </w:tc>
        <w:tc>
          <w:tcPr>
            <w:tcW w:w="0" w:type="dxa"/>
            <w:tcBorders>
              <w:top w:val="single" w:sz="4" w:space="0" w:color="auto"/>
              <w:left w:val="nil"/>
              <w:bottom w:val="single" w:sz="4" w:space="0" w:color="auto"/>
              <w:right w:val="nil"/>
            </w:tcBorders>
            <w:shd w:val="clear" w:color="auto" w:fill="auto"/>
            <w:noWrap/>
          </w:tcPr>
          <w:p w14:paraId="6CD8AE7E" w14:textId="36C24472" w:rsidR="006E3D2E" w:rsidRPr="00BB165A" w:rsidRDefault="005207B6" w:rsidP="006E3D2E">
            <w:pPr>
              <w:spacing w:after="0" w:line="240" w:lineRule="auto"/>
              <w:jc w:val="center"/>
              <w:rPr>
                <w:rFonts w:cs="Arial"/>
                <w:sz w:val="16"/>
                <w:szCs w:val="16"/>
              </w:rPr>
            </w:pPr>
            <w:r w:rsidRPr="00F926E3">
              <w:t>$116</w:t>
            </w:r>
          </w:p>
        </w:tc>
        <w:tc>
          <w:tcPr>
            <w:tcW w:w="0" w:type="dxa"/>
            <w:gridSpan w:val="2"/>
            <w:tcBorders>
              <w:top w:val="nil"/>
              <w:left w:val="nil"/>
              <w:bottom w:val="single" w:sz="4" w:space="0" w:color="000000"/>
              <w:right w:val="nil"/>
            </w:tcBorders>
            <w:shd w:val="clear" w:color="auto" w:fill="auto"/>
            <w:noWrap/>
          </w:tcPr>
          <w:p w14:paraId="4FAAFC1A" w14:textId="55C88EA6" w:rsidR="006E3D2E" w:rsidRPr="00BB165A" w:rsidRDefault="005207B6" w:rsidP="006E3D2E">
            <w:pPr>
              <w:spacing w:after="0" w:line="240" w:lineRule="auto"/>
              <w:jc w:val="center"/>
              <w:rPr>
                <w:rFonts w:cs="Arial"/>
                <w:sz w:val="16"/>
                <w:szCs w:val="16"/>
              </w:rPr>
            </w:pPr>
            <w:r w:rsidRPr="00F926E3">
              <w:t>0.6%</w:t>
            </w:r>
          </w:p>
        </w:tc>
        <w:tc>
          <w:tcPr>
            <w:tcW w:w="0" w:type="dxa"/>
            <w:tcBorders>
              <w:top w:val="nil"/>
              <w:left w:val="nil"/>
              <w:bottom w:val="single" w:sz="4" w:space="0" w:color="000000"/>
              <w:right w:val="nil"/>
            </w:tcBorders>
            <w:shd w:val="clear" w:color="auto" w:fill="auto"/>
          </w:tcPr>
          <w:p w14:paraId="6D9653AD" w14:textId="0A1549DA" w:rsidR="006E3D2E" w:rsidRPr="00BB165A" w:rsidRDefault="005207B6" w:rsidP="006E3D2E">
            <w:pPr>
              <w:spacing w:after="0" w:line="240" w:lineRule="auto"/>
              <w:jc w:val="center"/>
              <w:rPr>
                <w:rFonts w:cs="Arial"/>
                <w:sz w:val="16"/>
                <w:szCs w:val="16"/>
              </w:rPr>
            </w:pPr>
            <w:r w:rsidRPr="00F926E3">
              <w:t>$699</w:t>
            </w:r>
          </w:p>
        </w:tc>
        <w:tc>
          <w:tcPr>
            <w:tcW w:w="0" w:type="dxa"/>
            <w:tcBorders>
              <w:top w:val="nil"/>
              <w:left w:val="nil"/>
              <w:bottom w:val="single" w:sz="4" w:space="0" w:color="000000"/>
              <w:right w:val="nil"/>
            </w:tcBorders>
            <w:shd w:val="clear" w:color="auto" w:fill="auto"/>
          </w:tcPr>
          <w:p w14:paraId="3B14F2B5" w14:textId="523C0C1C" w:rsidR="006E3D2E" w:rsidRPr="00BB165A" w:rsidRDefault="005207B6" w:rsidP="006E3D2E">
            <w:pPr>
              <w:spacing w:after="0" w:line="240" w:lineRule="auto"/>
              <w:jc w:val="center"/>
              <w:rPr>
                <w:rFonts w:cs="Arial"/>
                <w:sz w:val="16"/>
                <w:szCs w:val="16"/>
              </w:rPr>
            </w:pPr>
            <w:r w:rsidRPr="00F926E3">
              <w:t>3.7%</w:t>
            </w:r>
          </w:p>
        </w:tc>
        <w:tc>
          <w:tcPr>
            <w:tcW w:w="0" w:type="dxa"/>
            <w:tcBorders>
              <w:top w:val="nil"/>
              <w:left w:val="nil"/>
              <w:bottom w:val="single" w:sz="4" w:space="0" w:color="000000"/>
              <w:right w:val="nil"/>
            </w:tcBorders>
            <w:shd w:val="clear" w:color="auto" w:fill="auto"/>
          </w:tcPr>
          <w:p w14:paraId="2DAFE219" w14:textId="64A9635D" w:rsidR="006E3D2E" w:rsidRPr="00BB165A" w:rsidRDefault="005207B6" w:rsidP="006E3D2E">
            <w:pPr>
              <w:spacing w:after="0" w:line="240" w:lineRule="auto"/>
              <w:jc w:val="center"/>
              <w:rPr>
                <w:rFonts w:cs="Arial"/>
                <w:sz w:val="16"/>
                <w:szCs w:val="16"/>
              </w:rPr>
            </w:pPr>
            <w:r w:rsidRPr="00F926E3">
              <w:t>6</w:t>
            </w:r>
          </w:p>
        </w:tc>
      </w:tr>
      <w:tr w:rsidR="006E3D2E" w:rsidRPr="00134C61" w14:paraId="4CD8B0C8" w14:textId="77777777" w:rsidTr="00416131">
        <w:trPr>
          <w:trHeight w:val="226"/>
        </w:trPr>
        <w:tc>
          <w:tcPr>
            <w:tcW w:w="0" w:type="dxa"/>
            <w:tcBorders>
              <w:top w:val="single" w:sz="4" w:space="0" w:color="auto"/>
              <w:left w:val="nil"/>
              <w:bottom w:val="single" w:sz="4" w:space="0" w:color="auto"/>
              <w:right w:val="nil"/>
            </w:tcBorders>
            <w:noWrap/>
            <w:hideMark/>
          </w:tcPr>
          <w:p w14:paraId="7051E321" w14:textId="77777777" w:rsidR="006E3D2E" w:rsidRPr="00BB165A" w:rsidRDefault="006E3D2E" w:rsidP="006E3D2E">
            <w:pPr>
              <w:spacing w:after="0" w:line="240" w:lineRule="auto"/>
              <w:rPr>
                <w:rFonts w:eastAsia="Times New Roman" w:cs="Arial"/>
                <w:b/>
                <w:sz w:val="16"/>
                <w:szCs w:val="16"/>
                <w:lang w:eastAsia="en-AU"/>
              </w:rPr>
            </w:pPr>
            <w:r w:rsidRPr="00BB165A">
              <w:rPr>
                <w:rFonts w:eastAsia="Times New Roman" w:cs="Arial"/>
                <w:b/>
                <w:sz w:val="16"/>
                <w:szCs w:val="16"/>
                <w:lang w:eastAsia="en-AU"/>
              </w:rPr>
              <w:t>Total below the line costs</w:t>
            </w:r>
          </w:p>
        </w:tc>
        <w:tc>
          <w:tcPr>
            <w:tcW w:w="0" w:type="dxa"/>
            <w:tcBorders>
              <w:top w:val="single" w:sz="4" w:space="0" w:color="auto"/>
              <w:left w:val="nil"/>
              <w:bottom w:val="single" w:sz="4" w:space="0" w:color="auto"/>
              <w:right w:val="nil"/>
            </w:tcBorders>
            <w:shd w:val="clear" w:color="auto" w:fill="auto"/>
            <w:noWrap/>
            <w:hideMark/>
          </w:tcPr>
          <w:p w14:paraId="108362C0" w14:textId="3A839FB5" w:rsidR="006E3D2E" w:rsidRPr="00BB165A" w:rsidRDefault="006E3D2E" w:rsidP="006E3D2E">
            <w:pPr>
              <w:spacing w:after="0" w:line="240" w:lineRule="auto"/>
              <w:jc w:val="center"/>
              <w:rPr>
                <w:rFonts w:eastAsia="Times New Roman" w:cs="Arial"/>
                <w:sz w:val="16"/>
                <w:szCs w:val="16"/>
                <w:lang w:eastAsia="en-AU"/>
              </w:rPr>
            </w:pPr>
          </w:p>
        </w:tc>
        <w:tc>
          <w:tcPr>
            <w:tcW w:w="0" w:type="dxa"/>
            <w:gridSpan w:val="2"/>
            <w:tcBorders>
              <w:top w:val="nil"/>
              <w:left w:val="nil"/>
              <w:bottom w:val="single" w:sz="4" w:space="0" w:color="000000"/>
              <w:right w:val="nil"/>
            </w:tcBorders>
            <w:shd w:val="clear" w:color="auto" w:fill="auto"/>
            <w:noWrap/>
            <w:hideMark/>
          </w:tcPr>
          <w:p w14:paraId="1B7019AC" w14:textId="2D8117BF"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36959E9F" w14:textId="5155D4C7"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24F30A03" w14:textId="64D0C902" w:rsidR="006E3D2E" w:rsidRPr="00BB165A" w:rsidRDefault="006E3D2E" w:rsidP="006E3D2E">
            <w:pPr>
              <w:spacing w:after="0" w:line="240" w:lineRule="auto"/>
              <w:jc w:val="center"/>
              <w:rPr>
                <w:rFonts w:eastAsia="Times New Roman" w:cs="Arial"/>
                <w:sz w:val="16"/>
                <w:szCs w:val="16"/>
                <w:lang w:eastAsia="en-AU"/>
              </w:rPr>
            </w:pPr>
          </w:p>
        </w:tc>
        <w:tc>
          <w:tcPr>
            <w:tcW w:w="0" w:type="dxa"/>
            <w:tcBorders>
              <w:top w:val="nil"/>
              <w:left w:val="nil"/>
              <w:bottom w:val="single" w:sz="4" w:space="0" w:color="000000"/>
              <w:right w:val="nil"/>
            </w:tcBorders>
            <w:shd w:val="clear" w:color="auto" w:fill="auto"/>
          </w:tcPr>
          <w:p w14:paraId="1AD3DD2C" w14:textId="38BC2F17" w:rsidR="006E3D2E" w:rsidRPr="00BB165A" w:rsidRDefault="006E3D2E" w:rsidP="006E3D2E">
            <w:pPr>
              <w:spacing w:after="0" w:line="240" w:lineRule="auto"/>
              <w:jc w:val="center"/>
              <w:rPr>
                <w:rFonts w:eastAsia="Times New Roman" w:cs="Arial"/>
                <w:sz w:val="16"/>
                <w:szCs w:val="16"/>
                <w:lang w:eastAsia="en-AU"/>
              </w:rPr>
            </w:pPr>
          </w:p>
        </w:tc>
      </w:tr>
      <w:tr w:rsidR="006E3D2E" w:rsidRPr="00134C61" w14:paraId="6E2070C1" w14:textId="77777777" w:rsidTr="00416131">
        <w:trPr>
          <w:trHeight w:val="226"/>
        </w:trPr>
        <w:tc>
          <w:tcPr>
            <w:tcW w:w="0" w:type="dxa"/>
            <w:tcBorders>
              <w:top w:val="single" w:sz="4" w:space="0" w:color="auto"/>
              <w:left w:val="nil"/>
              <w:bottom w:val="single" w:sz="4" w:space="0" w:color="auto"/>
              <w:right w:val="nil"/>
            </w:tcBorders>
            <w:noWrap/>
          </w:tcPr>
          <w:p w14:paraId="06567E41" w14:textId="4ECB60E7"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2019</w:t>
            </w:r>
          </w:p>
        </w:tc>
        <w:tc>
          <w:tcPr>
            <w:tcW w:w="0" w:type="dxa"/>
            <w:tcBorders>
              <w:top w:val="single" w:sz="4" w:space="0" w:color="auto"/>
              <w:left w:val="nil"/>
              <w:bottom w:val="single" w:sz="4" w:space="0" w:color="auto"/>
              <w:right w:val="nil"/>
            </w:tcBorders>
            <w:shd w:val="clear" w:color="auto" w:fill="auto"/>
            <w:noWrap/>
          </w:tcPr>
          <w:p w14:paraId="3F3634E6" w14:textId="26674545" w:rsidR="006E3D2E" w:rsidRPr="00BB165A" w:rsidRDefault="005207B6" w:rsidP="006E3D2E">
            <w:pPr>
              <w:spacing w:after="0" w:line="240" w:lineRule="auto"/>
              <w:jc w:val="center"/>
              <w:rPr>
                <w:rFonts w:cs="Arial"/>
                <w:sz w:val="16"/>
                <w:szCs w:val="16"/>
              </w:rPr>
            </w:pPr>
            <w:r w:rsidRPr="00F926E3">
              <w:t>$327</w:t>
            </w:r>
          </w:p>
        </w:tc>
        <w:tc>
          <w:tcPr>
            <w:tcW w:w="0" w:type="dxa"/>
            <w:gridSpan w:val="2"/>
            <w:tcBorders>
              <w:top w:val="nil"/>
              <w:left w:val="nil"/>
              <w:bottom w:val="single" w:sz="4" w:space="0" w:color="000000"/>
              <w:right w:val="nil"/>
            </w:tcBorders>
            <w:shd w:val="clear" w:color="auto" w:fill="auto"/>
            <w:noWrap/>
          </w:tcPr>
          <w:p w14:paraId="1D9838A5" w14:textId="62D93F95" w:rsidR="006E3D2E" w:rsidRPr="00BB165A" w:rsidRDefault="005207B6" w:rsidP="006E3D2E">
            <w:pPr>
              <w:spacing w:after="0" w:line="240" w:lineRule="auto"/>
              <w:jc w:val="center"/>
              <w:rPr>
                <w:rFonts w:cs="Arial"/>
                <w:sz w:val="16"/>
                <w:szCs w:val="16"/>
              </w:rPr>
            </w:pPr>
            <w:r w:rsidRPr="00F926E3">
              <w:t>1.7%</w:t>
            </w:r>
          </w:p>
        </w:tc>
        <w:tc>
          <w:tcPr>
            <w:tcW w:w="0" w:type="dxa"/>
            <w:tcBorders>
              <w:top w:val="nil"/>
              <w:left w:val="nil"/>
              <w:bottom w:val="single" w:sz="4" w:space="0" w:color="000000"/>
              <w:right w:val="nil"/>
            </w:tcBorders>
            <w:shd w:val="clear" w:color="auto" w:fill="auto"/>
          </w:tcPr>
          <w:p w14:paraId="73C1E3C3" w14:textId="436916F6" w:rsidR="006E3D2E" w:rsidRPr="00BB165A" w:rsidRDefault="005207B6" w:rsidP="006E3D2E">
            <w:pPr>
              <w:spacing w:after="0" w:line="240" w:lineRule="auto"/>
              <w:jc w:val="center"/>
              <w:rPr>
                <w:rFonts w:cs="Arial"/>
                <w:sz w:val="16"/>
                <w:szCs w:val="16"/>
              </w:rPr>
            </w:pPr>
            <w:r w:rsidRPr="00F926E3">
              <w:t>$1,468</w:t>
            </w:r>
          </w:p>
        </w:tc>
        <w:tc>
          <w:tcPr>
            <w:tcW w:w="0" w:type="dxa"/>
            <w:tcBorders>
              <w:top w:val="nil"/>
              <w:left w:val="nil"/>
              <w:bottom w:val="single" w:sz="4" w:space="0" w:color="000000"/>
              <w:right w:val="nil"/>
            </w:tcBorders>
            <w:shd w:val="clear" w:color="auto" w:fill="auto"/>
          </w:tcPr>
          <w:p w14:paraId="704B972A" w14:textId="60BD60AA" w:rsidR="006E3D2E" w:rsidRPr="00BB165A" w:rsidRDefault="005207B6" w:rsidP="006E3D2E">
            <w:pPr>
              <w:spacing w:after="0" w:line="240" w:lineRule="auto"/>
              <w:jc w:val="center"/>
              <w:rPr>
                <w:rFonts w:cs="Arial"/>
                <w:sz w:val="16"/>
                <w:szCs w:val="16"/>
              </w:rPr>
            </w:pPr>
            <w:r w:rsidRPr="00F926E3">
              <w:t>7.0%</w:t>
            </w:r>
          </w:p>
        </w:tc>
        <w:tc>
          <w:tcPr>
            <w:tcW w:w="0" w:type="dxa"/>
            <w:tcBorders>
              <w:top w:val="nil"/>
              <w:left w:val="nil"/>
              <w:bottom w:val="single" w:sz="4" w:space="0" w:color="000000"/>
              <w:right w:val="nil"/>
            </w:tcBorders>
            <w:shd w:val="clear" w:color="auto" w:fill="auto"/>
          </w:tcPr>
          <w:p w14:paraId="1EF312AE" w14:textId="5C323EAF" w:rsidR="006E3D2E" w:rsidRPr="00BB165A" w:rsidRDefault="005207B6" w:rsidP="006E3D2E">
            <w:pPr>
              <w:spacing w:after="0" w:line="240" w:lineRule="auto"/>
              <w:jc w:val="center"/>
              <w:rPr>
                <w:rFonts w:cs="Arial"/>
                <w:sz w:val="16"/>
                <w:szCs w:val="16"/>
              </w:rPr>
            </w:pPr>
            <w:r w:rsidRPr="00F926E3">
              <w:t>12</w:t>
            </w:r>
          </w:p>
        </w:tc>
      </w:tr>
      <w:tr w:rsidR="006E3D2E" w:rsidRPr="00134C61" w14:paraId="68D7B1D5" w14:textId="77777777" w:rsidTr="00416131">
        <w:trPr>
          <w:trHeight w:val="226"/>
        </w:trPr>
        <w:tc>
          <w:tcPr>
            <w:tcW w:w="0" w:type="dxa"/>
            <w:tcBorders>
              <w:top w:val="single" w:sz="4" w:space="0" w:color="000000" w:themeColor="text1"/>
              <w:left w:val="nil"/>
              <w:bottom w:val="single" w:sz="4" w:space="0" w:color="auto"/>
              <w:right w:val="nil"/>
            </w:tcBorders>
            <w:noWrap/>
          </w:tcPr>
          <w:p w14:paraId="671C1C7C" w14:textId="6B516325" w:rsidR="006E3D2E" w:rsidRPr="00412B8C" w:rsidRDefault="006E3D2E" w:rsidP="006E3D2E">
            <w:pPr>
              <w:spacing w:after="0" w:line="240" w:lineRule="auto"/>
              <w:ind w:left="79"/>
              <w:rPr>
                <w:rFonts w:eastAsia="Times New Roman" w:cs="Arial"/>
                <w:bCs/>
                <w:sz w:val="16"/>
                <w:szCs w:val="16"/>
                <w:lang w:eastAsia="en-AU"/>
              </w:rPr>
            </w:pPr>
            <w:r w:rsidRPr="00412B8C">
              <w:rPr>
                <w:rFonts w:eastAsia="Times New Roman" w:cs="Arial"/>
                <w:bCs/>
                <w:sz w:val="16"/>
                <w:szCs w:val="16"/>
                <w:lang w:eastAsia="en-AU"/>
              </w:rPr>
              <w:t>2020</w:t>
            </w:r>
          </w:p>
        </w:tc>
        <w:tc>
          <w:tcPr>
            <w:tcW w:w="0" w:type="dxa"/>
            <w:tcBorders>
              <w:top w:val="nil"/>
              <w:left w:val="nil"/>
              <w:bottom w:val="single" w:sz="4" w:space="0" w:color="auto"/>
              <w:right w:val="nil"/>
            </w:tcBorders>
            <w:shd w:val="clear" w:color="auto" w:fill="auto"/>
            <w:noWrap/>
          </w:tcPr>
          <w:p w14:paraId="3C7DBB2E" w14:textId="0E9BB31E" w:rsidR="006E3D2E" w:rsidRPr="00BB165A" w:rsidRDefault="005207B6" w:rsidP="006E3D2E">
            <w:pPr>
              <w:spacing w:after="0" w:line="240" w:lineRule="auto"/>
              <w:jc w:val="center"/>
              <w:rPr>
                <w:rFonts w:cs="Arial"/>
                <w:sz w:val="16"/>
                <w:szCs w:val="16"/>
              </w:rPr>
            </w:pPr>
            <w:r w:rsidRPr="00F926E3">
              <w:t>$314</w:t>
            </w:r>
          </w:p>
        </w:tc>
        <w:tc>
          <w:tcPr>
            <w:tcW w:w="0" w:type="dxa"/>
            <w:gridSpan w:val="2"/>
            <w:tcBorders>
              <w:top w:val="nil"/>
              <w:left w:val="nil"/>
              <w:bottom w:val="single" w:sz="4" w:space="0" w:color="000000"/>
              <w:right w:val="nil"/>
            </w:tcBorders>
            <w:shd w:val="clear" w:color="auto" w:fill="auto"/>
            <w:noWrap/>
          </w:tcPr>
          <w:p w14:paraId="3E82B066" w14:textId="06333CD3" w:rsidR="006E3D2E" w:rsidRPr="00BB165A" w:rsidRDefault="005207B6" w:rsidP="006E3D2E">
            <w:pPr>
              <w:spacing w:after="0" w:line="240" w:lineRule="auto"/>
              <w:jc w:val="center"/>
              <w:rPr>
                <w:rFonts w:cs="Arial"/>
                <w:sz w:val="16"/>
                <w:szCs w:val="16"/>
              </w:rPr>
            </w:pPr>
            <w:r w:rsidRPr="00F926E3">
              <w:t>1.7%</w:t>
            </w:r>
          </w:p>
        </w:tc>
        <w:tc>
          <w:tcPr>
            <w:tcW w:w="0" w:type="dxa"/>
            <w:tcBorders>
              <w:top w:val="nil"/>
              <w:left w:val="nil"/>
              <w:bottom w:val="single" w:sz="4" w:space="0" w:color="000000"/>
              <w:right w:val="nil"/>
            </w:tcBorders>
            <w:shd w:val="clear" w:color="auto" w:fill="auto"/>
          </w:tcPr>
          <w:p w14:paraId="36B606FB" w14:textId="76B12398" w:rsidR="006E3D2E" w:rsidRPr="00BB165A" w:rsidRDefault="005207B6" w:rsidP="006E3D2E">
            <w:pPr>
              <w:spacing w:after="0" w:line="240" w:lineRule="auto"/>
              <w:jc w:val="center"/>
              <w:rPr>
                <w:rFonts w:cs="Arial"/>
                <w:sz w:val="16"/>
                <w:szCs w:val="16"/>
              </w:rPr>
            </w:pPr>
            <w:r w:rsidRPr="00F926E3">
              <w:t>$1,396</w:t>
            </w:r>
          </w:p>
        </w:tc>
        <w:tc>
          <w:tcPr>
            <w:tcW w:w="0" w:type="dxa"/>
            <w:tcBorders>
              <w:top w:val="nil"/>
              <w:left w:val="nil"/>
              <w:bottom w:val="single" w:sz="4" w:space="0" w:color="000000"/>
              <w:right w:val="nil"/>
            </w:tcBorders>
            <w:shd w:val="clear" w:color="auto" w:fill="auto"/>
          </w:tcPr>
          <w:p w14:paraId="0036A16E" w14:textId="592558EB" w:rsidR="006E3D2E" w:rsidRPr="00BB165A" w:rsidRDefault="005207B6" w:rsidP="006E3D2E">
            <w:pPr>
              <w:spacing w:after="0" w:line="240" w:lineRule="auto"/>
              <w:jc w:val="center"/>
              <w:rPr>
                <w:rFonts w:cs="Arial"/>
                <w:sz w:val="16"/>
                <w:szCs w:val="16"/>
              </w:rPr>
            </w:pPr>
            <w:r w:rsidRPr="00F926E3">
              <w:t>7.3%</w:t>
            </w:r>
          </w:p>
        </w:tc>
        <w:tc>
          <w:tcPr>
            <w:tcW w:w="0" w:type="dxa"/>
            <w:tcBorders>
              <w:top w:val="nil"/>
              <w:left w:val="nil"/>
              <w:bottom w:val="single" w:sz="4" w:space="0" w:color="000000"/>
              <w:right w:val="nil"/>
            </w:tcBorders>
            <w:shd w:val="clear" w:color="auto" w:fill="auto"/>
          </w:tcPr>
          <w:p w14:paraId="4ADBAF0F" w14:textId="08D10278" w:rsidR="006E3D2E" w:rsidRPr="00BB165A" w:rsidRDefault="005207B6" w:rsidP="006E3D2E">
            <w:pPr>
              <w:spacing w:after="0" w:line="240" w:lineRule="auto"/>
              <w:jc w:val="center"/>
              <w:rPr>
                <w:rFonts w:cs="Arial"/>
                <w:sz w:val="16"/>
                <w:szCs w:val="16"/>
              </w:rPr>
            </w:pPr>
            <w:r w:rsidRPr="00F926E3">
              <w:t>11</w:t>
            </w:r>
          </w:p>
        </w:tc>
      </w:tr>
    </w:tbl>
    <w:p w14:paraId="72BF663E" w14:textId="60CED87C" w:rsidR="0058398C" w:rsidRPr="00FA7243" w:rsidRDefault="00CB22BE" w:rsidP="00FA7243">
      <w:pPr>
        <w:pStyle w:val="Caption"/>
        <w:rPr>
          <w:sz w:val="14"/>
        </w:rPr>
      </w:pPr>
      <w:r w:rsidRPr="00BB165A">
        <w:rPr>
          <w:sz w:val="14"/>
        </w:rPr>
        <w:t>Note:</w:t>
      </w:r>
      <w:r w:rsidR="00235029" w:rsidRPr="00BB165A">
        <w:rPr>
          <w:sz w:val="14"/>
        </w:rPr>
        <w:t xml:space="preserve"> There are unique but overlapping groups of universities who report b</w:t>
      </w:r>
      <w:r w:rsidRPr="00BB165A">
        <w:rPr>
          <w:sz w:val="14"/>
        </w:rPr>
        <w:t>elow the line costs</w:t>
      </w:r>
      <w:r w:rsidR="00235029" w:rsidRPr="00BB165A">
        <w:rPr>
          <w:sz w:val="14"/>
        </w:rPr>
        <w:t xml:space="preserve"> for each item. The total below the line costs for universities who report below the line costs for any of the individual items is therefore not the sum of the items above</w:t>
      </w:r>
      <w:r w:rsidR="002E54F2" w:rsidRPr="00BB165A">
        <w:rPr>
          <w:sz w:val="14"/>
        </w:rPr>
        <w:t xml:space="preserve"> as some universities may only report one below the line item</w:t>
      </w:r>
      <w:r w:rsidR="00235029" w:rsidRPr="00BB165A">
        <w:rPr>
          <w:sz w:val="14"/>
        </w:rPr>
        <w:t>.</w:t>
      </w:r>
      <w:r w:rsidR="00235029" w:rsidRPr="00B55E41">
        <w:rPr>
          <w:sz w:val="14"/>
        </w:rPr>
        <w:t xml:space="preserve"> </w:t>
      </w:r>
    </w:p>
    <w:p w14:paraId="4E54BE8D" w14:textId="77777777" w:rsidR="00A4300D" w:rsidRPr="00BB165A" w:rsidRDefault="00A4300D" w:rsidP="00A4300D">
      <w:pPr>
        <w:pStyle w:val="Heading3un-numbered"/>
        <w:spacing w:before="170"/>
      </w:pPr>
      <w:r w:rsidRPr="00BB165A">
        <w:t xml:space="preserve">In-kind costs </w:t>
      </w:r>
    </w:p>
    <w:p w14:paraId="241EFEAA" w14:textId="158B8CF1" w:rsidR="00A4300D" w:rsidRPr="00BB165A" w:rsidRDefault="00A4300D" w:rsidP="00A4300D">
      <w:r w:rsidRPr="00BB165A">
        <w:t>In-kind costs reflect non-monetary exchange of good</w:t>
      </w:r>
      <w:r w:rsidR="00BF6967" w:rsidRPr="00BB165A">
        <w:t>s</w:t>
      </w:r>
      <w:r w:rsidRPr="00BB165A">
        <w:t xml:space="preserve"> and services in return for teaching and scholarship services, which if not for the existing ‘quid pro quo’ nature, a university would face a financial cost. These arrangements may, for example, involve the shared use of another institution’s staff or resources for the purposes of teaching and scholarship, in exchange for the use of </w:t>
      </w:r>
      <w:r w:rsidR="00A5311B" w:rsidRPr="00BB165A">
        <w:t xml:space="preserve">university </w:t>
      </w:r>
      <w:r w:rsidRPr="00BB165A">
        <w:t>buildings or facilities.</w:t>
      </w:r>
    </w:p>
    <w:p w14:paraId="541C989F" w14:textId="03A40A4F" w:rsidR="00A4300D" w:rsidRPr="00BB165A" w:rsidRDefault="00A4300D" w:rsidP="00A4300D">
      <w:r w:rsidRPr="00BB165A">
        <w:t xml:space="preserve">Three universities reported in-kind costs across </w:t>
      </w:r>
      <w:r w:rsidR="00A62050" w:rsidRPr="00BB165A">
        <w:t>4</w:t>
      </w:r>
      <w:r w:rsidRPr="00BB165A">
        <w:t xml:space="preserve"> fields of education </w:t>
      </w:r>
      <w:r w:rsidR="008645E8" w:rsidRPr="00BB165A">
        <w:t xml:space="preserve">in both 2019 and 2020 </w:t>
      </w:r>
      <w:r w:rsidRPr="00BB165A">
        <w:t>(</w:t>
      </w:r>
      <w:r w:rsidR="006741FC">
        <w:fldChar w:fldCharType="begin"/>
      </w:r>
      <w:r w:rsidR="006741FC">
        <w:instrText xml:space="preserve"> REF _Ref103332790 \r \h </w:instrText>
      </w:r>
      <w:r w:rsidR="006741FC">
        <w:fldChar w:fldCharType="separate"/>
      </w:r>
      <w:r w:rsidR="00E83FB1">
        <w:t>Table 2.6</w:t>
      </w:r>
      <w:r w:rsidR="006741FC">
        <w:fldChar w:fldCharType="end"/>
      </w:r>
      <w:r w:rsidR="006741FC">
        <w:t xml:space="preserve"> and </w:t>
      </w:r>
      <w:r w:rsidR="006741FC">
        <w:fldChar w:fldCharType="begin"/>
      </w:r>
      <w:r w:rsidR="006741FC">
        <w:instrText xml:space="preserve"> REF _Ref103332793 \r \h </w:instrText>
      </w:r>
      <w:r w:rsidR="006741FC">
        <w:fldChar w:fldCharType="separate"/>
      </w:r>
      <w:r w:rsidR="00E83FB1">
        <w:t>Table 2.7</w:t>
      </w:r>
      <w:r w:rsidR="006741FC">
        <w:fldChar w:fldCharType="end"/>
      </w:r>
      <w:r w:rsidRPr="00BB165A">
        <w:t>), resulting in an average increase of $</w:t>
      </w:r>
      <w:r w:rsidR="008645E8" w:rsidRPr="00BB165A">
        <w:t>97</w:t>
      </w:r>
      <w:r w:rsidRPr="00BB165A">
        <w:t xml:space="preserve"> (0.</w:t>
      </w:r>
      <w:r w:rsidR="008645E8" w:rsidRPr="00BB165A">
        <w:t>5</w:t>
      </w:r>
      <w:r w:rsidRPr="00BB165A">
        <w:t>%) in cost per EFTSL</w:t>
      </w:r>
      <w:r w:rsidR="00AC17FA" w:rsidRPr="00BB165A">
        <w:t xml:space="preserve"> across the sector</w:t>
      </w:r>
      <w:r w:rsidR="008645E8" w:rsidRPr="00BB165A">
        <w:t xml:space="preserve"> for 2019 and $99 (0.5%) in 2020</w:t>
      </w:r>
      <w:r w:rsidR="00AC17FA" w:rsidRPr="00BB165A">
        <w:t xml:space="preserve">. For the three reporting universities, the </w:t>
      </w:r>
      <w:r w:rsidR="00BF6967" w:rsidRPr="00BB165A">
        <w:t xml:space="preserve">per EFTSL </w:t>
      </w:r>
      <w:r w:rsidR="00AC17FA" w:rsidRPr="00BB165A">
        <w:t>impact was much larger at $</w:t>
      </w:r>
      <w:r w:rsidR="00BB6605">
        <w:t>745</w:t>
      </w:r>
      <w:r w:rsidR="00AC17FA" w:rsidRPr="00BB165A">
        <w:t xml:space="preserve"> (or </w:t>
      </w:r>
      <w:r w:rsidR="002D19B8" w:rsidRPr="00BB165A">
        <w:t>3</w:t>
      </w:r>
      <w:r w:rsidR="00AC17FA" w:rsidRPr="00BB165A">
        <w:t>.</w:t>
      </w:r>
      <w:r w:rsidR="002D19B8" w:rsidRPr="00BB165A">
        <w:t>5</w:t>
      </w:r>
      <w:r w:rsidR="00AC17FA" w:rsidRPr="00BB165A">
        <w:t>%)</w:t>
      </w:r>
      <w:r w:rsidR="002D19B8" w:rsidRPr="00BB165A">
        <w:t xml:space="preserve"> in 2019 and </w:t>
      </w:r>
      <w:r w:rsidR="00835336" w:rsidRPr="00BB165A">
        <w:t>$</w:t>
      </w:r>
      <w:r w:rsidR="00E91F89">
        <w:t>747</w:t>
      </w:r>
      <w:r w:rsidR="00835336" w:rsidRPr="00BB165A">
        <w:t xml:space="preserve"> (or </w:t>
      </w:r>
      <w:r w:rsidR="00E91F89">
        <w:t>3.9</w:t>
      </w:r>
      <w:r w:rsidR="00835336" w:rsidRPr="00BB165A">
        <w:t>%) in 2020</w:t>
      </w:r>
      <w:r w:rsidR="00AC17FA" w:rsidRPr="00BB165A">
        <w:t>.</w:t>
      </w:r>
      <w:r w:rsidRPr="00BB165A">
        <w:t xml:space="preserve"> </w:t>
      </w:r>
      <w:r w:rsidR="006E7F38" w:rsidRPr="00BB165A">
        <w:t>Of those that did not report in-kind costs there were a range of reasons with most noting that they did not believe they had significant in-kind costs and a small number noting that they would be difficult to quantify</w:t>
      </w:r>
      <w:r w:rsidRPr="00BB165A">
        <w:t xml:space="preserve">. </w:t>
      </w:r>
    </w:p>
    <w:p w14:paraId="6817F5EF" w14:textId="32218828" w:rsidR="007E588C" w:rsidRPr="00BB165A" w:rsidRDefault="00931E54" w:rsidP="008D126E">
      <w:r w:rsidRPr="00BB165A">
        <w:t>For those universities who reported in-kind costs, t</w:t>
      </w:r>
      <w:r w:rsidR="00A4300D" w:rsidRPr="00BB165A">
        <w:t xml:space="preserve">he impact on cost per EFTSL is </w:t>
      </w:r>
      <w:r w:rsidR="00835336" w:rsidRPr="00BB165A">
        <w:t xml:space="preserve">completely </w:t>
      </w:r>
      <w:r w:rsidR="001D32DD" w:rsidRPr="00BB165A">
        <w:t>concentrated in health-related fields of education</w:t>
      </w:r>
      <w:r w:rsidR="00A4300D" w:rsidRPr="00BB165A">
        <w:t xml:space="preserve">. </w:t>
      </w:r>
      <w:r w:rsidR="009966C2" w:rsidRPr="00BB165A">
        <w:t>In particular</w:t>
      </w:r>
      <w:r w:rsidR="00622C71" w:rsidRPr="00BB165A">
        <w:t>,</w:t>
      </w:r>
      <w:r w:rsidR="009966C2" w:rsidRPr="00BB165A">
        <w:t xml:space="preserve"> the </w:t>
      </w:r>
      <w:r w:rsidR="00A4300D" w:rsidRPr="00BB165A">
        <w:t>Medical Studies</w:t>
      </w:r>
      <w:r w:rsidR="009966C2" w:rsidRPr="00BB165A">
        <w:t xml:space="preserve"> field has </w:t>
      </w:r>
      <w:r w:rsidR="00A4300D" w:rsidRPr="00BB165A">
        <w:t xml:space="preserve">in-kind costs </w:t>
      </w:r>
      <w:r w:rsidR="009966C2" w:rsidRPr="00BB165A">
        <w:t xml:space="preserve">that </w:t>
      </w:r>
      <w:r w:rsidR="00A4300D" w:rsidRPr="00BB165A">
        <w:t>were equivalent to a $</w:t>
      </w:r>
      <w:r w:rsidR="004B3F04">
        <w:t>3,729</w:t>
      </w:r>
      <w:r w:rsidR="00A4300D" w:rsidRPr="00BB165A">
        <w:t xml:space="preserve"> (or </w:t>
      </w:r>
      <w:r w:rsidR="00BB0696">
        <w:t>11.5</w:t>
      </w:r>
      <w:r w:rsidR="00A4300D" w:rsidRPr="00BB165A">
        <w:t>%)</w:t>
      </w:r>
      <w:r w:rsidRPr="00BB165A">
        <w:t xml:space="preserve"> </w:t>
      </w:r>
      <w:r w:rsidR="00A4300D" w:rsidRPr="00BB165A">
        <w:t>increase in cost per EFTSL</w:t>
      </w:r>
      <w:r w:rsidR="00F42A15" w:rsidRPr="00BB165A">
        <w:t xml:space="preserve"> in 2019 and</w:t>
      </w:r>
      <w:r w:rsidR="00DD0171" w:rsidRPr="00BB165A">
        <w:t xml:space="preserve"> $</w:t>
      </w:r>
      <w:r w:rsidR="00D9405E">
        <w:t xml:space="preserve">3,763 </w:t>
      </w:r>
      <w:r w:rsidR="00DD0171" w:rsidRPr="00BB165A">
        <w:t xml:space="preserve">(or </w:t>
      </w:r>
      <w:r w:rsidR="00D9405E">
        <w:t>12.1</w:t>
      </w:r>
      <w:r w:rsidR="00DD0171" w:rsidRPr="00BB165A">
        <w:t>%) in 2020.</w:t>
      </w:r>
    </w:p>
    <w:p w14:paraId="36D4814A" w14:textId="77777777" w:rsidR="007E588C" w:rsidRPr="00BB165A" w:rsidRDefault="007E588C">
      <w:pPr>
        <w:spacing w:after="0"/>
      </w:pPr>
      <w:r w:rsidRPr="00BB165A">
        <w:br w:type="page"/>
      </w:r>
    </w:p>
    <w:p w14:paraId="6CF6B0F3" w14:textId="2ADBCCDA" w:rsidR="00A4300D" w:rsidRPr="00BB165A" w:rsidRDefault="00A4300D" w:rsidP="006118C2">
      <w:pPr>
        <w:pStyle w:val="CaptionTable"/>
      </w:pPr>
      <w:bookmarkStart w:id="639" w:name="_Toc20245932"/>
      <w:bookmarkStart w:id="640" w:name="_Ref103332790"/>
      <w:bookmarkStart w:id="641" w:name="_Toc105776714"/>
      <w:r w:rsidRPr="00BB165A">
        <w:t>: Impact of in-kind costs on total teaching and scholarship costs</w:t>
      </w:r>
      <w:bookmarkEnd w:id="639"/>
      <w:r w:rsidR="00381218" w:rsidRPr="00BB165A">
        <w:t xml:space="preserve"> (</w:t>
      </w:r>
      <w:r w:rsidR="00E0310C" w:rsidRPr="00BB165A">
        <w:t>2019</w:t>
      </w:r>
      <w:r w:rsidR="00381218" w:rsidRPr="00BB165A">
        <w:t>)</w:t>
      </w:r>
      <w:bookmarkEnd w:id="640"/>
      <w:bookmarkEnd w:id="641"/>
    </w:p>
    <w:tbl>
      <w:tblPr>
        <w:tblStyle w:val="Deloittetable"/>
        <w:tblW w:w="9158" w:type="dxa"/>
        <w:tblLayout w:type="fixed"/>
        <w:tblCellMar>
          <w:left w:w="57" w:type="dxa"/>
          <w:right w:w="57" w:type="dxa"/>
        </w:tblCellMar>
        <w:tblLook w:val="04A0" w:firstRow="1" w:lastRow="0" w:firstColumn="1" w:lastColumn="0" w:noHBand="0" w:noVBand="1"/>
      </w:tblPr>
      <w:tblGrid>
        <w:gridCol w:w="1560"/>
        <w:gridCol w:w="729"/>
        <w:gridCol w:w="763"/>
        <w:gridCol w:w="1527"/>
        <w:gridCol w:w="1517"/>
        <w:gridCol w:w="9"/>
        <w:gridCol w:w="1526"/>
        <w:gridCol w:w="1527"/>
      </w:tblGrid>
      <w:tr w:rsidR="00397C83" w:rsidRPr="00DC3941" w14:paraId="59E21A93" w14:textId="77777777" w:rsidTr="00416131">
        <w:trPr>
          <w:cnfStyle w:val="100000000000" w:firstRow="1" w:lastRow="0" w:firstColumn="0" w:lastColumn="0" w:oddVBand="0" w:evenVBand="0" w:oddHBand="0" w:evenHBand="0" w:firstRowFirstColumn="0" w:firstRowLastColumn="0" w:lastRowFirstColumn="0" w:lastRowLastColumn="0"/>
          <w:trHeight w:val="446"/>
        </w:trPr>
        <w:tc>
          <w:tcPr>
            <w:tcW w:w="0" w:type="dxa"/>
            <w:tcBorders>
              <w:left w:val="nil"/>
              <w:bottom w:val="single" w:sz="4" w:space="0" w:color="000000" w:themeColor="text1"/>
              <w:right w:val="nil"/>
            </w:tcBorders>
            <w:noWrap/>
            <w:hideMark/>
          </w:tcPr>
          <w:p w14:paraId="4EEF53E3" w14:textId="1FC6DDB4" w:rsidR="00397C83" w:rsidRPr="00BB165A" w:rsidRDefault="00397C83" w:rsidP="00397C83">
            <w:pPr>
              <w:spacing w:after="0" w:line="240" w:lineRule="auto"/>
              <w:rPr>
                <w:rFonts w:eastAsia="Times New Roman" w:cs="Arial"/>
                <w:b/>
                <w:sz w:val="16"/>
                <w:szCs w:val="16"/>
                <w:lang w:eastAsia="en-AU"/>
              </w:rPr>
            </w:pPr>
            <w:r w:rsidRPr="00BB165A">
              <w:rPr>
                <w:rFonts w:eastAsia="Times New Roman" w:cs="Arial"/>
                <w:sz w:val="16"/>
                <w:szCs w:val="16"/>
                <w:lang w:eastAsia="en-AU"/>
              </w:rPr>
              <w:t> </w:t>
            </w:r>
            <w:r w:rsidR="00B70C2F">
              <w:rPr>
                <w:rFonts w:eastAsia="Times New Roman" w:cs="Arial"/>
                <w:b/>
                <w:sz w:val="16"/>
                <w:szCs w:val="16"/>
                <w:lang w:eastAsia="en-AU"/>
              </w:rPr>
              <w:t>FOE</w:t>
            </w:r>
          </w:p>
        </w:tc>
        <w:tc>
          <w:tcPr>
            <w:tcW w:w="1492" w:type="dxa"/>
            <w:gridSpan w:val="2"/>
            <w:tcBorders>
              <w:left w:val="nil"/>
              <w:bottom w:val="single" w:sz="4" w:space="0" w:color="000000" w:themeColor="text1"/>
              <w:right w:val="nil"/>
            </w:tcBorders>
            <w:noWrap/>
            <w:hideMark/>
          </w:tcPr>
          <w:p w14:paraId="4E71FDCF" w14:textId="77777777" w:rsidR="00397C83" w:rsidRPr="00BB165A" w:rsidRDefault="00397C83" w:rsidP="00397C83">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total cost</w:t>
            </w:r>
          </w:p>
        </w:tc>
        <w:tc>
          <w:tcPr>
            <w:tcW w:w="1527" w:type="dxa"/>
            <w:tcBorders>
              <w:left w:val="nil"/>
              <w:bottom w:val="single" w:sz="4" w:space="0" w:color="000000" w:themeColor="text1"/>
              <w:right w:val="nil"/>
            </w:tcBorders>
            <w:noWrap/>
            <w:hideMark/>
          </w:tcPr>
          <w:p w14:paraId="0622DFF2" w14:textId="77777777" w:rsidR="00397C83" w:rsidRPr="00BB165A" w:rsidRDefault="00397C83" w:rsidP="00D4620E">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26" w:type="dxa"/>
            <w:gridSpan w:val="2"/>
            <w:tcBorders>
              <w:left w:val="nil"/>
              <w:bottom w:val="single" w:sz="4" w:space="0" w:color="000000" w:themeColor="text1"/>
              <w:right w:val="nil"/>
            </w:tcBorders>
            <w:hideMark/>
          </w:tcPr>
          <w:p w14:paraId="02F5F00E" w14:textId="77777777" w:rsidR="00397C83" w:rsidRPr="00BB165A" w:rsidRDefault="00397C83" w:rsidP="00397C83">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c>
          <w:tcPr>
            <w:tcW w:w="1526" w:type="dxa"/>
            <w:tcBorders>
              <w:left w:val="nil"/>
              <w:bottom w:val="single" w:sz="4" w:space="0" w:color="000000" w:themeColor="text1"/>
              <w:right w:val="nil"/>
            </w:tcBorders>
          </w:tcPr>
          <w:p w14:paraId="3006F1D9" w14:textId="77777777" w:rsidR="00397C83" w:rsidRPr="00BB165A" w:rsidRDefault="00397C83" w:rsidP="00D4620E">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27" w:type="dxa"/>
            <w:tcBorders>
              <w:left w:val="nil"/>
              <w:bottom w:val="single" w:sz="4" w:space="0" w:color="000000" w:themeColor="text1"/>
              <w:right w:val="nil"/>
            </w:tcBorders>
          </w:tcPr>
          <w:p w14:paraId="1578E47C" w14:textId="77777777" w:rsidR="00397C83" w:rsidRPr="00BB165A" w:rsidRDefault="00397C83" w:rsidP="00397C83">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r>
      <w:tr w:rsidR="00051D43" w:rsidRPr="00DC3941" w14:paraId="43972D51" w14:textId="77777777" w:rsidTr="00F85E49">
        <w:trPr>
          <w:trHeight w:val="446"/>
        </w:trPr>
        <w:tc>
          <w:tcPr>
            <w:tcW w:w="2289" w:type="dxa"/>
            <w:gridSpan w:val="2"/>
            <w:tcBorders>
              <w:left w:val="nil"/>
              <w:bottom w:val="single" w:sz="4" w:space="0" w:color="000000" w:themeColor="text1"/>
              <w:right w:val="nil"/>
            </w:tcBorders>
            <w:noWrap/>
          </w:tcPr>
          <w:p w14:paraId="522255B7" w14:textId="77777777" w:rsidR="00051D43" w:rsidRPr="00BB165A" w:rsidRDefault="00051D43" w:rsidP="00397C83">
            <w:pPr>
              <w:spacing w:after="0" w:line="240" w:lineRule="auto"/>
              <w:rPr>
                <w:rFonts w:eastAsia="Times New Roman" w:cs="Arial"/>
                <w:sz w:val="16"/>
                <w:szCs w:val="16"/>
                <w:lang w:eastAsia="en-AU"/>
              </w:rPr>
            </w:pPr>
          </w:p>
        </w:tc>
        <w:tc>
          <w:tcPr>
            <w:tcW w:w="3807" w:type="dxa"/>
            <w:gridSpan w:val="3"/>
            <w:tcBorders>
              <w:left w:val="nil"/>
              <w:bottom w:val="single" w:sz="4" w:space="0" w:color="000000" w:themeColor="text1"/>
              <w:right w:val="nil"/>
            </w:tcBorders>
            <w:noWrap/>
          </w:tcPr>
          <w:p w14:paraId="329254F2" w14:textId="77777777" w:rsidR="00051D43" w:rsidRPr="00BB165A" w:rsidRDefault="00051D43" w:rsidP="00397C83">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3062" w:type="dxa"/>
            <w:gridSpan w:val="3"/>
            <w:tcBorders>
              <w:left w:val="nil"/>
              <w:bottom w:val="single" w:sz="4" w:space="0" w:color="000000" w:themeColor="text1"/>
              <w:right w:val="nil"/>
            </w:tcBorders>
          </w:tcPr>
          <w:p w14:paraId="32D1A281" w14:textId="77777777" w:rsidR="00051D43" w:rsidRPr="00BB165A" w:rsidRDefault="00051D43" w:rsidP="00397C83">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 xml:space="preserve">Universities who reported </w:t>
            </w:r>
          </w:p>
          <w:p w14:paraId="2F53F97E" w14:textId="77777777" w:rsidR="00051D43" w:rsidRPr="00BB165A" w:rsidRDefault="00051D43" w:rsidP="00397C83">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in-kind costs</w:t>
            </w:r>
          </w:p>
        </w:tc>
      </w:tr>
      <w:tr w:rsidR="00A30479" w:rsidRPr="00DC3941" w14:paraId="1A25E4BF" w14:textId="77777777" w:rsidTr="00550D17">
        <w:trPr>
          <w:trHeight w:val="210"/>
        </w:trPr>
        <w:tc>
          <w:tcPr>
            <w:tcW w:w="0" w:type="dxa"/>
            <w:tcBorders>
              <w:top w:val="single" w:sz="4" w:space="0" w:color="000000" w:themeColor="text1"/>
              <w:left w:val="nil"/>
              <w:bottom w:val="single" w:sz="4" w:space="0" w:color="000000" w:themeColor="text1"/>
              <w:right w:val="nil"/>
            </w:tcBorders>
            <w:noWrap/>
            <w:hideMark/>
          </w:tcPr>
          <w:p w14:paraId="19B24E66"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MathSci</w:t>
            </w:r>
          </w:p>
        </w:tc>
        <w:tc>
          <w:tcPr>
            <w:tcW w:w="1492" w:type="dxa"/>
            <w:gridSpan w:val="2"/>
            <w:tcBorders>
              <w:top w:val="single" w:sz="4" w:space="0" w:color="000000"/>
              <w:left w:val="nil"/>
              <w:bottom w:val="single" w:sz="4" w:space="0" w:color="000000"/>
              <w:right w:val="nil"/>
            </w:tcBorders>
            <w:shd w:val="clear" w:color="auto" w:fill="auto"/>
            <w:noWrap/>
          </w:tcPr>
          <w:p w14:paraId="68766DF4" w14:textId="555879ED"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single" w:sz="4" w:space="0" w:color="000000"/>
              <w:left w:val="nil"/>
              <w:bottom w:val="single" w:sz="4" w:space="0" w:color="000000"/>
              <w:right w:val="nil"/>
            </w:tcBorders>
            <w:shd w:val="clear" w:color="auto" w:fill="auto"/>
            <w:noWrap/>
          </w:tcPr>
          <w:p w14:paraId="22650DBF" w14:textId="3E4A6C1D"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single" w:sz="4" w:space="0" w:color="000000"/>
              <w:left w:val="nil"/>
              <w:bottom w:val="single" w:sz="4" w:space="0" w:color="000000"/>
              <w:right w:val="nil"/>
            </w:tcBorders>
            <w:shd w:val="clear" w:color="auto" w:fill="auto"/>
            <w:noWrap/>
          </w:tcPr>
          <w:p w14:paraId="19CD25A4" w14:textId="48226768"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single" w:sz="4" w:space="0" w:color="000000"/>
              <w:left w:val="nil"/>
              <w:bottom w:val="single" w:sz="4" w:space="0" w:color="000000"/>
              <w:right w:val="nil"/>
            </w:tcBorders>
            <w:shd w:val="clear" w:color="auto" w:fill="auto"/>
          </w:tcPr>
          <w:p w14:paraId="6E29C277" w14:textId="6AE5D692"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single" w:sz="4" w:space="0" w:color="000000"/>
              <w:left w:val="nil"/>
              <w:bottom w:val="single" w:sz="4" w:space="0" w:color="000000"/>
              <w:right w:val="nil"/>
            </w:tcBorders>
            <w:shd w:val="clear" w:color="auto" w:fill="auto"/>
          </w:tcPr>
          <w:p w14:paraId="531650C8" w14:textId="0E659E6C"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00908048"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3AC52FEE"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MedicalSci</w:t>
            </w:r>
          </w:p>
        </w:tc>
        <w:tc>
          <w:tcPr>
            <w:tcW w:w="1492" w:type="dxa"/>
            <w:gridSpan w:val="2"/>
            <w:tcBorders>
              <w:top w:val="nil"/>
              <w:left w:val="nil"/>
              <w:bottom w:val="single" w:sz="4" w:space="0" w:color="000000"/>
              <w:right w:val="nil"/>
            </w:tcBorders>
            <w:shd w:val="clear" w:color="auto" w:fill="auto"/>
            <w:noWrap/>
          </w:tcPr>
          <w:p w14:paraId="39CC8E4F" w14:textId="6B7B409E"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777C4629" w14:textId="726ACDC1"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759C8E73" w14:textId="066455BC"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1211BFDA" w14:textId="5239C112"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4DF9BB3A" w14:textId="0CB0BD16"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233E3684"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2960653"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OthNat-PhysSci</w:t>
            </w:r>
          </w:p>
        </w:tc>
        <w:tc>
          <w:tcPr>
            <w:tcW w:w="1492" w:type="dxa"/>
            <w:gridSpan w:val="2"/>
            <w:tcBorders>
              <w:top w:val="nil"/>
              <w:left w:val="nil"/>
              <w:bottom w:val="single" w:sz="4" w:space="0" w:color="000000"/>
              <w:right w:val="nil"/>
            </w:tcBorders>
            <w:shd w:val="clear" w:color="auto" w:fill="auto"/>
            <w:noWrap/>
          </w:tcPr>
          <w:p w14:paraId="107D7287" w14:textId="7352BDE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379F51DA" w14:textId="484BF047"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7613E37F" w14:textId="244DB7D3"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740B6E07" w14:textId="5491DFEF"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7588FC26" w14:textId="7B48BC32"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6F231569"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4BE3168"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InfoTech</w:t>
            </w:r>
          </w:p>
        </w:tc>
        <w:tc>
          <w:tcPr>
            <w:tcW w:w="1492" w:type="dxa"/>
            <w:gridSpan w:val="2"/>
            <w:tcBorders>
              <w:top w:val="nil"/>
              <w:left w:val="nil"/>
              <w:bottom w:val="single" w:sz="4" w:space="0" w:color="000000"/>
              <w:right w:val="nil"/>
            </w:tcBorders>
            <w:shd w:val="clear" w:color="auto" w:fill="auto"/>
            <w:noWrap/>
          </w:tcPr>
          <w:p w14:paraId="2F7A3940" w14:textId="3068CB57"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7EF31740" w14:textId="3F4DA824"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4ECFEBA2" w14:textId="21383742"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198F8995" w14:textId="04ACB213"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329DE9E7" w14:textId="7038473C"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72F79EBE"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FF95CD3"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Eng&amp;Related</w:t>
            </w:r>
          </w:p>
        </w:tc>
        <w:tc>
          <w:tcPr>
            <w:tcW w:w="1492" w:type="dxa"/>
            <w:gridSpan w:val="2"/>
            <w:tcBorders>
              <w:top w:val="nil"/>
              <w:left w:val="nil"/>
              <w:bottom w:val="single" w:sz="4" w:space="0" w:color="000000"/>
              <w:right w:val="nil"/>
            </w:tcBorders>
            <w:shd w:val="clear" w:color="auto" w:fill="auto"/>
            <w:noWrap/>
          </w:tcPr>
          <w:p w14:paraId="0C6AD1EA" w14:textId="3A11BBD0"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7903A784" w14:textId="555EED82"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1C3E64EC" w14:textId="35CA70FD"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20B26FDA" w14:textId="325D6ECE"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7879C7EC" w14:textId="4570A6F5"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008A3E9E"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091E286"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Archi&amp;Build</w:t>
            </w:r>
          </w:p>
        </w:tc>
        <w:tc>
          <w:tcPr>
            <w:tcW w:w="1492" w:type="dxa"/>
            <w:gridSpan w:val="2"/>
            <w:tcBorders>
              <w:top w:val="nil"/>
              <w:left w:val="nil"/>
              <w:bottom w:val="single" w:sz="4" w:space="0" w:color="000000"/>
              <w:right w:val="nil"/>
            </w:tcBorders>
            <w:shd w:val="clear" w:color="auto" w:fill="auto"/>
            <w:noWrap/>
          </w:tcPr>
          <w:p w14:paraId="17AC0021" w14:textId="0DC1E1D8"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3C8DB679" w14:textId="6201D0F7"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239E1A8C" w14:textId="7ABA8817"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036D377E" w14:textId="6103DDEE"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0FF68CF5" w14:textId="6C65CBCD"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2E3AB507"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5290DBEF"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Environment</w:t>
            </w:r>
          </w:p>
        </w:tc>
        <w:tc>
          <w:tcPr>
            <w:tcW w:w="1492" w:type="dxa"/>
            <w:gridSpan w:val="2"/>
            <w:tcBorders>
              <w:top w:val="nil"/>
              <w:left w:val="nil"/>
              <w:bottom w:val="single" w:sz="4" w:space="0" w:color="000000"/>
              <w:right w:val="nil"/>
            </w:tcBorders>
            <w:shd w:val="clear" w:color="auto" w:fill="auto"/>
            <w:noWrap/>
          </w:tcPr>
          <w:p w14:paraId="1A5243EF" w14:textId="1848573C"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6104DA2D" w14:textId="2A4751A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1232CC96" w14:textId="0D14E1C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41DF60F9" w14:textId="7526E5F6"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3197F910" w14:textId="7050F790"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4C4EE8B8"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1D3F9BB2"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OthAg&amp;Enviro</w:t>
            </w:r>
          </w:p>
        </w:tc>
        <w:tc>
          <w:tcPr>
            <w:tcW w:w="1492" w:type="dxa"/>
            <w:gridSpan w:val="2"/>
            <w:tcBorders>
              <w:top w:val="nil"/>
              <w:left w:val="nil"/>
              <w:bottom w:val="single" w:sz="4" w:space="0" w:color="000000"/>
              <w:right w:val="nil"/>
            </w:tcBorders>
            <w:shd w:val="clear" w:color="auto" w:fill="auto"/>
            <w:noWrap/>
          </w:tcPr>
          <w:p w14:paraId="2C44C073" w14:textId="6D365069"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6497CBE0" w14:textId="57B7CB26"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2E7530E2" w14:textId="40F94626"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60E12624" w14:textId="3604F560"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38811D54" w14:textId="774627FB"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128C2BD6"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0A42C672"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MedicalStudies</w:t>
            </w:r>
          </w:p>
        </w:tc>
        <w:tc>
          <w:tcPr>
            <w:tcW w:w="1492" w:type="dxa"/>
            <w:gridSpan w:val="2"/>
            <w:tcBorders>
              <w:top w:val="nil"/>
              <w:left w:val="nil"/>
              <w:bottom w:val="single" w:sz="4" w:space="0" w:color="000000"/>
              <w:right w:val="nil"/>
            </w:tcBorders>
            <w:shd w:val="clear" w:color="auto" w:fill="auto"/>
            <w:noWrap/>
          </w:tcPr>
          <w:p w14:paraId="3EC3B099" w14:textId="5978CCA8"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$83,479,726</w:t>
            </w:r>
          </w:p>
        </w:tc>
        <w:tc>
          <w:tcPr>
            <w:tcW w:w="1527" w:type="dxa"/>
            <w:tcBorders>
              <w:top w:val="nil"/>
              <w:left w:val="nil"/>
              <w:bottom w:val="single" w:sz="4" w:space="0" w:color="000000"/>
              <w:right w:val="nil"/>
            </w:tcBorders>
            <w:shd w:val="clear" w:color="auto" w:fill="auto"/>
            <w:noWrap/>
          </w:tcPr>
          <w:p w14:paraId="745AA55C" w14:textId="0A50284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$3,729</w:t>
            </w:r>
          </w:p>
        </w:tc>
        <w:tc>
          <w:tcPr>
            <w:tcW w:w="1526" w:type="dxa"/>
            <w:gridSpan w:val="2"/>
            <w:tcBorders>
              <w:top w:val="nil"/>
              <w:left w:val="nil"/>
              <w:bottom w:val="single" w:sz="4" w:space="0" w:color="000000"/>
              <w:right w:val="nil"/>
            </w:tcBorders>
            <w:shd w:val="clear" w:color="auto" w:fill="auto"/>
            <w:noWrap/>
          </w:tcPr>
          <w:p w14:paraId="5486BB13" w14:textId="40258D5F"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11.5%</w:t>
            </w:r>
          </w:p>
        </w:tc>
        <w:tc>
          <w:tcPr>
            <w:tcW w:w="1526" w:type="dxa"/>
            <w:tcBorders>
              <w:top w:val="nil"/>
              <w:left w:val="nil"/>
              <w:bottom w:val="single" w:sz="4" w:space="0" w:color="000000"/>
              <w:right w:val="nil"/>
            </w:tcBorders>
            <w:shd w:val="clear" w:color="auto" w:fill="auto"/>
          </w:tcPr>
          <w:p w14:paraId="4FC39D18" w14:textId="7BAD5917" w:rsidR="00524DD0" w:rsidRPr="00896B16" w:rsidRDefault="00DD66D1" w:rsidP="00524DD0">
            <w:pPr>
              <w:spacing w:after="0" w:line="240" w:lineRule="auto"/>
              <w:jc w:val="center"/>
              <w:rPr>
                <w:rFonts w:asciiTheme="minorHAnsi" w:hAnsiTheme="minorHAnsi" w:cs="Arial"/>
                <w:sz w:val="16"/>
                <w:szCs w:val="16"/>
              </w:rPr>
            </w:pPr>
            <w:r w:rsidRPr="006518DA">
              <w:t>$16,005</w:t>
            </w:r>
          </w:p>
        </w:tc>
        <w:tc>
          <w:tcPr>
            <w:tcW w:w="1527" w:type="dxa"/>
            <w:tcBorders>
              <w:top w:val="nil"/>
              <w:left w:val="nil"/>
              <w:bottom w:val="single" w:sz="4" w:space="0" w:color="000000"/>
              <w:right w:val="nil"/>
            </w:tcBorders>
            <w:shd w:val="clear" w:color="auto" w:fill="auto"/>
          </w:tcPr>
          <w:p w14:paraId="1E6E8FB7" w14:textId="443FB08E" w:rsidR="00524DD0" w:rsidRPr="00896B16" w:rsidRDefault="00DD66D1" w:rsidP="00524DD0">
            <w:pPr>
              <w:spacing w:after="0" w:line="240" w:lineRule="auto"/>
              <w:jc w:val="center"/>
              <w:rPr>
                <w:rFonts w:asciiTheme="minorHAnsi" w:hAnsiTheme="minorHAnsi" w:cs="Arial"/>
                <w:sz w:val="16"/>
                <w:szCs w:val="16"/>
              </w:rPr>
            </w:pPr>
            <w:r w:rsidRPr="006518DA">
              <w:t>50.9%</w:t>
            </w:r>
          </w:p>
        </w:tc>
      </w:tr>
      <w:tr w:rsidR="00550D17" w:rsidRPr="00DC3941" w14:paraId="291B98FA"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67A67BE"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Nursing</w:t>
            </w:r>
          </w:p>
        </w:tc>
        <w:tc>
          <w:tcPr>
            <w:tcW w:w="1492" w:type="dxa"/>
            <w:gridSpan w:val="2"/>
            <w:tcBorders>
              <w:top w:val="nil"/>
              <w:left w:val="nil"/>
              <w:bottom w:val="single" w:sz="4" w:space="0" w:color="000000"/>
              <w:right w:val="nil"/>
            </w:tcBorders>
            <w:shd w:val="clear" w:color="auto" w:fill="auto"/>
            <w:noWrap/>
          </w:tcPr>
          <w:p w14:paraId="40EAA3F0" w14:textId="5A651253"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$2,379,018</w:t>
            </w:r>
          </w:p>
        </w:tc>
        <w:tc>
          <w:tcPr>
            <w:tcW w:w="1527" w:type="dxa"/>
            <w:tcBorders>
              <w:top w:val="nil"/>
              <w:left w:val="nil"/>
              <w:bottom w:val="single" w:sz="4" w:space="0" w:color="000000"/>
              <w:right w:val="nil"/>
            </w:tcBorders>
            <w:shd w:val="clear" w:color="auto" w:fill="auto"/>
            <w:noWrap/>
          </w:tcPr>
          <w:p w14:paraId="04A005B5" w14:textId="727CD2B7"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$42</w:t>
            </w:r>
          </w:p>
        </w:tc>
        <w:tc>
          <w:tcPr>
            <w:tcW w:w="1526" w:type="dxa"/>
            <w:gridSpan w:val="2"/>
            <w:tcBorders>
              <w:top w:val="nil"/>
              <w:left w:val="nil"/>
              <w:bottom w:val="single" w:sz="4" w:space="0" w:color="000000"/>
              <w:right w:val="nil"/>
            </w:tcBorders>
            <w:shd w:val="clear" w:color="auto" w:fill="auto"/>
            <w:noWrap/>
          </w:tcPr>
          <w:p w14:paraId="0A07AA3A" w14:textId="39ACAB2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0.2%</w:t>
            </w:r>
          </w:p>
        </w:tc>
        <w:tc>
          <w:tcPr>
            <w:tcW w:w="1526" w:type="dxa"/>
            <w:tcBorders>
              <w:top w:val="nil"/>
              <w:left w:val="nil"/>
              <w:bottom w:val="single" w:sz="4" w:space="0" w:color="000000"/>
              <w:right w:val="nil"/>
            </w:tcBorders>
            <w:shd w:val="clear" w:color="auto" w:fill="auto"/>
          </w:tcPr>
          <w:p w14:paraId="631A32C2" w14:textId="302E7D3D" w:rsidR="00524DD0" w:rsidRPr="00896B16" w:rsidRDefault="00DD66D1" w:rsidP="00524DD0">
            <w:pPr>
              <w:spacing w:after="0" w:line="240" w:lineRule="auto"/>
              <w:jc w:val="center"/>
              <w:rPr>
                <w:rFonts w:asciiTheme="minorHAnsi" w:hAnsiTheme="minorHAnsi" w:cs="Arial"/>
                <w:sz w:val="16"/>
                <w:szCs w:val="16"/>
              </w:rPr>
            </w:pPr>
            <w:r w:rsidRPr="006518DA">
              <w:t>$657</w:t>
            </w:r>
          </w:p>
        </w:tc>
        <w:tc>
          <w:tcPr>
            <w:tcW w:w="1527" w:type="dxa"/>
            <w:tcBorders>
              <w:top w:val="nil"/>
              <w:left w:val="nil"/>
              <w:bottom w:val="single" w:sz="4" w:space="0" w:color="000000"/>
              <w:right w:val="nil"/>
            </w:tcBorders>
            <w:shd w:val="clear" w:color="auto" w:fill="auto"/>
          </w:tcPr>
          <w:p w14:paraId="7F1A2573" w14:textId="02875BFD" w:rsidR="00524DD0" w:rsidRPr="00896B16" w:rsidRDefault="00DD66D1" w:rsidP="00524DD0">
            <w:pPr>
              <w:spacing w:after="0" w:line="240" w:lineRule="auto"/>
              <w:jc w:val="center"/>
              <w:rPr>
                <w:rFonts w:asciiTheme="minorHAnsi" w:hAnsiTheme="minorHAnsi" w:cs="Arial"/>
                <w:sz w:val="16"/>
                <w:szCs w:val="16"/>
              </w:rPr>
            </w:pPr>
            <w:r w:rsidRPr="006518DA">
              <w:t>3.7%</w:t>
            </w:r>
          </w:p>
        </w:tc>
      </w:tr>
      <w:tr w:rsidR="00550D17" w:rsidRPr="00DC3941" w14:paraId="2E09C8BB"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2C86D63"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Dental</w:t>
            </w:r>
          </w:p>
        </w:tc>
        <w:tc>
          <w:tcPr>
            <w:tcW w:w="1492" w:type="dxa"/>
            <w:gridSpan w:val="2"/>
            <w:tcBorders>
              <w:top w:val="nil"/>
              <w:left w:val="nil"/>
              <w:bottom w:val="single" w:sz="4" w:space="0" w:color="000000"/>
              <w:right w:val="nil"/>
            </w:tcBorders>
            <w:shd w:val="clear" w:color="auto" w:fill="auto"/>
            <w:noWrap/>
          </w:tcPr>
          <w:p w14:paraId="7E193C23" w14:textId="1DE0AFAF"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$2,216,220</w:t>
            </w:r>
          </w:p>
        </w:tc>
        <w:tc>
          <w:tcPr>
            <w:tcW w:w="1527" w:type="dxa"/>
            <w:tcBorders>
              <w:top w:val="nil"/>
              <w:left w:val="nil"/>
              <w:bottom w:val="single" w:sz="4" w:space="0" w:color="000000"/>
              <w:right w:val="nil"/>
            </w:tcBorders>
            <w:shd w:val="clear" w:color="auto" w:fill="auto"/>
            <w:noWrap/>
          </w:tcPr>
          <w:p w14:paraId="29250E5E" w14:textId="4FC09DF3"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$585</w:t>
            </w:r>
          </w:p>
        </w:tc>
        <w:tc>
          <w:tcPr>
            <w:tcW w:w="1526" w:type="dxa"/>
            <w:gridSpan w:val="2"/>
            <w:tcBorders>
              <w:top w:val="nil"/>
              <w:left w:val="nil"/>
              <w:bottom w:val="single" w:sz="4" w:space="0" w:color="000000"/>
              <w:right w:val="nil"/>
            </w:tcBorders>
            <w:shd w:val="clear" w:color="auto" w:fill="auto"/>
            <w:noWrap/>
          </w:tcPr>
          <w:p w14:paraId="0DA4E52C" w14:textId="2B7847CC"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1.4%</w:t>
            </w:r>
          </w:p>
        </w:tc>
        <w:tc>
          <w:tcPr>
            <w:tcW w:w="1526" w:type="dxa"/>
            <w:tcBorders>
              <w:top w:val="nil"/>
              <w:left w:val="nil"/>
              <w:bottom w:val="single" w:sz="4" w:space="0" w:color="000000"/>
              <w:right w:val="nil"/>
            </w:tcBorders>
            <w:shd w:val="clear" w:color="auto" w:fill="auto"/>
          </w:tcPr>
          <w:p w14:paraId="09F8853B" w14:textId="406732C1" w:rsidR="00524DD0" w:rsidRPr="00896B16" w:rsidRDefault="00DD66D1" w:rsidP="00524DD0">
            <w:pPr>
              <w:spacing w:after="0" w:line="240" w:lineRule="auto"/>
              <w:jc w:val="center"/>
              <w:rPr>
                <w:rFonts w:asciiTheme="minorHAnsi" w:hAnsiTheme="minorHAnsi" w:cs="Arial"/>
                <w:sz w:val="16"/>
                <w:szCs w:val="16"/>
              </w:rPr>
            </w:pPr>
            <w:r w:rsidRPr="006518DA">
              <w:t>$4,097</w:t>
            </w:r>
          </w:p>
        </w:tc>
        <w:tc>
          <w:tcPr>
            <w:tcW w:w="1527" w:type="dxa"/>
            <w:tcBorders>
              <w:top w:val="nil"/>
              <w:left w:val="nil"/>
              <w:bottom w:val="single" w:sz="4" w:space="0" w:color="000000"/>
              <w:right w:val="nil"/>
            </w:tcBorders>
            <w:shd w:val="clear" w:color="auto" w:fill="auto"/>
          </w:tcPr>
          <w:p w14:paraId="1E1BDD69" w14:textId="5212E131" w:rsidR="00524DD0" w:rsidRPr="00896B16" w:rsidRDefault="00DD66D1" w:rsidP="00524DD0">
            <w:pPr>
              <w:spacing w:after="0" w:line="240" w:lineRule="auto"/>
              <w:jc w:val="center"/>
              <w:rPr>
                <w:rFonts w:asciiTheme="minorHAnsi" w:hAnsiTheme="minorHAnsi" w:cs="Arial"/>
                <w:sz w:val="16"/>
                <w:szCs w:val="16"/>
              </w:rPr>
            </w:pPr>
            <w:r w:rsidRPr="006518DA">
              <w:t>8.4%</w:t>
            </w:r>
          </w:p>
        </w:tc>
      </w:tr>
      <w:tr w:rsidR="00550D17" w:rsidRPr="00DC3941" w14:paraId="71627DC9"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86681A1"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Veterinary</w:t>
            </w:r>
          </w:p>
        </w:tc>
        <w:tc>
          <w:tcPr>
            <w:tcW w:w="1492" w:type="dxa"/>
            <w:gridSpan w:val="2"/>
            <w:tcBorders>
              <w:top w:val="nil"/>
              <w:left w:val="nil"/>
              <w:bottom w:val="single" w:sz="4" w:space="0" w:color="000000"/>
              <w:right w:val="nil"/>
            </w:tcBorders>
            <w:shd w:val="clear" w:color="auto" w:fill="auto"/>
            <w:noWrap/>
          </w:tcPr>
          <w:p w14:paraId="1F87D335" w14:textId="3955EECA"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38BE6A4D" w14:textId="30B69AFE"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7C00E1D6" w14:textId="6864D36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48E4D517" w14:textId="7F0FA535"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0DCFA10F" w14:textId="1641CD54"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79C7B886"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6A8070D8"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OthHealth</w:t>
            </w:r>
          </w:p>
        </w:tc>
        <w:tc>
          <w:tcPr>
            <w:tcW w:w="1492" w:type="dxa"/>
            <w:gridSpan w:val="2"/>
            <w:tcBorders>
              <w:top w:val="nil"/>
              <w:left w:val="nil"/>
              <w:bottom w:val="single" w:sz="4" w:space="0" w:color="000000"/>
              <w:right w:val="nil"/>
            </w:tcBorders>
            <w:shd w:val="clear" w:color="auto" w:fill="auto"/>
            <w:noWrap/>
          </w:tcPr>
          <w:p w14:paraId="5C75ECCD" w14:textId="756ED8B8"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$1,164,095</w:t>
            </w:r>
          </w:p>
        </w:tc>
        <w:tc>
          <w:tcPr>
            <w:tcW w:w="1527" w:type="dxa"/>
            <w:tcBorders>
              <w:top w:val="nil"/>
              <w:left w:val="nil"/>
              <w:bottom w:val="single" w:sz="4" w:space="0" w:color="000000"/>
              <w:right w:val="nil"/>
            </w:tcBorders>
            <w:shd w:val="clear" w:color="auto" w:fill="auto"/>
            <w:noWrap/>
          </w:tcPr>
          <w:p w14:paraId="330A689D" w14:textId="387CF671"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$19</w:t>
            </w:r>
          </w:p>
        </w:tc>
        <w:tc>
          <w:tcPr>
            <w:tcW w:w="1526" w:type="dxa"/>
            <w:gridSpan w:val="2"/>
            <w:tcBorders>
              <w:top w:val="nil"/>
              <w:left w:val="nil"/>
              <w:bottom w:val="single" w:sz="4" w:space="0" w:color="000000"/>
              <w:right w:val="nil"/>
            </w:tcBorders>
            <w:shd w:val="clear" w:color="auto" w:fill="auto"/>
            <w:noWrap/>
          </w:tcPr>
          <w:p w14:paraId="315C1758" w14:textId="2D072099"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0.1%</w:t>
            </w:r>
          </w:p>
        </w:tc>
        <w:tc>
          <w:tcPr>
            <w:tcW w:w="1526" w:type="dxa"/>
            <w:tcBorders>
              <w:top w:val="nil"/>
              <w:left w:val="nil"/>
              <w:bottom w:val="single" w:sz="4" w:space="0" w:color="000000"/>
              <w:right w:val="nil"/>
            </w:tcBorders>
            <w:shd w:val="clear" w:color="auto" w:fill="auto"/>
          </w:tcPr>
          <w:p w14:paraId="34F8494F" w14:textId="057A555E" w:rsidR="00524DD0" w:rsidRPr="00896B16" w:rsidRDefault="00DD66D1" w:rsidP="00524DD0">
            <w:pPr>
              <w:spacing w:after="0" w:line="240" w:lineRule="auto"/>
              <w:jc w:val="center"/>
              <w:rPr>
                <w:rFonts w:asciiTheme="minorHAnsi" w:hAnsiTheme="minorHAnsi" w:cs="Arial"/>
                <w:sz w:val="16"/>
                <w:szCs w:val="16"/>
              </w:rPr>
            </w:pPr>
            <w:r w:rsidRPr="006518DA">
              <w:t>$1,233</w:t>
            </w:r>
          </w:p>
        </w:tc>
        <w:tc>
          <w:tcPr>
            <w:tcW w:w="1527" w:type="dxa"/>
            <w:tcBorders>
              <w:top w:val="nil"/>
              <w:left w:val="nil"/>
              <w:bottom w:val="single" w:sz="4" w:space="0" w:color="000000"/>
              <w:right w:val="nil"/>
            </w:tcBorders>
            <w:shd w:val="clear" w:color="auto" w:fill="auto"/>
          </w:tcPr>
          <w:p w14:paraId="34213A56" w14:textId="4129AB13" w:rsidR="00524DD0" w:rsidRPr="00896B16" w:rsidRDefault="00DD66D1" w:rsidP="00524DD0">
            <w:pPr>
              <w:spacing w:after="0" w:line="240" w:lineRule="auto"/>
              <w:jc w:val="center"/>
              <w:rPr>
                <w:rFonts w:asciiTheme="minorHAnsi" w:hAnsiTheme="minorHAnsi" w:cs="Arial"/>
                <w:sz w:val="16"/>
                <w:szCs w:val="16"/>
              </w:rPr>
            </w:pPr>
            <w:r w:rsidRPr="006518DA">
              <w:t>5.3%</w:t>
            </w:r>
          </w:p>
        </w:tc>
      </w:tr>
      <w:tr w:rsidR="00550D17" w:rsidRPr="00DC3941" w14:paraId="75574D6B"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7DFEF139"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Education</w:t>
            </w:r>
          </w:p>
        </w:tc>
        <w:tc>
          <w:tcPr>
            <w:tcW w:w="1492" w:type="dxa"/>
            <w:gridSpan w:val="2"/>
            <w:tcBorders>
              <w:top w:val="nil"/>
              <w:left w:val="nil"/>
              <w:bottom w:val="single" w:sz="4" w:space="0" w:color="000000"/>
              <w:right w:val="nil"/>
            </w:tcBorders>
            <w:shd w:val="clear" w:color="auto" w:fill="auto"/>
            <w:noWrap/>
          </w:tcPr>
          <w:p w14:paraId="38792459" w14:textId="7694CD0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1A7441ED" w14:textId="458A1FD8"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7911E188" w14:textId="5EF47204"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3E0626B4" w14:textId="62C6E768"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0D078A74" w14:textId="03A86677"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1C7952E6"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3141F470"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Mgmt&amp;Comm</w:t>
            </w:r>
          </w:p>
        </w:tc>
        <w:tc>
          <w:tcPr>
            <w:tcW w:w="1492" w:type="dxa"/>
            <w:gridSpan w:val="2"/>
            <w:tcBorders>
              <w:top w:val="nil"/>
              <w:left w:val="nil"/>
              <w:bottom w:val="single" w:sz="4" w:space="0" w:color="000000"/>
              <w:right w:val="nil"/>
            </w:tcBorders>
            <w:shd w:val="clear" w:color="auto" w:fill="auto"/>
            <w:noWrap/>
          </w:tcPr>
          <w:p w14:paraId="4A4B3C30" w14:textId="6E6F82FF"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4350CC90" w14:textId="47017170"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0DC482F6" w14:textId="1D69B8D2"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46E0D841" w14:textId="7BE40FAD"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3AD51AFE" w14:textId="773A534F"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538B47FB"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756E061C"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ForeignLang</w:t>
            </w:r>
          </w:p>
        </w:tc>
        <w:tc>
          <w:tcPr>
            <w:tcW w:w="1492" w:type="dxa"/>
            <w:gridSpan w:val="2"/>
            <w:tcBorders>
              <w:top w:val="nil"/>
              <w:left w:val="nil"/>
              <w:bottom w:val="single" w:sz="4" w:space="0" w:color="000000"/>
              <w:right w:val="nil"/>
            </w:tcBorders>
            <w:shd w:val="clear" w:color="auto" w:fill="auto"/>
            <w:noWrap/>
          </w:tcPr>
          <w:p w14:paraId="18ED6818" w14:textId="139AFA7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66BF2760" w14:textId="3B871E9D"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4E5672BA" w14:textId="49AE4B2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657C3624" w14:textId="3E85A9AD"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6935E47C" w14:textId="28CB2685"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6AAAA5CC"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1554758"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Psych</w:t>
            </w:r>
          </w:p>
        </w:tc>
        <w:tc>
          <w:tcPr>
            <w:tcW w:w="1492" w:type="dxa"/>
            <w:gridSpan w:val="2"/>
            <w:tcBorders>
              <w:top w:val="nil"/>
              <w:left w:val="nil"/>
              <w:bottom w:val="single" w:sz="4" w:space="0" w:color="000000"/>
              <w:right w:val="nil"/>
            </w:tcBorders>
            <w:shd w:val="clear" w:color="auto" w:fill="auto"/>
            <w:noWrap/>
          </w:tcPr>
          <w:p w14:paraId="5F9EC8AB" w14:textId="14917989"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69852FD2" w14:textId="2BF03F9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3588741D" w14:textId="3AC4F80C"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4EDB5ACB" w14:textId="316CBCED"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50370AEA" w14:textId="33989E66"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0C48A19A"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FA76771"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OtherSoc&amp;Cult</w:t>
            </w:r>
          </w:p>
        </w:tc>
        <w:tc>
          <w:tcPr>
            <w:tcW w:w="1492" w:type="dxa"/>
            <w:gridSpan w:val="2"/>
            <w:tcBorders>
              <w:top w:val="nil"/>
              <w:left w:val="nil"/>
              <w:bottom w:val="single" w:sz="4" w:space="0" w:color="000000"/>
              <w:right w:val="nil"/>
            </w:tcBorders>
            <w:shd w:val="clear" w:color="auto" w:fill="auto"/>
            <w:noWrap/>
          </w:tcPr>
          <w:p w14:paraId="443815D8" w14:textId="010181C8"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36AAD75C" w14:textId="31DC7727"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5314C0BC" w14:textId="71D3CE0F"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5E32BDBE" w14:textId="6595184F"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5BA60CDF" w14:textId="23D284DD"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0B256686"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596C5B93"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Comms&amp;Media</w:t>
            </w:r>
          </w:p>
        </w:tc>
        <w:tc>
          <w:tcPr>
            <w:tcW w:w="1492" w:type="dxa"/>
            <w:gridSpan w:val="2"/>
            <w:tcBorders>
              <w:top w:val="nil"/>
              <w:left w:val="nil"/>
              <w:bottom w:val="single" w:sz="4" w:space="0" w:color="000000"/>
              <w:right w:val="nil"/>
            </w:tcBorders>
            <w:shd w:val="clear" w:color="auto" w:fill="auto"/>
            <w:noWrap/>
          </w:tcPr>
          <w:p w14:paraId="2D01ECF2" w14:textId="5E3FD6E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3DEBD1E3" w14:textId="5224DDE5"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1ADFC05E" w14:textId="6B6182F0"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14E393E4" w14:textId="16E92ED8"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79AD5F13" w14:textId="0AB6DF7A"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639C552F"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34DAD7A8"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OthCreative</w:t>
            </w:r>
          </w:p>
        </w:tc>
        <w:tc>
          <w:tcPr>
            <w:tcW w:w="1492" w:type="dxa"/>
            <w:gridSpan w:val="2"/>
            <w:tcBorders>
              <w:top w:val="nil"/>
              <w:left w:val="nil"/>
              <w:bottom w:val="single" w:sz="4" w:space="0" w:color="000000"/>
              <w:right w:val="nil"/>
            </w:tcBorders>
            <w:shd w:val="clear" w:color="auto" w:fill="auto"/>
            <w:noWrap/>
          </w:tcPr>
          <w:p w14:paraId="4A900B9E" w14:textId="24A7F7F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131A8019" w14:textId="5AE1158C"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7AB0EE6F" w14:textId="08049300"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70B810BB" w14:textId="32881322"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6066D23D" w14:textId="2952D8AB"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52F48955"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7F7CE2E8"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FoodHosp&amp;Person</w:t>
            </w:r>
          </w:p>
        </w:tc>
        <w:tc>
          <w:tcPr>
            <w:tcW w:w="1492" w:type="dxa"/>
            <w:gridSpan w:val="2"/>
            <w:tcBorders>
              <w:top w:val="nil"/>
              <w:left w:val="nil"/>
              <w:bottom w:val="single" w:sz="4" w:space="0" w:color="000000"/>
              <w:right w:val="nil"/>
            </w:tcBorders>
            <w:shd w:val="clear" w:color="auto" w:fill="auto"/>
            <w:noWrap/>
          </w:tcPr>
          <w:p w14:paraId="7519E1A1" w14:textId="6A4EDF60"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7CF1C75C" w14:textId="6EDC5C1C"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627A0796" w14:textId="16C69024"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7E81E65F" w14:textId="5A947331"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586FC565" w14:textId="0C140EE6"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C3941" w14:paraId="403EF95F"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0A457353" w14:textId="77777777" w:rsidR="00524DD0" w:rsidRPr="00BB165A" w:rsidRDefault="00524DD0" w:rsidP="00524DD0">
            <w:pPr>
              <w:spacing w:after="0" w:line="240" w:lineRule="auto"/>
              <w:rPr>
                <w:rFonts w:eastAsia="Times New Roman" w:cs="Arial"/>
                <w:sz w:val="16"/>
                <w:szCs w:val="14"/>
                <w:lang w:eastAsia="en-AU"/>
              </w:rPr>
            </w:pPr>
            <w:r w:rsidRPr="00BB165A">
              <w:rPr>
                <w:rFonts w:eastAsia="Times New Roman" w:cs="Arial"/>
                <w:sz w:val="16"/>
                <w:szCs w:val="14"/>
                <w:lang w:eastAsia="en-AU"/>
              </w:rPr>
              <w:t>MixedField</w:t>
            </w:r>
          </w:p>
        </w:tc>
        <w:tc>
          <w:tcPr>
            <w:tcW w:w="1492" w:type="dxa"/>
            <w:gridSpan w:val="2"/>
            <w:tcBorders>
              <w:top w:val="nil"/>
              <w:left w:val="nil"/>
              <w:bottom w:val="single" w:sz="4" w:space="0" w:color="000000"/>
              <w:right w:val="nil"/>
            </w:tcBorders>
            <w:shd w:val="clear" w:color="auto" w:fill="auto"/>
            <w:noWrap/>
          </w:tcPr>
          <w:p w14:paraId="2565EAC8" w14:textId="788C36D6"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7" w:type="dxa"/>
            <w:tcBorders>
              <w:top w:val="nil"/>
              <w:left w:val="nil"/>
              <w:bottom w:val="single" w:sz="4" w:space="0" w:color="000000"/>
              <w:right w:val="nil"/>
            </w:tcBorders>
            <w:shd w:val="clear" w:color="auto" w:fill="auto"/>
            <w:noWrap/>
          </w:tcPr>
          <w:p w14:paraId="51ECB3E7" w14:textId="3620B32B"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gridSpan w:val="2"/>
            <w:tcBorders>
              <w:top w:val="nil"/>
              <w:left w:val="nil"/>
              <w:bottom w:val="single" w:sz="4" w:space="0" w:color="000000"/>
              <w:right w:val="nil"/>
            </w:tcBorders>
            <w:shd w:val="clear" w:color="auto" w:fill="auto"/>
            <w:noWrap/>
          </w:tcPr>
          <w:p w14:paraId="00BE7612" w14:textId="1F86432D" w:rsidR="00524DD0" w:rsidRPr="00896B16" w:rsidRDefault="00DD66D1" w:rsidP="00524DD0">
            <w:pPr>
              <w:spacing w:after="0" w:line="240" w:lineRule="auto"/>
              <w:jc w:val="center"/>
              <w:rPr>
                <w:rFonts w:asciiTheme="minorHAnsi" w:eastAsia="Times New Roman" w:hAnsiTheme="minorHAnsi" w:cs="Arial"/>
                <w:sz w:val="16"/>
                <w:szCs w:val="16"/>
                <w:lang w:eastAsia="en-AU"/>
              </w:rPr>
            </w:pPr>
            <w:r w:rsidRPr="003F180B">
              <w:t>-</w:t>
            </w:r>
          </w:p>
        </w:tc>
        <w:tc>
          <w:tcPr>
            <w:tcW w:w="1526" w:type="dxa"/>
            <w:tcBorders>
              <w:top w:val="nil"/>
              <w:left w:val="nil"/>
              <w:bottom w:val="single" w:sz="4" w:space="0" w:color="000000"/>
              <w:right w:val="nil"/>
            </w:tcBorders>
            <w:shd w:val="clear" w:color="auto" w:fill="auto"/>
          </w:tcPr>
          <w:p w14:paraId="25C43927" w14:textId="7CCBE4EB" w:rsidR="00524DD0" w:rsidRPr="00896B16" w:rsidRDefault="00DD66D1" w:rsidP="00524DD0">
            <w:pPr>
              <w:spacing w:after="0" w:line="240" w:lineRule="auto"/>
              <w:jc w:val="center"/>
              <w:rPr>
                <w:rFonts w:asciiTheme="minorHAnsi" w:hAnsiTheme="minorHAnsi" w:cs="Arial"/>
                <w:sz w:val="16"/>
                <w:szCs w:val="16"/>
              </w:rPr>
            </w:pPr>
            <w:r w:rsidRPr="006518DA">
              <w:t>-</w:t>
            </w:r>
          </w:p>
        </w:tc>
        <w:tc>
          <w:tcPr>
            <w:tcW w:w="1527" w:type="dxa"/>
            <w:tcBorders>
              <w:top w:val="nil"/>
              <w:left w:val="nil"/>
              <w:bottom w:val="single" w:sz="4" w:space="0" w:color="000000"/>
              <w:right w:val="nil"/>
            </w:tcBorders>
            <w:shd w:val="clear" w:color="auto" w:fill="auto"/>
          </w:tcPr>
          <w:p w14:paraId="73D151E0" w14:textId="351A07D4" w:rsidR="00524DD0" w:rsidRPr="00896B16" w:rsidRDefault="00DD66D1" w:rsidP="00524DD0">
            <w:pPr>
              <w:spacing w:after="0" w:line="240" w:lineRule="auto"/>
              <w:jc w:val="center"/>
              <w:rPr>
                <w:rFonts w:asciiTheme="minorHAnsi" w:hAnsiTheme="minorHAnsi" w:cs="Arial"/>
                <w:sz w:val="16"/>
                <w:szCs w:val="16"/>
              </w:rPr>
            </w:pPr>
            <w:r w:rsidRPr="006518DA">
              <w:t>-</w:t>
            </w:r>
          </w:p>
        </w:tc>
      </w:tr>
      <w:tr w:rsidR="00550D17" w:rsidRPr="00DD66D1" w14:paraId="2A73A978"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AF17E76" w14:textId="77777777" w:rsidR="00524DD0" w:rsidRPr="00416131" w:rsidRDefault="00524DD0" w:rsidP="00524DD0">
            <w:pPr>
              <w:spacing w:after="0" w:line="240" w:lineRule="auto"/>
              <w:rPr>
                <w:rFonts w:eastAsia="Times New Roman" w:cs="Arial"/>
                <w:sz w:val="16"/>
                <w:szCs w:val="14"/>
                <w:lang w:eastAsia="en-AU"/>
              </w:rPr>
            </w:pPr>
            <w:r w:rsidRPr="00416131">
              <w:rPr>
                <w:rFonts w:eastAsia="Times New Roman" w:cs="Arial"/>
                <w:sz w:val="16"/>
                <w:szCs w:val="14"/>
                <w:lang w:eastAsia="en-AU"/>
              </w:rPr>
              <w:t>Total</w:t>
            </w:r>
          </w:p>
        </w:tc>
        <w:tc>
          <w:tcPr>
            <w:tcW w:w="1492" w:type="dxa"/>
            <w:gridSpan w:val="2"/>
            <w:tcBorders>
              <w:top w:val="nil"/>
              <w:left w:val="nil"/>
              <w:bottom w:val="single" w:sz="4" w:space="0" w:color="auto"/>
              <w:right w:val="nil"/>
            </w:tcBorders>
            <w:shd w:val="clear" w:color="auto" w:fill="auto"/>
            <w:noWrap/>
          </w:tcPr>
          <w:p w14:paraId="2D8D639D" w14:textId="42AB1E9E" w:rsidR="00524DD0" w:rsidRPr="00883736" w:rsidRDefault="00DD66D1" w:rsidP="00524DD0">
            <w:pPr>
              <w:spacing w:after="0" w:line="240" w:lineRule="auto"/>
              <w:jc w:val="center"/>
              <w:rPr>
                <w:rFonts w:asciiTheme="minorHAnsi" w:eastAsia="Times New Roman" w:hAnsiTheme="minorHAnsi" w:cs="Arial"/>
                <w:b/>
                <w:sz w:val="16"/>
                <w:szCs w:val="16"/>
                <w:lang w:eastAsia="en-AU"/>
              </w:rPr>
            </w:pPr>
            <w:r w:rsidRPr="00416131">
              <w:rPr>
                <w:b/>
              </w:rPr>
              <w:t>$89,239,059</w:t>
            </w:r>
          </w:p>
        </w:tc>
        <w:tc>
          <w:tcPr>
            <w:tcW w:w="1527" w:type="dxa"/>
            <w:tcBorders>
              <w:top w:val="nil"/>
              <w:left w:val="nil"/>
              <w:bottom w:val="single" w:sz="4" w:space="0" w:color="auto"/>
              <w:right w:val="nil"/>
            </w:tcBorders>
            <w:shd w:val="clear" w:color="auto" w:fill="auto"/>
            <w:noWrap/>
          </w:tcPr>
          <w:p w14:paraId="24334359" w14:textId="39C25BA1" w:rsidR="00524DD0" w:rsidRPr="00883736" w:rsidRDefault="00DD66D1" w:rsidP="00524DD0">
            <w:pPr>
              <w:spacing w:after="0" w:line="240" w:lineRule="auto"/>
              <w:jc w:val="center"/>
              <w:rPr>
                <w:rFonts w:asciiTheme="minorHAnsi" w:eastAsia="Times New Roman" w:hAnsiTheme="minorHAnsi" w:cs="Arial"/>
                <w:b/>
                <w:sz w:val="16"/>
                <w:szCs w:val="16"/>
                <w:lang w:eastAsia="en-AU"/>
              </w:rPr>
            </w:pPr>
            <w:r w:rsidRPr="00416131">
              <w:rPr>
                <w:b/>
              </w:rPr>
              <w:t>$97</w:t>
            </w:r>
          </w:p>
        </w:tc>
        <w:tc>
          <w:tcPr>
            <w:tcW w:w="1526" w:type="dxa"/>
            <w:gridSpan w:val="2"/>
            <w:tcBorders>
              <w:top w:val="nil"/>
              <w:left w:val="nil"/>
              <w:bottom w:val="single" w:sz="4" w:space="0" w:color="auto"/>
              <w:right w:val="nil"/>
            </w:tcBorders>
            <w:shd w:val="clear" w:color="auto" w:fill="auto"/>
            <w:noWrap/>
          </w:tcPr>
          <w:p w14:paraId="5DAB617B" w14:textId="70420D39" w:rsidR="00524DD0" w:rsidRPr="00883736" w:rsidRDefault="00DD66D1" w:rsidP="00524DD0">
            <w:pPr>
              <w:spacing w:after="0" w:line="240" w:lineRule="auto"/>
              <w:jc w:val="center"/>
              <w:rPr>
                <w:rFonts w:asciiTheme="minorHAnsi" w:eastAsia="Times New Roman" w:hAnsiTheme="minorHAnsi" w:cs="Arial"/>
                <w:b/>
                <w:sz w:val="16"/>
                <w:szCs w:val="16"/>
                <w:lang w:eastAsia="en-AU"/>
              </w:rPr>
            </w:pPr>
            <w:r w:rsidRPr="00416131">
              <w:rPr>
                <w:b/>
              </w:rPr>
              <w:t>0.5%</w:t>
            </w:r>
          </w:p>
        </w:tc>
        <w:tc>
          <w:tcPr>
            <w:tcW w:w="1526" w:type="dxa"/>
            <w:tcBorders>
              <w:top w:val="nil"/>
              <w:left w:val="nil"/>
              <w:bottom w:val="single" w:sz="4" w:space="0" w:color="auto"/>
              <w:right w:val="nil"/>
            </w:tcBorders>
            <w:shd w:val="clear" w:color="auto" w:fill="auto"/>
          </w:tcPr>
          <w:p w14:paraId="12C795B6" w14:textId="31022677" w:rsidR="00524DD0" w:rsidRPr="00883736" w:rsidRDefault="00DD66D1" w:rsidP="00524DD0">
            <w:pPr>
              <w:spacing w:after="0" w:line="240" w:lineRule="auto"/>
              <w:jc w:val="center"/>
              <w:rPr>
                <w:rFonts w:asciiTheme="minorHAnsi" w:hAnsiTheme="minorHAnsi" w:cs="Arial"/>
                <w:b/>
                <w:sz w:val="16"/>
                <w:szCs w:val="16"/>
              </w:rPr>
            </w:pPr>
            <w:r w:rsidRPr="00416131">
              <w:rPr>
                <w:b/>
              </w:rPr>
              <w:t>$745</w:t>
            </w:r>
          </w:p>
        </w:tc>
        <w:tc>
          <w:tcPr>
            <w:tcW w:w="1527" w:type="dxa"/>
            <w:tcBorders>
              <w:top w:val="nil"/>
              <w:left w:val="nil"/>
              <w:bottom w:val="single" w:sz="4" w:space="0" w:color="auto"/>
              <w:right w:val="nil"/>
            </w:tcBorders>
            <w:shd w:val="clear" w:color="auto" w:fill="auto"/>
          </w:tcPr>
          <w:p w14:paraId="0DC71B6C" w14:textId="3A8A664B" w:rsidR="00524DD0" w:rsidRPr="00883736" w:rsidRDefault="00DD66D1" w:rsidP="00524DD0">
            <w:pPr>
              <w:spacing w:after="0" w:line="240" w:lineRule="auto"/>
              <w:jc w:val="center"/>
              <w:rPr>
                <w:rFonts w:asciiTheme="minorHAnsi" w:hAnsiTheme="minorHAnsi" w:cs="Arial"/>
                <w:b/>
                <w:sz w:val="16"/>
                <w:szCs w:val="16"/>
              </w:rPr>
            </w:pPr>
            <w:r w:rsidRPr="00416131">
              <w:rPr>
                <w:b/>
              </w:rPr>
              <w:t>3.5%</w:t>
            </w:r>
          </w:p>
        </w:tc>
      </w:tr>
    </w:tbl>
    <w:p w14:paraId="1FDA5649" w14:textId="52A3036D" w:rsidR="002C4FB7" w:rsidRPr="00DD0171" w:rsidRDefault="00DD0171" w:rsidP="00DD0171">
      <w:pPr>
        <w:spacing w:after="0"/>
        <w:rPr>
          <w:iCs/>
          <w:color w:val="75787B" w:themeColor="accent6"/>
          <w:sz w:val="14"/>
        </w:rPr>
      </w:pPr>
      <w:r>
        <w:rPr>
          <w:sz w:val="14"/>
        </w:rPr>
        <w:br w:type="page"/>
      </w:r>
    </w:p>
    <w:p w14:paraId="77317CC7" w14:textId="0FE19157" w:rsidR="00F42A15" w:rsidRPr="00BB165A" w:rsidRDefault="00F42A15" w:rsidP="00F42A15">
      <w:pPr>
        <w:pStyle w:val="CaptionTable"/>
      </w:pPr>
      <w:bookmarkStart w:id="642" w:name="_Ref103332793"/>
      <w:bookmarkStart w:id="643" w:name="_Toc105776715"/>
      <w:r w:rsidRPr="00BB165A">
        <w:t>: Impact of in-kind costs on total teaching and scholarship costs</w:t>
      </w:r>
      <w:r w:rsidR="00381218" w:rsidRPr="00BB165A">
        <w:t xml:space="preserve"> (</w:t>
      </w:r>
      <w:r w:rsidR="00792041" w:rsidRPr="00BB165A">
        <w:t>2020</w:t>
      </w:r>
      <w:r w:rsidR="00381218" w:rsidRPr="00BB165A">
        <w:t>)</w:t>
      </w:r>
      <w:bookmarkEnd w:id="642"/>
      <w:bookmarkEnd w:id="643"/>
    </w:p>
    <w:tbl>
      <w:tblPr>
        <w:tblStyle w:val="Deloittetable"/>
        <w:tblW w:w="9158" w:type="dxa"/>
        <w:tblLayout w:type="fixed"/>
        <w:tblCellMar>
          <w:left w:w="57" w:type="dxa"/>
          <w:right w:w="57" w:type="dxa"/>
        </w:tblCellMar>
        <w:tblLook w:val="04A0" w:firstRow="1" w:lastRow="0" w:firstColumn="1" w:lastColumn="0" w:noHBand="0" w:noVBand="1"/>
      </w:tblPr>
      <w:tblGrid>
        <w:gridCol w:w="1560"/>
        <w:gridCol w:w="729"/>
        <w:gridCol w:w="763"/>
        <w:gridCol w:w="1527"/>
        <w:gridCol w:w="1517"/>
        <w:gridCol w:w="9"/>
        <w:gridCol w:w="1526"/>
        <w:gridCol w:w="1527"/>
      </w:tblGrid>
      <w:tr w:rsidR="00F42A15" w:rsidRPr="00381218" w14:paraId="0A50006B" w14:textId="77777777" w:rsidTr="00416131">
        <w:trPr>
          <w:cnfStyle w:val="100000000000" w:firstRow="1" w:lastRow="0" w:firstColumn="0" w:lastColumn="0" w:oddVBand="0" w:evenVBand="0" w:oddHBand="0" w:evenHBand="0" w:firstRowFirstColumn="0" w:firstRowLastColumn="0" w:lastRowFirstColumn="0" w:lastRowLastColumn="0"/>
          <w:trHeight w:val="446"/>
        </w:trPr>
        <w:tc>
          <w:tcPr>
            <w:tcW w:w="0" w:type="dxa"/>
            <w:tcBorders>
              <w:left w:val="nil"/>
              <w:bottom w:val="single" w:sz="4" w:space="0" w:color="000000" w:themeColor="text1"/>
              <w:right w:val="nil"/>
            </w:tcBorders>
            <w:noWrap/>
            <w:hideMark/>
          </w:tcPr>
          <w:p w14:paraId="408CD594" w14:textId="5349CFB3" w:rsidR="00F42A15" w:rsidRPr="00BB165A" w:rsidRDefault="00F42A15" w:rsidP="00274741">
            <w:pPr>
              <w:spacing w:after="0" w:line="240" w:lineRule="auto"/>
              <w:rPr>
                <w:rFonts w:eastAsia="Times New Roman" w:cs="Arial"/>
                <w:b/>
                <w:sz w:val="16"/>
                <w:szCs w:val="16"/>
                <w:lang w:eastAsia="en-AU"/>
              </w:rPr>
            </w:pPr>
            <w:r w:rsidRPr="00BB165A">
              <w:rPr>
                <w:rFonts w:eastAsia="Times New Roman" w:cs="Arial"/>
                <w:sz w:val="16"/>
                <w:szCs w:val="16"/>
                <w:lang w:eastAsia="en-AU"/>
              </w:rPr>
              <w:t> </w:t>
            </w:r>
            <w:r w:rsidR="00B70C2F">
              <w:rPr>
                <w:rFonts w:eastAsia="Times New Roman" w:cs="Arial"/>
                <w:b/>
                <w:sz w:val="16"/>
                <w:szCs w:val="16"/>
                <w:lang w:eastAsia="en-AU"/>
              </w:rPr>
              <w:t>FOE</w:t>
            </w:r>
          </w:p>
        </w:tc>
        <w:tc>
          <w:tcPr>
            <w:tcW w:w="1492" w:type="dxa"/>
            <w:gridSpan w:val="2"/>
            <w:tcBorders>
              <w:left w:val="nil"/>
              <w:bottom w:val="single" w:sz="4" w:space="0" w:color="000000" w:themeColor="text1"/>
              <w:right w:val="nil"/>
            </w:tcBorders>
            <w:noWrap/>
            <w:hideMark/>
          </w:tcPr>
          <w:p w14:paraId="75EA6F32" w14:textId="77777777" w:rsidR="00F42A15" w:rsidRPr="00BB165A" w:rsidRDefault="00F42A15"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total cost</w:t>
            </w:r>
          </w:p>
        </w:tc>
        <w:tc>
          <w:tcPr>
            <w:tcW w:w="1527" w:type="dxa"/>
            <w:tcBorders>
              <w:left w:val="nil"/>
              <w:bottom w:val="single" w:sz="4" w:space="0" w:color="000000" w:themeColor="text1"/>
              <w:right w:val="nil"/>
            </w:tcBorders>
            <w:noWrap/>
            <w:hideMark/>
          </w:tcPr>
          <w:p w14:paraId="3DB8C89A" w14:textId="77777777" w:rsidR="00F42A15" w:rsidRPr="00BB165A" w:rsidRDefault="00F42A15"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26" w:type="dxa"/>
            <w:gridSpan w:val="2"/>
            <w:tcBorders>
              <w:left w:val="nil"/>
              <w:bottom w:val="single" w:sz="4" w:space="0" w:color="000000" w:themeColor="text1"/>
              <w:right w:val="nil"/>
            </w:tcBorders>
            <w:hideMark/>
          </w:tcPr>
          <w:p w14:paraId="74F48419" w14:textId="77777777" w:rsidR="00F42A15" w:rsidRPr="00BB165A" w:rsidRDefault="00F42A15"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c>
          <w:tcPr>
            <w:tcW w:w="1526" w:type="dxa"/>
            <w:tcBorders>
              <w:left w:val="nil"/>
              <w:bottom w:val="single" w:sz="4" w:space="0" w:color="000000" w:themeColor="text1"/>
              <w:right w:val="nil"/>
            </w:tcBorders>
          </w:tcPr>
          <w:p w14:paraId="637CB036" w14:textId="77777777" w:rsidR="00F42A15" w:rsidRPr="00BB165A" w:rsidRDefault="00F42A15"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27" w:type="dxa"/>
            <w:tcBorders>
              <w:left w:val="nil"/>
              <w:bottom w:val="single" w:sz="4" w:space="0" w:color="000000" w:themeColor="text1"/>
              <w:right w:val="nil"/>
            </w:tcBorders>
          </w:tcPr>
          <w:p w14:paraId="4180EEA5" w14:textId="77777777" w:rsidR="00F42A15" w:rsidRPr="00BB165A" w:rsidRDefault="00F42A15"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r>
      <w:tr w:rsidR="00B54735" w:rsidRPr="00381218" w14:paraId="115CA979" w14:textId="77777777" w:rsidTr="00C66BF3">
        <w:trPr>
          <w:trHeight w:val="446"/>
        </w:trPr>
        <w:tc>
          <w:tcPr>
            <w:tcW w:w="2289" w:type="dxa"/>
            <w:gridSpan w:val="2"/>
            <w:tcBorders>
              <w:left w:val="nil"/>
              <w:bottom w:val="single" w:sz="4" w:space="0" w:color="000000" w:themeColor="text1"/>
              <w:right w:val="nil"/>
            </w:tcBorders>
            <w:noWrap/>
          </w:tcPr>
          <w:p w14:paraId="3A2CBF7F" w14:textId="77777777" w:rsidR="00B54735" w:rsidRPr="00BB165A" w:rsidRDefault="00B54735" w:rsidP="00274741">
            <w:pPr>
              <w:spacing w:after="0" w:line="240" w:lineRule="auto"/>
              <w:rPr>
                <w:rFonts w:eastAsia="Times New Roman" w:cs="Arial"/>
                <w:sz w:val="16"/>
                <w:szCs w:val="16"/>
                <w:lang w:eastAsia="en-AU"/>
              </w:rPr>
            </w:pPr>
          </w:p>
        </w:tc>
        <w:tc>
          <w:tcPr>
            <w:tcW w:w="3807" w:type="dxa"/>
            <w:gridSpan w:val="3"/>
            <w:tcBorders>
              <w:left w:val="nil"/>
              <w:bottom w:val="single" w:sz="4" w:space="0" w:color="000000" w:themeColor="text1"/>
              <w:right w:val="nil"/>
            </w:tcBorders>
            <w:noWrap/>
          </w:tcPr>
          <w:p w14:paraId="64F68329" w14:textId="77777777" w:rsidR="00B54735" w:rsidRPr="00BB165A" w:rsidRDefault="00B54735"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3062" w:type="dxa"/>
            <w:gridSpan w:val="3"/>
            <w:tcBorders>
              <w:left w:val="nil"/>
              <w:bottom w:val="single" w:sz="4" w:space="0" w:color="000000" w:themeColor="text1"/>
              <w:right w:val="nil"/>
            </w:tcBorders>
          </w:tcPr>
          <w:p w14:paraId="601299DA" w14:textId="77777777" w:rsidR="00B54735" w:rsidRPr="00BB165A" w:rsidRDefault="00B54735"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 xml:space="preserve">Universities who reported </w:t>
            </w:r>
          </w:p>
          <w:p w14:paraId="44A537DB" w14:textId="77777777" w:rsidR="00B54735" w:rsidRPr="00BB165A" w:rsidRDefault="00B54735"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in-kind costs</w:t>
            </w:r>
          </w:p>
        </w:tc>
      </w:tr>
      <w:tr w:rsidR="00A30479" w:rsidRPr="00381218" w14:paraId="6C65FF9E" w14:textId="77777777" w:rsidTr="00550D17">
        <w:trPr>
          <w:trHeight w:val="210"/>
        </w:trPr>
        <w:tc>
          <w:tcPr>
            <w:tcW w:w="0" w:type="dxa"/>
            <w:tcBorders>
              <w:top w:val="single" w:sz="4" w:space="0" w:color="000000" w:themeColor="text1"/>
              <w:left w:val="nil"/>
              <w:bottom w:val="single" w:sz="4" w:space="0" w:color="000000" w:themeColor="text1"/>
              <w:right w:val="nil"/>
            </w:tcBorders>
            <w:noWrap/>
            <w:hideMark/>
          </w:tcPr>
          <w:p w14:paraId="2ADE436D"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MathSci</w:t>
            </w:r>
          </w:p>
        </w:tc>
        <w:tc>
          <w:tcPr>
            <w:tcW w:w="1492" w:type="dxa"/>
            <w:gridSpan w:val="2"/>
            <w:tcBorders>
              <w:top w:val="single" w:sz="4" w:space="0" w:color="000000"/>
              <w:left w:val="nil"/>
              <w:bottom w:val="single" w:sz="4" w:space="0" w:color="000000"/>
              <w:right w:val="nil"/>
            </w:tcBorders>
            <w:shd w:val="clear" w:color="auto" w:fill="auto"/>
            <w:noWrap/>
          </w:tcPr>
          <w:p w14:paraId="2BCD767A" w14:textId="1FF6E839"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single" w:sz="4" w:space="0" w:color="000000"/>
              <w:left w:val="nil"/>
              <w:bottom w:val="single" w:sz="4" w:space="0" w:color="000000"/>
              <w:right w:val="nil"/>
            </w:tcBorders>
            <w:shd w:val="clear" w:color="auto" w:fill="auto"/>
            <w:noWrap/>
          </w:tcPr>
          <w:p w14:paraId="044703E9" w14:textId="5E37831C"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single" w:sz="4" w:space="0" w:color="000000"/>
              <w:left w:val="nil"/>
              <w:bottom w:val="single" w:sz="4" w:space="0" w:color="000000"/>
              <w:right w:val="nil"/>
            </w:tcBorders>
            <w:shd w:val="clear" w:color="auto" w:fill="auto"/>
            <w:noWrap/>
          </w:tcPr>
          <w:p w14:paraId="336DB01A" w14:textId="12ADB00D"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single" w:sz="4" w:space="0" w:color="000000"/>
              <w:left w:val="nil"/>
              <w:bottom w:val="single" w:sz="4" w:space="0" w:color="000000"/>
              <w:right w:val="nil"/>
            </w:tcBorders>
            <w:shd w:val="clear" w:color="auto" w:fill="auto"/>
          </w:tcPr>
          <w:p w14:paraId="1209A09A" w14:textId="2C47A543"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single" w:sz="4" w:space="0" w:color="000000"/>
              <w:left w:val="nil"/>
              <w:bottom w:val="single" w:sz="4" w:space="0" w:color="000000"/>
              <w:right w:val="nil"/>
            </w:tcBorders>
            <w:shd w:val="clear" w:color="auto" w:fill="auto"/>
          </w:tcPr>
          <w:p w14:paraId="1662EE8B" w14:textId="539BBA34"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76CD2007"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200C4849"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MedicalSci</w:t>
            </w:r>
          </w:p>
        </w:tc>
        <w:tc>
          <w:tcPr>
            <w:tcW w:w="1492" w:type="dxa"/>
            <w:gridSpan w:val="2"/>
            <w:tcBorders>
              <w:top w:val="nil"/>
              <w:left w:val="nil"/>
              <w:bottom w:val="single" w:sz="4" w:space="0" w:color="000000"/>
              <w:right w:val="nil"/>
            </w:tcBorders>
            <w:shd w:val="clear" w:color="auto" w:fill="auto"/>
            <w:noWrap/>
          </w:tcPr>
          <w:p w14:paraId="123DE3FA" w14:textId="184345F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6B5F9DEC" w14:textId="67DEFB5A"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4E3A581A" w14:textId="705D8C80"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2F52B08B" w14:textId="4FE3FE6A"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124B88D5" w14:textId="78A40258"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73BECE58"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3652A5C7"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OthNat-PhysSci</w:t>
            </w:r>
          </w:p>
        </w:tc>
        <w:tc>
          <w:tcPr>
            <w:tcW w:w="1492" w:type="dxa"/>
            <w:gridSpan w:val="2"/>
            <w:tcBorders>
              <w:top w:val="nil"/>
              <w:left w:val="nil"/>
              <w:bottom w:val="single" w:sz="4" w:space="0" w:color="000000"/>
              <w:right w:val="nil"/>
            </w:tcBorders>
            <w:shd w:val="clear" w:color="auto" w:fill="auto"/>
            <w:noWrap/>
          </w:tcPr>
          <w:p w14:paraId="1BAE993D" w14:textId="46FAE20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143979C0" w14:textId="21BD19E8"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7C008440" w14:textId="6E978F14"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3ADE92B9" w14:textId="4758DC24"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07AF8646" w14:textId="37021DE1"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5DE0E0B5"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79FEF888"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InfoTech</w:t>
            </w:r>
          </w:p>
        </w:tc>
        <w:tc>
          <w:tcPr>
            <w:tcW w:w="1492" w:type="dxa"/>
            <w:gridSpan w:val="2"/>
            <w:tcBorders>
              <w:top w:val="nil"/>
              <w:left w:val="nil"/>
              <w:bottom w:val="single" w:sz="4" w:space="0" w:color="000000"/>
              <w:right w:val="nil"/>
            </w:tcBorders>
            <w:shd w:val="clear" w:color="auto" w:fill="auto"/>
            <w:noWrap/>
          </w:tcPr>
          <w:p w14:paraId="45916F45" w14:textId="6741218B"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77667943" w14:textId="48B0C569"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3146FF52" w14:textId="409226E9"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0BBDA98F" w14:textId="41EB8359"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061E9258" w14:textId="031ACAD9"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194100D5"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17195613"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Eng&amp;Related</w:t>
            </w:r>
          </w:p>
        </w:tc>
        <w:tc>
          <w:tcPr>
            <w:tcW w:w="1492" w:type="dxa"/>
            <w:gridSpan w:val="2"/>
            <w:tcBorders>
              <w:top w:val="nil"/>
              <w:left w:val="nil"/>
              <w:bottom w:val="single" w:sz="4" w:space="0" w:color="000000"/>
              <w:right w:val="nil"/>
            </w:tcBorders>
            <w:shd w:val="clear" w:color="auto" w:fill="auto"/>
            <w:noWrap/>
          </w:tcPr>
          <w:p w14:paraId="4207D3F8" w14:textId="35E48E52"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415BAC5B" w14:textId="1C34AF1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74F00209" w14:textId="2C2CF066"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368B1173" w14:textId="530F4EFF"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10293E20" w14:textId="0D567397"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00A76E34"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6DC9AF7C"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Archi&amp;Build</w:t>
            </w:r>
          </w:p>
        </w:tc>
        <w:tc>
          <w:tcPr>
            <w:tcW w:w="1492" w:type="dxa"/>
            <w:gridSpan w:val="2"/>
            <w:tcBorders>
              <w:top w:val="nil"/>
              <w:left w:val="nil"/>
              <w:bottom w:val="single" w:sz="4" w:space="0" w:color="000000"/>
              <w:right w:val="nil"/>
            </w:tcBorders>
            <w:shd w:val="clear" w:color="auto" w:fill="auto"/>
            <w:noWrap/>
          </w:tcPr>
          <w:p w14:paraId="6D5E2C85" w14:textId="489D315C"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50DEC98D" w14:textId="517B7787"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0DE6FAF8" w14:textId="08A55F79"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7136C047" w14:textId="4B4C47E0"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5C7B48DF" w14:textId="486E2894"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60F7A1CE"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323B768A"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Environment</w:t>
            </w:r>
          </w:p>
        </w:tc>
        <w:tc>
          <w:tcPr>
            <w:tcW w:w="1492" w:type="dxa"/>
            <w:gridSpan w:val="2"/>
            <w:tcBorders>
              <w:top w:val="nil"/>
              <w:left w:val="nil"/>
              <w:bottom w:val="single" w:sz="4" w:space="0" w:color="000000"/>
              <w:right w:val="nil"/>
            </w:tcBorders>
            <w:shd w:val="clear" w:color="auto" w:fill="auto"/>
            <w:noWrap/>
          </w:tcPr>
          <w:p w14:paraId="2E3F6813" w14:textId="4517853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51885B02" w14:textId="325D70F5"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77184376" w14:textId="45C33DC5"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78E10564" w14:textId="6E259571"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6B98D386" w14:textId="32E2F8F4"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560303DC"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17074BDB"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OthAg&amp;Enviro</w:t>
            </w:r>
          </w:p>
        </w:tc>
        <w:tc>
          <w:tcPr>
            <w:tcW w:w="1492" w:type="dxa"/>
            <w:gridSpan w:val="2"/>
            <w:tcBorders>
              <w:top w:val="nil"/>
              <w:left w:val="nil"/>
              <w:bottom w:val="single" w:sz="4" w:space="0" w:color="000000"/>
              <w:right w:val="nil"/>
            </w:tcBorders>
            <w:shd w:val="clear" w:color="auto" w:fill="auto"/>
            <w:noWrap/>
          </w:tcPr>
          <w:p w14:paraId="0DF5D93E" w14:textId="4875678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2B9BDA58" w14:textId="5B10A8E9"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15142C00" w14:textId="292CE5D0"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41E8C129" w14:textId="3A791702"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19470E79" w14:textId="52747547"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634AF371"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CB7E8D6"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MedicalStudies</w:t>
            </w:r>
          </w:p>
        </w:tc>
        <w:tc>
          <w:tcPr>
            <w:tcW w:w="1492" w:type="dxa"/>
            <w:gridSpan w:val="2"/>
            <w:tcBorders>
              <w:top w:val="nil"/>
              <w:left w:val="nil"/>
              <w:bottom w:val="single" w:sz="4" w:space="0" w:color="000000"/>
              <w:right w:val="nil"/>
            </w:tcBorders>
            <w:shd w:val="clear" w:color="auto" w:fill="auto"/>
            <w:noWrap/>
          </w:tcPr>
          <w:p w14:paraId="466C3262" w14:textId="58C3FE8E"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$85,267,105</w:t>
            </w:r>
          </w:p>
        </w:tc>
        <w:tc>
          <w:tcPr>
            <w:tcW w:w="1527" w:type="dxa"/>
            <w:tcBorders>
              <w:top w:val="nil"/>
              <w:left w:val="nil"/>
              <w:bottom w:val="single" w:sz="4" w:space="0" w:color="000000"/>
              <w:right w:val="nil"/>
            </w:tcBorders>
            <w:shd w:val="clear" w:color="auto" w:fill="auto"/>
            <w:noWrap/>
          </w:tcPr>
          <w:p w14:paraId="3FD5AEDF" w14:textId="72097EA6"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$3,763</w:t>
            </w:r>
          </w:p>
        </w:tc>
        <w:tc>
          <w:tcPr>
            <w:tcW w:w="1526" w:type="dxa"/>
            <w:gridSpan w:val="2"/>
            <w:tcBorders>
              <w:top w:val="nil"/>
              <w:left w:val="nil"/>
              <w:bottom w:val="single" w:sz="4" w:space="0" w:color="000000"/>
              <w:right w:val="nil"/>
            </w:tcBorders>
            <w:shd w:val="clear" w:color="auto" w:fill="auto"/>
            <w:noWrap/>
          </w:tcPr>
          <w:p w14:paraId="03A26F9E" w14:textId="714CAA2D"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12.1%</w:t>
            </w:r>
          </w:p>
        </w:tc>
        <w:tc>
          <w:tcPr>
            <w:tcW w:w="1526" w:type="dxa"/>
            <w:tcBorders>
              <w:top w:val="nil"/>
              <w:left w:val="nil"/>
              <w:bottom w:val="single" w:sz="4" w:space="0" w:color="000000"/>
              <w:right w:val="nil"/>
            </w:tcBorders>
            <w:shd w:val="clear" w:color="auto" w:fill="auto"/>
          </w:tcPr>
          <w:p w14:paraId="09A0A245" w14:textId="25297490" w:rsidR="008E2310" w:rsidRPr="00B67F62" w:rsidRDefault="000250A4" w:rsidP="008E2310">
            <w:pPr>
              <w:spacing w:after="0" w:line="240" w:lineRule="auto"/>
              <w:jc w:val="center"/>
              <w:rPr>
                <w:rFonts w:asciiTheme="minorHAnsi" w:hAnsiTheme="minorHAnsi" w:cs="Arial"/>
                <w:sz w:val="16"/>
                <w:szCs w:val="16"/>
              </w:rPr>
            </w:pPr>
            <w:r w:rsidRPr="00742389">
              <w:t>$15,866</w:t>
            </w:r>
          </w:p>
        </w:tc>
        <w:tc>
          <w:tcPr>
            <w:tcW w:w="1527" w:type="dxa"/>
            <w:tcBorders>
              <w:top w:val="nil"/>
              <w:left w:val="nil"/>
              <w:bottom w:val="single" w:sz="4" w:space="0" w:color="000000"/>
              <w:right w:val="nil"/>
            </w:tcBorders>
            <w:shd w:val="clear" w:color="auto" w:fill="auto"/>
          </w:tcPr>
          <w:p w14:paraId="727DE870" w14:textId="426987A9" w:rsidR="008E2310" w:rsidRPr="00B67F62" w:rsidRDefault="000250A4" w:rsidP="008E2310">
            <w:pPr>
              <w:spacing w:after="0" w:line="240" w:lineRule="auto"/>
              <w:jc w:val="center"/>
              <w:rPr>
                <w:rFonts w:asciiTheme="minorHAnsi" w:hAnsiTheme="minorHAnsi" w:cs="Arial"/>
                <w:sz w:val="16"/>
                <w:szCs w:val="16"/>
              </w:rPr>
            </w:pPr>
            <w:r w:rsidRPr="00742389">
              <w:t>53.2%</w:t>
            </w:r>
          </w:p>
        </w:tc>
      </w:tr>
      <w:tr w:rsidR="00550D17" w:rsidRPr="00381218" w14:paraId="5DB445D7"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D6A1F79"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Nursing</w:t>
            </w:r>
          </w:p>
        </w:tc>
        <w:tc>
          <w:tcPr>
            <w:tcW w:w="1492" w:type="dxa"/>
            <w:gridSpan w:val="2"/>
            <w:tcBorders>
              <w:top w:val="nil"/>
              <w:left w:val="nil"/>
              <w:bottom w:val="single" w:sz="4" w:space="0" w:color="000000"/>
              <w:right w:val="nil"/>
            </w:tcBorders>
            <w:shd w:val="clear" w:color="auto" w:fill="auto"/>
            <w:noWrap/>
          </w:tcPr>
          <w:p w14:paraId="7B465499" w14:textId="658645F2"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$1,397,338</w:t>
            </w:r>
          </w:p>
        </w:tc>
        <w:tc>
          <w:tcPr>
            <w:tcW w:w="1527" w:type="dxa"/>
            <w:tcBorders>
              <w:top w:val="nil"/>
              <w:left w:val="nil"/>
              <w:bottom w:val="single" w:sz="4" w:space="0" w:color="000000"/>
              <w:right w:val="nil"/>
            </w:tcBorders>
            <w:shd w:val="clear" w:color="auto" w:fill="auto"/>
            <w:noWrap/>
          </w:tcPr>
          <w:p w14:paraId="54286426" w14:textId="6B362FCD"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$23</w:t>
            </w:r>
          </w:p>
        </w:tc>
        <w:tc>
          <w:tcPr>
            <w:tcW w:w="1526" w:type="dxa"/>
            <w:gridSpan w:val="2"/>
            <w:tcBorders>
              <w:top w:val="nil"/>
              <w:left w:val="nil"/>
              <w:bottom w:val="single" w:sz="4" w:space="0" w:color="000000"/>
              <w:right w:val="nil"/>
            </w:tcBorders>
            <w:shd w:val="clear" w:color="auto" w:fill="auto"/>
            <w:noWrap/>
          </w:tcPr>
          <w:p w14:paraId="2C96D54E" w14:textId="18D4B1FA"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0.1%</w:t>
            </w:r>
          </w:p>
        </w:tc>
        <w:tc>
          <w:tcPr>
            <w:tcW w:w="1526" w:type="dxa"/>
            <w:tcBorders>
              <w:top w:val="nil"/>
              <w:left w:val="nil"/>
              <w:bottom w:val="single" w:sz="4" w:space="0" w:color="000000"/>
              <w:right w:val="nil"/>
            </w:tcBorders>
            <w:shd w:val="clear" w:color="auto" w:fill="auto"/>
          </w:tcPr>
          <w:p w14:paraId="3181E076" w14:textId="32BC89E1" w:rsidR="008E2310" w:rsidRPr="00B67F62" w:rsidRDefault="000250A4" w:rsidP="008E2310">
            <w:pPr>
              <w:spacing w:after="0" w:line="240" w:lineRule="auto"/>
              <w:jc w:val="center"/>
              <w:rPr>
                <w:rFonts w:asciiTheme="minorHAnsi" w:hAnsiTheme="minorHAnsi" w:cs="Arial"/>
                <w:sz w:val="16"/>
                <w:szCs w:val="16"/>
              </w:rPr>
            </w:pPr>
            <w:r w:rsidRPr="00742389">
              <w:t>$366</w:t>
            </w:r>
          </w:p>
        </w:tc>
        <w:tc>
          <w:tcPr>
            <w:tcW w:w="1527" w:type="dxa"/>
            <w:tcBorders>
              <w:top w:val="nil"/>
              <w:left w:val="nil"/>
              <w:bottom w:val="single" w:sz="4" w:space="0" w:color="000000"/>
              <w:right w:val="nil"/>
            </w:tcBorders>
            <w:shd w:val="clear" w:color="auto" w:fill="auto"/>
          </w:tcPr>
          <w:p w14:paraId="5E8CE183" w14:textId="06025036" w:rsidR="008E2310" w:rsidRPr="00B67F62" w:rsidRDefault="000250A4" w:rsidP="008E2310">
            <w:pPr>
              <w:spacing w:after="0" w:line="240" w:lineRule="auto"/>
              <w:jc w:val="center"/>
              <w:rPr>
                <w:rFonts w:asciiTheme="minorHAnsi" w:hAnsiTheme="minorHAnsi" w:cs="Arial"/>
                <w:sz w:val="16"/>
                <w:szCs w:val="16"/>
              </w:rPr>
            </w:pPr>
            <w:r w:rsidRPr="00742389">
              <w:t>1.9%</w:t>
            </w:r>
          </w:p>
        </w:tc>
      </w:tr>
      <w:tr w:rsidR="00550D17" w:rsidRPr="00381218" w14:paraId="54A57D72"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67E82E7B"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Dental</w:t>
            </w:r>
          </w:p>
        </w:tc>
        <w:tc>
          <w:tcPr>
            <w:tcW w:w="1492" w:type="dxa"/>
            <w:gridSpan w:val="2"/>
            <w:tcBorders>
              <w:top w:val="nil"/>
              <w:left w:val="nil"/>
              <w:bottom w:val="single" w:sz="4" w:space="0" w:color="000000"/>
              <w:right w:val="nil"/>
            </w:tcBorders>
            <w:shd w:val="clear" w:color="auto" w:fill="auto"/>
            <w:noWrap/>
          </w:tcPr>
          <w:p w14:paraId="514C1BAB" w14:textId="21CBE86F"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$1,760,472</w:t>
            </w:r>
          </w:p>
        </w:tc>
        <w:tc>
          <w:tcPr>
            <w:tcW w:w="1527" w:type="dxa"/>
            <w:tcBorders>
              <w:top w:val="nil"/>
              <w:left w:val="nil"/>
              <w:bottom w:val="single" w:sz="4" w:space="0" w:color="000000"/>
              <w:right w:val="nil"/>
            </w:tcBorders>
            <w:shd w:val="clear" w:color="auto" w:fill="auto"/>
            <w:noWrap/>
          </w:tcPr>
          <w:p w14:paraId="6FCE5A0B" w14:textId="26A0A25F"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$462</w:t>
            </w:r>
          </w:p>
        </w:tc>
        <w:tc>
          <w:tcPr>
            <w:tcW w:w="1526" w:type="dxa"/>
            <w:gridSpan w:val="2"/>
            <w:tcBorders>
              <w:top w:val="nil"/>
              <w:left w:val="nil"/>
              <w:bottom w:val="single" w:sz="4" w:space="0" w:color="000000"/>
              <w:right w:val="nil"/>
            </w:tcBorders>
            <w:shd w:val="clear" w:color="auto" w:fill="auto"/>
            <w:noWrap/>
          </w:tcPr>
          <w:p w14:paraId="5A61398D" w14:textId="7B81EB4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1.1%</w:t>
            </w:r>
          </w:p>
        </w:tc>
        <w:tc>
          <w:tcPr>
            <w:tcW w:w="1526" w:type="dxa"/>
            <w:tcBorders>
              <w:top w:val="nil"/>
              <w:left w:val="nil"/>
              <w:bottom w:val="single" w:sz="4" w:space="0" w:color="000000"/>
              <w:right w:val="nil"/>
            </w:tcBorders>
            <w:shd w:val="clear" w:color="auto" w:fill="auto"/>
          </w:tcPr>
          <w:p w14:paraId="5EE9C33E" w14:textId="422B0729" w:rsidR="008E2310" w:rsidRPr="00B67F62" w:rsidRDefault="000250A4" w:rsidP="008E2310">
            <w:pPr>
              <w:spacing w:after="0" w:line="240" w:lineRule="auto"/>
              <w:jc w:val="center"/>
              <w:rPr>
                <w:rFonts w:asciiTheme="minorHAnsi" w:hAnsiTheme="minorHAnsi" w:cs="Arial"/>
                <w:sz w:val="16"/>
                <w:szCs w:val="16"/>
              </w:rPr>
            </w:pPr>
            <w:r w:rsidRPr="00742389">
              <w:t>$3,237</w:t>
            </w:r>
          </w:p>
        </w:tc>
        <w:tc>
          <w:tcPr>
            <w:tcW w:w="1527" w:type="dxa"/>
            <w:tcBorders>
              <w:top w:val="nil"/>
              <w:left w:val="nil"/>
              <w:bottom w:val="single" w:sz="4" w:space="0" w:color="000000"/>
              <w:right w:val="nil"/>
            </w:tcBorders>
            <w:shd w:val="clear" w:color="auto" w:fill="auto"/>
          </w:tcPr>
          <w:p w14:paraId="48F40660" w14:textId="07BE9520" w:rsidR="008E2310" w:rsidRPr="00B67F62" w:rsidRDefault="000250A4" w:rsidP="008E2310">
            <w:pPr>
              <w:spacing w:after="0" w:line="240" w:lineRule="auto"/>
              <w:jc w:val="center"/>
              <w:rPr>
                <w:rFonts w:asciiTheme="minorHAnsi" w:hAnsiTheme="minorHAnsi" w:cs="Arial"/>
                <w:sz w:val="16"/>
                <w:szCs w:val="16"/>
              </w:rPr>
            </w:pPr>
            <w:r w:rsidRPr="00742389">
              <w:t>6.8%</w:t>
            </w:r>
          </w:p>
        </w:tc>
      </w:tr>
      <w:tr w:rsidR="00550D17" w:rsidRPr="00381218" w14:paraId="326CF158"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6BCA5FD2"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Veterinary</w:t>
            </w:r>
          </w:p>
        </w:tc>
        <w:tc>
          <w:tcPr>
            <w:tcW w:w="1492" w:type="dxa"/>
            <w:gridSpan w:val="2"/>
            <w:tcBorders>
              <w:top w:val="nil"/>
              <w:left w:val="nil"/>
              <w:bottom w:val="single" w:sz="4" w:space="0" w:color="000000"/>
              <w:right w:val="nil"/>
            </w:tcBorders>
            <w:shd w:val="clear" w:color="auto" w:fill="auto"/>
            <w:noWrap/>
          </w:tcPr>
          <w:p w14:paraId="4DCADA39" w14:textId="356BAF50"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7A229BF0" w14:textId="7F315CDC"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1CC54139" w14:textId="23C46B18"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5663E512" w14:textId="414D4545"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5157DAAD" w14:textId="4C6741D4"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699EB161"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18739649"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OthHealth</w:t>
            </w:r>
          </w:p>
        </w:tc>
        <w:tc>
          <w:tcPr>
            <w:tcW w:w="1492" w:type="dxa"/>
            <w:gridSpan w:val="2"/>
            <w:tcBorders>
              <w:top w:val="nil"/>
              <w:left w:val="nil"/>
              <w:bottom w:val="single" w:sz="4" w:space="0" w:color="000000"/>
              <w:right w:val="nil"/>
            </w:tcBorders>
            <w:shd w:val="clear" w:color="auto" w:fill="auto"/>
            <w:noWrap/>
          </w:tcPr>
          <w:p w14:paraId="255935C7" w14:textId="30555315"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$1,037,020</w:t>
            </w:r>
          </w:p>
        </w:tc>
        <w:tc>
          <w:tcPr>
            <w:tcW w:w="1527" w:type="dxa"/>
            <w:tcBorders>
              <w:top w:val="nil"/>
              <w:left w:val="nil"/>
              <w:bottom w:val="single" w:sz="4" w:space="0" w:color="000000"/>
              <w:right w:val="nil"/>
            </w:tcBorders>
            <w:shd w:val="clear" w:color="auto" w:fill="auto"/>
            <w:noWrap/>
          </w:tcPr>
          <w:p w14:paraId="6A70E32A" w14:textId="54612A23"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$17</w:t>
            </w:r>
          </w:p>
        </w:tc>
        <w:tc>
          <w:tcPr>
            <w:tcW w:w="1526" w:type="dxa"/>
            <w:gridSpan w:val="2"/>
            <w:tcBorders>
              <w:top w:val="nil"/>
              <w:left w:val="nil"/>
              <w:bottom w:val="single" w:sz="4" w:space="0" w:color="000000"/>
              <w:right w:val="nil"/>
            </w:tcBorders>
            <w:shd w:val="clear" w:color="auto" w:fill="auto"/>
            <w:noWrap/>
          </w:tcPr>
          <w:p w14:paraId="07C7B43A" w14:textId="2E9A74EE"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0.1%</w:t>
            </w:r>
          </w:p>
        </w:tc>
        <w:tc>
          <w:tcPr>
            <w:tcW w:w="1526" w:type="dxa"/>
            <w:tcBorders>
              <w:top w:val="nil"/>
              <w:left w:val="nil"/>
              <w:bottom w:val="single" w:sz="4" w:space="0" w:color="000000"/>
              <w:right w:val="nil"/>
            </w:tcBorders>
            <w:shd w:val="clear" w:color="auto" w:fill="auto"/>
          </w:tcPr>
          <w:p w14:paraId="1359D31D" w14:textId="76849DBB" w:rsidR="008E2310" w:rsidRPr="00B67F62" w:rsidRDefault="000250A4" w:rsidP="008E2310">
            <w:pPr>
              <w:spacing w:after="0" w:line="240" w:lineRule="auto"/>
              <w:jc w:val="center"/>
              <w:rPr>
                <w:rFonts w:asciiTheme="minorHAnsi" w:hAnsiTheme="minorHAnsi" w:cs="Arial"/>
                <w:sz w:val="16"/>
                <w:szCs w:val="16"/>
              </w:rPr>
            </w:pPr>
            <w:r w:rsidRPr="00742389">
              <w:t>$1,055</w:t>
            </w:r>
          </w:p>
        </w:tc>
        <w:tc>
          <w:tcPr>
            <w:tcW w:w="1527" w:type="dxa"/>
            <w:tcBorders>
              <w:top w:val="nil"/>
              <w:left w:val="nil"/>
              <w:bottom w:val="single" w:sz="4" w:space="0" w:color="000000"/>
              <w:right w:val="nil"/>
            </w:tcBorders>
            <w:shd w:val="clear" w:color="auto" w:fill="auto"/>
          </w:tcPr>
          <w:p w14:paraId="7804C24B" w14:textId="58A415E1" w:rsidR="008E2310" w:rsidRPr="00B67F62" w:rsidRDefault="000250A4" w:rsidP="008E2310">
            <w:pPr>
              <w:spacing w:after="0" w:line="240" w:lineRule="auto"/>
              <w:jc w:val="center"/>
              <w:rPr>
                <w:rFonts w:asciiTheme="minorHAnsi" w:hAnsiTheme="minorHAnsi" w:cs="Arial"/>
                <w:sz w:val="16"/>
                <w:szCs w:val="16"/>
              </w:rPr>
            </w:pPr>
            <w:r w:rsidRPr="00742389">
              <w:t>4.8%</w:t>
            </w:r>
          </w:p>
        </w:tc>
      </w:tr>
      <w:tr w:rsidR="00550D17" w:rsidRPr="00381218" w14:paraId="59458060"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0807B314"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Education</w:t>
            </w:r>
          </w:p>
        </w:tc>
        <w:tc>
          <w:tcPr>
            <w:tcW w:w="1492" w:type="dxa"/>
            <w:gridSpan w:val="2"/>
            <w:tcBorders>
              <w:top w:val="nil"/>
              <w:left w:val="nil"/>
              <w:bottom w:val="single" w:sz="4" w:space="0" w:color="000000"/>
              <w:right w:val="nil"/>
            </w:tcBorders>
            <w:shd w:val="clear" w:color="auto" w:fill="auto"/>
            <w:noWrap/>
          </w:tcPr>
          <w:p w14:paraId="2A6DBBC4" w14:textId="29E837D3"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4EC91C34" w14:textId="4CB26062"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144BD41B" w14:textId="72287B6C"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3C14C1C9" w14:textId="1613C6B0"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035B1BC8" w14:textId="0FBA0982"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26EC0DD0"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5A5ACFF8"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Mgmt&amp;Comm</w:t>
            </w:r>
          </w:p>
        </w:tc>
        <w:tc>
          <w:tcPr>
            <w:tcW w:w="1492" w:type="dxa"/>
            <w:gridSpan w:val="2"/>
            <w:tcBorders>
              <w:top w:val="nil"/>
              <w:left w:val="nil"/>
              <w:bottom w:val="single" w:sz="4" w:space="0" w:color="000000"/>
              <w:right w:val="nil"/>
            </w:tcBorders>
            <w:shd w:val="clear" w:color="auto" w:fill="auto"/>
            <w:noWrap/>
          </w:tcPr>
          <w:p w14:paraId="68E948EA" w14:textId="6F0B8336"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589F2175" w14:textId="27B5974B"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6BD36748" w14:textId="7C79E8A4"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282E36EF" w14:textId="6BDED7F5"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0FFE3962" w14:textId="5F0FBFEC"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7958C894"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8DABAA8"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ForeignLang</w:t>
            </w:r>
          </w:p>
        </w:tc>
        <w:tc>
          <w:tcPr>
            <w:tcW w:w="1492" w:type="dxa"/>
            <w:gridSpan w:val="2"/>
            <w:tcBorders>
              <w:top w:val="nil"/>
              <w:left w:val="nil"/>
              <w:bottom w:val="single" w:sz="4" w:space="0" w:color="000000"/>
              <w:right w:val="nil"/>
            </w:tcBorders>
            <w:shd w:val="clear" w:color="auto" w:fill="auto"/>
            <w:noWrap/>
          </w:tcPr>
          <w:p w14:paraId="0A378D8F" w14:textId="7A42AC8E"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103E6837" w14:textId="6AE2AC09"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4530C179" w14:textId="14EEB734"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7A7B2156" w14:textId="24F708F4"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60BACD09" w14:textId="341F41EC"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3164244C"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5E13CEB3"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Psych</w:t>
            </w:r>
          </w:p>
        </w:tc>
        <w:tc>
          <w:tcPr>
            <w:tcW w:w="1492" w:type="dxa"/>
            <w:gridSpan w:val="2"/>
            <w:tcBorders>
              <w:top w:val="nil"/>
              <w:left w:val="nil"/>
              <w:bottom w:val="single" w:sz="4" w:space="0" w:color="000000"/>
              <w:right w:val="nil"/>
            </w:tcBorders>
            <w:shd w:val="clear" w:color="auto" w:fill="auto"/>
            <w:noWrap/>
          </w:tcPr>
          <w:p w14:paraId="38ED8976" w14:textId="2E30C6F0"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0BBF44F1" w14:textId="204CB49D"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43C4998F" w14:textId="39B9B331"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6843CBC7" w14:textId="241C3592"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0BED806A" w14:textId="693FE28D"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24A0C364"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69D13D84"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OtherSoc&amp;Cult</w:t>
            </w:r>
          </w:p>
        </w:tc>
        <w:tc>
          <w:tcPr>
            <w:tcW w:w="1492" w:type="dxa"/>
            <w:gridSpan w:val="2"/>
            <w:tcBorders>
              <w:top w:val="nil"/>
              <w:left w:val="nil"/>
              <w:bottom w:val="single" w:sz="4" w:space="0" w:color="000000"/>
              <w:right w:val="nil"/>
            </w:tcBorders>
            <w:shd w:val="clear" w:color="auto" w:fill="auto"/>
            <w:noWrap/>
          </w:tcPr>
          <w:p w14:paraId="1B31DCDA" w14:textId="52E3241F"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62F26040" w14:textId="6EED9E7D"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076354EA" w14:textId="2CE60A76"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08BD4A6F" w14:textId="102C1DD2"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60DD4B5B" w14:textId="0780C9AC"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103B1D96"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674AB4B"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Comms&amp;Media</w:t>
            </w:r>
          </w:p>
        </w:tc>
        <w:tc>
          <w:tcPr>
            <w:tcW w:w="1492" w:type="dxa"/>
            <w:gridSpan w:val="2"/>
            <w:tcBorders>
              <w:top w:val="nil"/>
              <w:left w:val="nil"/>
              <w:bottom w:val="single" w:sz="4" w:space="0" w:color="000000"/>
              <w:right w:val="nil"/>
            </w:tcBorders>
            <w:shd w:val="clear" w:color="auto" w:fill="auto"/>
            <w:noWrap/>
          </w:tcPr>
          <w:p w14:paraId="04DC3F88" w14:textId="72C590CA"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107DEB5F" w14:textId="20509643"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49BB605F" w14:textId="4EA14C00"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346CF394" w14:textId="1CED76AA"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52C95127" w14:textId="5CEE295A"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2E318108"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46EAC3DB"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OthCreative</w:t>
            </w:r>
          </w:p>
        </w:tc>
        <w:tc>
          <w:tcPr>
            <w:tcW w:w="1492" w:type="dxa"/>
            <w:gridSpan w:val="2"/>
            <w:tcBorders>
              <w:top w:val="nil"/>
              <w:left w:val="nil"/>
              <w:bottom w:val="single" w:sz="4" w:space="0" w:color="000000"/>
              <w:right w:val="nil"/>
            </w:tcBorders>
            <w:shd w:val="clear" w:color="auto" w:fill="auto"/>
            <w:noWrap/>
          </w:tcPr>
          <w:p w14:paraId="37688386" w14:textId="37B55A7B"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3F8A72C9" w14:textId="435CF308"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3D627152" w14:textId="5FE44548"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04A22AA3" w14:textId="5342D105"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5C4A6C81" w14:textId="45597BF1"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722AD3B7"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3C2FE686"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FoodHosp&amp;Person</w:t>
            </w:r>
          </w:p>
        </w:tc>
        <w:tc>
          <w:tcPr>
            <w:tcW w:w="1492" w:type="dxa"/>
            <w:gridSpan w:val="2"/>
            <w:tcBorders>
              <w:top w:val="nil"/>
              <w:left w:val="nil"/>
              <w:bottom w:val="single" w:sz="4" w:space="0" w:color="000000"/>
              <w:right w:val="nil"/>
            </w:tcBorders>
            <w:shd w:val="clear" w:color="auto" w:fill="auto"/>
            <w:noWrap/>
          </w:tcPr>
          <w:p w14:paraId="14AB7B9F" w14:textId="14F49F33"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11B24D8B" w14:textId="078C286B"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00558B9E" w14:textId="26F74FE3"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6CD9CFC3" w14:textId="78C08816"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7B0461DA" w14:textId="0D319EEB"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550D17" w:rsidRPr="00381218" w14:paraId="5B62236D" w14:textId="77777777" w:rsidTr="00550D17">
        <w:trPr>
          <w:trHeight w:val="210"/>
        </w:trPr>
        <w:tc>
          <w:tcPr>
            <w:tcW w:w="1560" w:type="dxa"/>
            <w:tcBorders>
              <w:top w:val="single" w:sz="4" w:space="0" w:color="000000" w:themeColor="text1"/>
              <w:left w:val="nil"/>
              <w:bottom w:val="single" w:sz="4" w:space="0" w:color="000000" w:themeColor="text1"/>
              <w:right w:val="nil"/>
            </w:tcBorders>
            <w:noWrap/>
            <w:hideMark/>
          </w:tcPr>
          <w:p w14:paraId="7009067E" w14:textId="77777777" w:rsidR="008E2310" w:rsidRPr="00BB165A" w:rsidRDefault="008E2310" w:rsidP="008E2310">
            <w:pPr>
              <w:spacing w:after="0" w:line="240" w:lineRule="auto"/>
              <w:rPr>
                <w:rFonts w:eastAsia="Times New Roman" w:cs="Arial"/>
                <w:sz w:val="16"/>
                <w:szCs w:val="14"/>
                <w:lang w:eastAsia="en-AU"/>
              </w:rPr>
            </w:pPr>
            <w:r w:rsidRPr="00BB165A">
              <w:rPr>
                <w:rFonts w:eastAsia="Times New Roman" w:cs="Arial"/>
                <w:sz w:val="16"/>
                <w:szCs w:val="14"/>
                <w:lang w:eastAsia="en-AU"/>
              </w:rPr>
              <w:t>MixedField</w:t>
            </w:r>
          </w:p>
        </w:tc>
        <w:tc>
          <w:tcPr>
            <w:tcW w:w="1492" w:type="dxa"/>
            <w:gridSpan w:val="2"/>
            <w:tcBorders>
              <w:top w:val="nil"/>
              <w:left w:val="nil"/>
              <w:bottom w:val="single" w:sz="4" w:space="0" w:color="000000"/>
              <w:right w:val="nil"/>
            </w:tcBorders>
            <w:shd w:val="clear" w:color="auto" w:fill="auto"/>
            <w:noWrap/>
          </w:tcPr>
          <w:p w14:paraId="254B0916" w14:textId="43AA58A4"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7" w:type="dxa"/>
            <w:tcBorders>
              <w:top w:val="nil"/>
              <w:left w:val="nil"/>
              <w:bottom w:val="single" w:sz="4" w:space="0" w:color="000000"/>
              <w:right w:val="nil"/>
            </w:tcBorders>
            <w:shd w:val="clear" w:color="auto" w:fill="auto"/>
            <w:noWrap/>
          </w:tcPr>
          <w:p w14:paraId="4AA84777" w14:textId="7917590D"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gridSpan w:val="2"/>
            <w:tcBorders>
              <w:top w:val="nil"/>
              <w:left w:val="nil"/>
              <w:bottom w:val="single" w:sz="4" w:space="0" w:color="000000"/>
              <w:right w:val="nil"/>
            </w:tcBorders>
            <w:shd w:val="clear" w:color="auto" w:fill="auto"/>
            <w:noWrap/>
          </w:tcPr>
          <w:p w14:paraId="34CA7C18" w14:textId="0FC040E3" w:rsidR="008E2310" w:rsidRPr="00B67F62" w:rsidRDefault="000250A4" w:rsidP="008E2310">
            <w:pPr>
              <w:spacing w:after="0" w:line="240" w:lineRule="auto"/>
              <w:jc w:val="center"/>
              <w:rPr>
                <w:rFonts w:asciiTheme="minorHAnsi" w:eastAsia="Times New Roman" w:hAnsiTheme="minorHAnsi" w:cs="Arial"/>
                <w:sz w:val="16"/>
                <w:szCs w:val="16"/>
                <w:lang w:eastAsia="en-AU"/>
              </w:rPr>
            </w:pPr>
            <w:r w:rsidRPr="00BB4EEA">
              <w:t>-</w:t>
            </w:r>
          </w:p>
        </w:tc>
        <w:tc>
          <w:tcPr>
            <w:tcW w:w="1526" w:type="dxa"/>
            <w:tcBorders>
              <w:top w:val="nil"/>
              <w:left w:val="nil"/>
              <w:bottom w:val="single" w:sz="4" w:space="0" w:color="000000"/>
              <w:right w:val="nil"/>
            </w:tcBorders>
            <w:shd w:val="clear" w:color="auto" w:fill="auto"/>
          </w:tcPr>
          <w:p w14:paraId="570772B8" w14:textId="5D85ED00" w:rsidR="008E2310" w:rsidRPr="00B67F62" w:rsidRDefault="000250A4" w:rsidP="008E2310">
            <w:pPr>
              <w:spacing w:after="0" w:line="240" w:lineRule="auto"/>
              <w:jc w:val="center"/>
              <w:rPr>
                <w:rFonts w:asciiTheme="minorHAnsi" w:hAnsiTheme="minorHAnsi" w:cs="Arial"/>
                <w:sz w:val="16"/>
                <w:szCs w:val="16"/>
              </w:rPr>
            </w:pPr>
            <w:r w:rsidRPr="00742389">
              <w:t>-</w:t>
            </w:r>
          </w:p>
        </w:tc>
        <w:tc>
          <w:tcPr>
            <w:tcW w:w="1527" w:type="dxa"/>
            <w:tcBorders>
              <w:top w:val="nil"/>
              <w:left w:val="nil"/>
              <w:bottom w:val="single" w:sz="4" w:space="0" w:color="000000"/>
              <w:right w:val="nil"/>
            </w:tcBorders>
            <w:shd w:val="clear" w:color="auto" w:fill="auto"/>
          </w:tcPr>
          <w:p w14:paraId="53C8DA0E" w14:textId="75E1FD1A" w:rsidR="008E2310" w:rsidRPr="00B67F62" w:rsidRDefault="000250A4" w:rsidP="008E2310">
            <w:pPr>
              <w:spacing w:after="0" w:line="240" w:lineRule="auto"/>
              <w:jc w:val="center"/>
              <w:rPr>
                <w:rFonts w:asciiTheme="minorHAnsi" w:hAnsiTheme="minorHAnsi" w:cs="Arial"/>
                <w:sz w:val="16"/>
                <w:szCs w:val="16"/>
              </w:rPr>
            </w:pPr>
            <w:r w:rsidRPr="00742389">
              <w:t>-</w:t>
            </w:r>
          </w:p>
        </w:tc>
      </w:tr>
      <w:tr w:rsidR="00D928FD" w:rsidRPr="00377632" w14:paraId="30AE9521" w14:textId="77777777" w:rsidTr="00416131">
        <w:trPr>
          <w:trHeight w:val="210"/>
        </w:trPr>
        <w:tc>
          <w:tcPr>
            <w:tcW w:w="1560" w:type="dxa"/>
            <w:tcBorders>
              <w:top w:val="single" w:sz="4" w:space="0" w:color="000000" w:themeColor="text1"/>
              <w:left w:val="nil"/>
              <w:bottom w:val="single" w:sz="4" w:space="0" w:color="000000" w:themeColor="text1"/>
              <w:right w:val="nil"/>
            </w:tcBorders>
            <w:noWrap/>
            <w:hideMark/>
          </w:tcPr>
          <w:p w14:paraId="5EF5EC5B" w14:textId="77777777" w:rsidR="008E2310" w:rsidRPr="00BB165A" w:rsidRDefault="008E2310" w:rsidP="008E2310">
            <w:pPr>
              <w:spacing w:after="0" w:line="240" w:lineRule="auto"/>
              <w:rPr>
                <w:rFonts w:eastAsia="Times New Roman" w:cs="Arial"/>
                <w:b/>
                <w:sz w:val="16"/>
                <w:szCs w:val="14"/>
                <w:lang w:eastAsia="en-AU"/>
              </w:rPr>
            </w:pPr>
            <w:r w:rsidRPr="00BB165A">
              <w:rPr>
                <w:rFonts w:eastAsia="Times New Roman" w:cs="Arial"/>
                <w:b/>
                <w:sz w:val="16"/>
                <w:szCs w:val="14"/>
                <w:lang w:eastAsia="en-AU"/>
              </w:rPr>
              <w:t>Total</w:t>
            </w:r>
          </w:p>
        </w:tc>
        <w:tc>
          <w:tcPr>
            <w:tcW w:w="1492" w:type="dxa"/>
            <w:gridSpan w:val="2"/>
            <w:tcBorders>
              <w:top w:val="nil"/>
              <w:left w:val="nil"/>
              <w:bottom w:val="single" w:sz="4" w:space="0" w:color="auto"/>
              <w:right w:val="nil"/>
            </w:tcBorders>
            <w:shd w:val="clear" w:color="auto" w:fill="auto"/>
            <w:noWrap/>
          </w:tcPr>
          <w:p w14:paraId="1B793E25" w14:textId="79B7C20E" w:rsidR="008E2310" w:rsidRPr="00883736" w:rsidRDefault="000250A4" w:rsidP="008E2310">
            <w:pPr>
              <w:spacing w:after="0" w:line="240" w:lineRule="auto"/>
              <w:jc w:val="center"/>
              <w:rPr>
                <w:rFonts w:asciiTheme="minorHAnsi" w:eastAsia="Times New Roman" w:hAnsiTheme="minorHAnsi" w:cs="Arial"/>
                <w:b/>
                <w:sz w:val="16"/>
                <w:szCs w:val="16"/>
                <w:lang w:eastAsia="en-AU"/>
              </w:rPr>
            </w:pPr>
            <w:r w:rsidRPr="00416131">
              <w:rPr>
                <w:b/>
                <w:bCs/>
              </w:rPr>
              <w:t>$89,461,935</w:t>
            </w:r>
          </w:p>
        </w:tc>
        <w:tc>
          <w:tcPr>
            <w:tcW w:w="0" w:type="dxa"/>
            <w:tcBorders>
              <w:top w:val="nil"/>
              <w:left w:val="nil"/>
              <w:bottom w:val="single" w:sz="4" w:space="0" w:color="auto"/>
              <w:right w:val="nil"/>
            </w:tcBorders>
            <w:shd w:val="clear" w:color="auto" w:fill="auto"/>
            <w:noWrap/>
          </w:tcPr>
          <w:p w14:paraId="1551D82D" w14:textId="199C9DC8" w:rsidR="008E2310" w:rsidRPr="00883736" w:rsidRDefault="000250A4" w:rsidP="008E2310">
            <w:pPr>
              <w:spacing w:after="0" w:line="240" w:lineRule="auto"/>
              <w:jc w:val="center"/>
              <w:rPr>
                <w:rFonts w:asciiTheme="minorHAnsi" w:eastAsia="Times New Roman" w:hAnsiTheme="minorHAnsi" w:cs="Arial"/>
                <w:b/>
                <w:sz w:val="16"/>
                <w:szCs w:val="16"/>
                <w:lang w:eastAsia="en-AU"/>
              </w:rPr>
            </w:pPr>
            <w:r w:rsidRPr="00416131">
              <w:rPr>
                <w:b/>
                <w:bCs/>
              </w:rPr>
              <w:t>$99</w:t>
            </w:r>
          </w:p>
        </w:tc>
        <w:tc>
          <w:tcPr>
            <w:tcW w:w="0" w:type="dxa"/>
            <w:gridSpan w:val="2"/>
            <w:tcBorders>
              <w:top w:val="nil"/>
              <w:left w:val="nil"/>
              <w:bottom w:val="single" w:sz="4" w:space="0" w:color="auto"/>
              <w:right w:val="nil"/>
            </w:tcBorders>
            <w:shd w:val="clear" w:color="auto" w:fill="auto"/>
            <w:noWrap/>
          </w:tcPr>
          <w:p w14:paraId="7FDEFBCD" w14:textId="285DBD87" w:rsidR="008E2310" w:rsidRPr="00883736" w:rsidRDefault="000250A4" w:rsidP="008E2310">
            <w:pPr>
              <w:spacing w:after="0" w:line="240" w:lineRule="auto"/>
              <w:jc w:val="center"/>
              <w:rPr>
                <w:rFonts w:asciiTheme="minorHAnsi" w:eastAsia="Times New Roman" w:hAnsiTheme="minorHAnsi" w:cs="Arial"/>
                <w:b/>
                <w:sz w:val="16"/>
                <w:szCs w:val="16"/>
                <w:lang w:eastAsia="en-AU"/>
              </w:rPr>
            </w:pPr>
            <w:r w:rsidRPr="00416131">
              <w:rPr>
                <w:b/>
                <w:bCs/>
              </w:rPr>
              <w:t>0.5%</w:t>
            </w:r>
          </w:p>
        </w:tc>
        <w:tc>
          <w:tcPr>
            <w:tcW w:w="0" w:type="dxa"/>
            <w:tcBorders>
              <w:top w:val="nil"/>
              <w:left w:val="nil"/>
              <w:bottom w:val="single" w:sz="4" w:space="0" w:color="auto"/>
              <w:right w:val="nil"/>
            </w:tcBorders>
            <w:shd w:val="clear" w:color="auto" w:fill="auto"/>
          </w:tcPr>
          <w:p w14:paraId="286EF64A" w14:textId="2F3C9C8A" w:rsidR="008E2310" w:rsidRPr="00883736" w:rsidRDefault="000250A4" w:rsidP="008E2310">
            <w:pPr>
              <w:spacing w:after="0" w:line="240" w:lineRule="auto"/>
              <w:jc w:val="center"/>
              <w:rPr>
                <w:rFonts w:asciiTheme="minorHAnsi" w:hAnsiTheme="minorHAnsi" w:cs="Arial"/>
                <w:b/>
                <w:sz w:val="16"/>
                <w:szCs w:val="16"/>
              </w:rPr>
            </w:pPr>
            <w:r w:rsidRPr="00416131">
              <w:rPr>
                <w:b/>
                <w:bCs/>
              </w:rPr>
              <w:t>$747</w:t>
            </w:r>
          </w:p>
        </w:tc>
        <w:tc>
          <w:tcPr>
            <w:tcW w:w="0" w:type="dxa"/>
            <w:tcBorders>
              <w:top w:val="nil"/>
              <w:left w:val="nil"/>
              <w:bottom w:val="single" w:sz="4" w:space="0" w:color="000000"/>
              <w:right w:val="nil"/>
            </w:tcBorders>
            <w:shd w:val="clear" w:color="auto" w:fill="auto"/>
          </w:tcPr>
          <w:p w14:paraId="43EB3073" w14:textId="434E3253" w:rsidR="008E2310" w:rsidRPr="00883736" w:rsidRDefault="000250A4" w:rsidP="008E2310">
            <w:pPr>
              <w:spacing w:after="0" w:line="240" w:lineRule="auto"/>
              <w:jc w:val="center"/>
              <w:rPr>
                <w:rFonts w:asciiTheme="minorHAnsi" w:hAnsiTheme="minorHAnsi" w:cs="Arial"/>
                <w:b/>
                <w:sz w:val="16"/>
                <w:szCs w:val="16"/>
              </w:rPr>
            </w:pPr>
            <w:r w:rsidRPr="00416131">
              <w:rPr>
                <w:b/>
                <w:bCs/>
              </w:rPr>
              <w:t>3.9%</w:t>
            </w:r>
          </w:p>
        </w:tc>
      </w:tr>
    </w:tbl>
    <w:p w14:paraId="237D6DDA" w14:textId="77777777" w:rsidR="00A4300D" w:rsidRPr="00BB165A" w:rsidRDefault="00A4300D" w:rsidP="00416131">
      <w:pPr>
        <w:pStyle w:val="Heading3un-numbered"/>
        <w:spacing w:before="240"/>
      </w:pPr>
      <w:r w:rsidRPr="00BB165A">
        <w:t xml:space="preserve">Additional partnership costs </w:t>
      </w:r>
    </w:p>
    <w:p w14:paraId="1DEC13B2" w14:textId="2FB3CECA" w:rsidR="00A4300D" w:rsidRPr="00BB165A" w:rsidRDefault="00A4300D" w:rsidP="00A4300D">
      <w:r w:rsidRPr="00BB165A">
        <w:t>In some instances, universities may arrange for a third-party organisation to deliver teaching for EFTSL that is attributable to</w:t>
      </w:r>
      <w:r w:rsidR="005576A3" w:rsidRPr="00BB165A">
        <w:t xml:space="preserve"> </w:t>
      </w:r>
      <w:r w:rsidR="00AD0814" w:rsidRPr="00BB165A">
        <w:t>a</w:t>
      </w:r>
      <w:r w:rsidRPr="00BB165A">
        <w:t xml:space="preserve"> university. Costs incurred directly as a result of </w:t>
      </w:r>
      <w:r w:rsidR="00E771A9" w:rsidRPr="00BB165A">
        <w:t>third-party</w:t>
      </w:r>
      <w:r w:rsidRPr="00BB165A">
        <w:t xml:space="preserve"> delivery arrangements (such as administrative costs) have previously, and continue to be</w:t>
      </w:r>
      <w:r w:rsidR="00BF6967" w:rsidRPr="00BB165A">
        <w:t>,</w:t>
      </w:r>
      <w:r w:rsidRPr="00BB165A">
        <w:t xml:space="preserve"> included appropriately ‘above the line’. However, some universities identified particular arrangements, whereby the full cost of teaching related to EFTSL attributable to the home institution would not be captured in statutory reporting, or the existing template. </w:t>
      </w:r>
    </w:p>
    <w:p w14:paraId="04BC62CB" w14:textId="3E3D905F" w:rsidR="003923CC" w:rsidRPr="00BB165A" w:rsidRDefault="00A4300D" w:rsidP="003923CC">
      <w:r w:rsidRPr="00BB165A">
        <w:t>An example provided by some universities was in instances where the third</w:t>
      </w:r>
      <w:r w:rsidR="00AD0814" w:rsidRPr="00BB165A">
        <w:t>-</w:t>
      </w:r>
      <w:r w:rsidRPr="00BB165A">
        <w:t xml:space="preserve">party collects some or all student fees. In these cases, </w:t>
      </w:r>
      <w:r w:rsidR="003923CC" w:rsidRPr="00BB165A">
        <w:t>costs incurred in teaching these students would not be fully reflected in continuing expenses for the home institution for the relevant EFTSL.</w:t>
      </w:r>
      <w:r w:rsidR="00A5311B" w:rsidRPr="00BB165A">
        <w:t xml:space="preserve"> Including these costs is important for </w:t>
      </w:r>
      <w:r w:rsidR="003B0859" w:rsidRPr="00BB165A">
        <w:t xml:space="preserve">ensuring </w:t>
      </w:r>
      <w:r w:rsidR="00A5311B" w:rsidRPr="00BB165A">
        <w:t xml:space="preserve">comparability across institutions is not affected by </w:t>
      </w:r>
      <w:r w:rsidR="00D13C16" w:rsidRPr="00BB165A">
        <w:t xml:space="preserve">specific </w:t>
      </w:r>
      <w:r w:rsidR="00A5311B" w:rsidRPr="00BB165A">
        <w:t xml:space="preserve">revenue sharing arrangements with partner organisations. To address this issue, universities </w:t>
      </w:r>
      <w:r w:rsidR="003B0859" w:rsidRPr="00BB165A">
        <w:t xml:space="preserve">were </w:t>
      </w:r>
      <w:r w:rsidR="00A5311B" w:rsidRPr="00BB165A">
        <w:t xml:space="preserve">asked to estimate teaching costs for their partners based on the revenue collected by those partners in cases where this revenue is not incorporated as an expense by the home university. </w:t>
      </w:r>
    </w:p>
    <w:p w14:paraId="4A26B207" w14:textId="35DAFF1A" w:rsidR="00C50E37" w:rsidRPr="00BB165A" w:rsidRDefault="00A4300D" w:rsidP="00A4300D">
      <w:r w:rsidRPr="00BB165A">
        <w:t xml:space="preserve">In line with this definition, reported additional partnership costs in </w:t>
      </w:r>
      <w:r w:rsidR="00386021" w:rsidRPr="00BB165A">
        <w:t>2019</w:t>
      </w:r>
      <w:r w:rsidRPr="00BB165A">
        <w:t xml:space="preserve"> resulted in an on average $</w:t>
      </w:r>
      <w:r w:rsidR="00386021" w:rsidRPr="00BB165A">
        <w:t>125</w:t>
      </w:r>
      <w:r w:rsidR="00A5311B" w:rsidRPr="00BB165A">
        <w:t xml:space="preserve"> </w:t>
      </w:r>
      <w:r w:rsidRPr="00BB165A">
        <w:t>(or 0.</w:t>
      </w:r>
      <w:r w:rsidR="00386021" w:rsidRPr="00BB165A">
        <w:t>7</w:t>
      </w:r>
      <w:r w:rsidR="003923CC" w:rsidRPr="00BB165A">
        <w:t xml:space="preserve">%) increase in cost per EFTSL. </w:t>
      </w:r>
      <w:r w:rsidR="00C50E37" w:rsidRPr="00BB165A">
        <w:t xml:space="preserve">The largest impacts were on </w:t>
      </w:r>
      <w:r w:rsidR="005F33EB" w:rsidRPr="00BB165A">
        <w:t>Food</w:t>
      </w:r>
      <w:r w:rsidR="00C465D9" w:rsidRPr="00BB165A">
        <w:t xml:space="preserve">, </w:t>
      </w:r>
      <w:r w:rsidR="00B87C84" w:rsidRPr="00BB165A">
        <w:t>Hospitality</w:t>
      </w:r>
      <w:r w:rsidR="00C465D9" w:rsidRPr="00BB165A">
        <w:t xml:space="preserve"> and Personal Services</w:t>
      </w:r>
      <w:r w:rsidR="00B87C84" w:rsidRPr="00BB165A">
        <w:t xml:space="preserve"> </w:t>
      </w:r>
      <w:r w:rsidR="00C50E37" w:rsidRPr="00BB165A">
        <w:t>($</w:t>
      </w:r>
      <w:r w:rsidR="00B87C84" w:rsidRPr="00BB165A">
        <w:t>2,8</w:t>
      </w:r>
      <w:r w:rsidR="00B10DAE" w:rsidRPr="00BB165A">
        <w:t>59</w:t>
      </w:r>
      <w:r w:rsidR="00A5311B" w:rsidRPr="00BB165A">
        <w:t xml:space="preserve"> </w:t>
      </w:r>
      <w:r w:rsidR="00C50E37" w:rsidRPr="00BB165A">
        <w:t xml:space="preserve">increase per EFTSL or </w:t>
      </w:r>
      <w:r w:rsidR="00B87C84" w:rsidRPr="00BB165A">
        <w:t>17.1</w:t>
      </w:r>
      <w:r w:rsidR="00C50E37" w:rsidRPr="00BB165A">
        <w:t xml:space="preserve">%) and </w:t>
      </w:r>
      <w:r w:rsidR="00B87C84" w:rsidRPr="00BB165A">
        <w:t>Dental</w:t>
      </w:r>
      <w:r w:rsidR="00C465D9" w:rsidRPr="00BB165A">
        <w:t xml:space="preserve"> Studies</w:t>
      </w:r>
      <w:r w:rsidR="00C50E37" w:rsidRPr="00BB165A">
        <w:t xml:space="preserve"> ($</w:t>
      </w:r>
      <w:r w:rsidR="00B87C84" w:rsidRPr="00BB165A">
        <w:t>2,319</w:t>
      </w:r>
      <w:r w:rsidR="00A5311B" w:rsidRPr="00BB165A">
        <w:t xml:space="preserve"> </w:t>
      </w:r>
      <w:r w:rsidR="00C50E37" w:rsidRPr="00BB165A">
        <w:t xml:space="preserve">or </w:t>
      </w:r>
      <w:r w:rsidR="00B87C84" w:rsidRPr="00BB165A">
        <w:t>5.5</w:t>
      </w:r>
      <w:r w:rsidR="00C50E37" w:rsidRPr="00BB165A">
        <w:t xml:space="preserve">%). </w:t>
      </w:r>
      <w:r w:rsidR="00E771A9" w:rsidRPr="00BB165A">
        <w:t>Third-party</w:t>
      </w:r>
      <w:r w:rsidR="00A5311B" w:rsidRPr="00BB165A">
        <w:t xml:space="preserve"> and partnership costs were recorded by </w:t>
      </w:r>
      <w:r w:rsidR="005F33EB" w:rsidRPr="00BB165A">
        <w:t>six</w:t>
      </w:r>
      <w:r w:rsidR="00A5311B" w:rsidRPr="00BB165A">
        <w:t xml:space="preserve"> universities below the line in 2019. </w:t>
      </w:r>
    </w:p>
    <w:p w14:paraId="4C7BD47B" w14:textId="0DC64ABE" w:rsidR="00386021" w:rsidRPr="00691B65" w:rsidRDefault="005F33EB" w:rsidP="00A4300D">
      <w:r w:rsidRPr="00BB165A">
        <w:t>In 2020</w:t>
      </w:r>
      <w:r w:rsidR="008050A3" w:rsidRPr="00BB165A">
        <w:t>,</w:t>
      </w:r>
      <w:r w:rsidR="006D4703" w:rsidRPr="00BB165A">
        <w:t xml:space="preserve"> </w:t>
      </w:r>
      <w:r w:rsidR="00581CC5" w:rsidRPr="00BB165A">
        <w:t xml:space="preserve">reported additional partnership costs </w:t>
      </w:r>
      <w:r w:rsidR="008050A3" w:rsidRPr="00BB165A">
        <w:t>resulted in an</w:t>
      </w:r>
      <w:r w:rsidR="00581CC5" w:rsidRPr="00BB165A">
        <w:t xml:space="preserve"> </w:t>
      </w:r>
      <w:r w:rsidR="006D4703" w:rsidRPr="00BB165A">
        <w:t xml:space="preserve">on average </w:t>
      </w:r>
      <w:r w:rsidR="00581CC5" w:rsidRPr="00BB165A">
        <w:t>$99 (or 0.5%)</w:t>
      </w:r>
      <w:r w:rsidR="006D4703" w:rsidRPr="00BB165A">
        <w:t xml:space="preserve"> increase in cost per EFTSL.</w:t>
      </w:r>
      <w:r w:rsidR="00F23E8A" w:rsidRPr="00BB165A">
        <w:t xml:space="preserve"> </w:t>
      </w:r>
      <w:r w:rsidR="00B87C84" w:rsidRPr="00BB165A">
        <w:t>This represents a small decline from 2019, largely reflecting the fall</w:t>
      </w:r>
      <w:r w:rsidR="00B84717" w:rsidRPr="00BB165A">
        <w:t xml:space="preserve"> in overall </w:t>
      </w:r>
      <w:r w:rsidR="00445622" w:rsidRPr="00BB165A">
        <w:t>third-party</w:t>
      </w:r>
      <w:r w:rsidR="00B84717" w:rsidRPr="00BB165A">
        <w:t xml:space="preserve"> partnership recorded below the line from $115 million in 2019 to $90 million in 2020.</w:t>
      </w:r>
      <w:r w:rsidR="00445622" w:rsidRPr="00BB165A">
        <w:t xml:space="preserve"> </w:t>
      </w:r>
      <w:r w:rsidR="00AD64B7" w:rsidRPr="00BB165A">
        <w:t xml:space="preserve">The largest impacts were </w:t>
      </w:r>
      <w:r w:rsidR="008518E5" w:rsidRPr="00BB165A">
        <w:t>also in Food, Hospitality and Personal Services ($2,</w:t>
      </w:r>
      <w:r w:rsidR="006D525A" w:rsidRPr="00BB165A">
        <w:t>621</w:t>
      </w:r>
      <w:r w:rsidR="008518E5" w:rsidRPr="00BB165A">
        <w:t xml:space="preserve"> increase per EFTSL or 17.1%) and Dental Studies ($2,3</w:t>
      </w:r>
      <w:r w:rsidR="00C275CB" w:rsidRPr="00BB165A">
        <w:t>58</w:t>
      </w:r>
      <w:r w:rsidR="008518E5" w:rsidRPr="00BB165A">
        <w:t xml:space="preserve"> or 5.</w:t>
      </w:r>
      <w:r w:rsidR="00C275CB" w:rsidRPr="00BB165A">
        <w:t>7</w:t>
      </w:r>
      <w:r w:rsidR="008518E5" w:rsidRPr="00BB165A">
        <w:t xml:space="preserve">%). </w:t>
      </w:r>
      <w:r w:rsidR="00B84717" w:rsidRPr="00BB165A">
        <w:t>Third-party and partnership costs were recorded by five universities below the line in 2020.</w:t>
      </w:r>
    </w:p>
    <w:p w14:paraId="49889DCB" w14:textId="46DEEBF8" w:rsidR="00A4300D" w:rsidRPr="00BB165A" w:rsidRDefault="00A4300D" w:rsidP="006118C2">
      <w:pPr>
        <w:pStyle w:val="CaptionTable"/>
      </w:pPr>
      <w:bookmarkStart w:id="644" w:name="_Toc532209786"/>
      <w:bookmarkStart w:id="645" w:name="_Toc532245614"/>
      <w:bookmarkStart w:id="646" w:name="_Toc532376143"/>
      <w:bookmarkStart w:id="647" w:name="_Toc20245933"/>
      <w:bookmarkStart w:id="648" w:name="_Toc105776716"/>
      <w:bookmarkEnd w:id="644"/>
      <w:bookmarkEnd w:id="645"/>
      <w:bookmarkEnd w:id="646"/>
      <w:r w:rsidRPr="00BB165A">
        <w:t>: Impact of additional partnership costs on total teaching and scholarship costs</w:t>
      </w:r>
      <w:bookmarkEnd w:id="647"/>
      <w:r w:rsidR="001A12F7" w:rsidRPr="00BB165A">
        <w:t xml:space="preserve"> </w:t>
      </w:r>
      <w:r w:rsidR="00A05EB8" w:rsidRPr="00BB165A">
        <w:t>(</w:t>
      </w:r>
      <w:r w:rsidR="001A12F7" w:rsidRPr="00BB165A">
        <w:t>2019</w:t>
      </w:r>
      <w:r w:rsidR="00A05EB8" w:rsidRPr="00BB165A">
        <w:t>)</w:t>
      </w:r>
      <w:bookmarkEnd w:id="648"/>
    </w:p>
    <w:tbl>
      <w:tblPr>
        <w:tblStyle w:val="Deloittetable"/>
        <w:tblW w:w="9168" w:type="dxa"/>
        <w:tblLayout w:type="fixed"/>
        <w:tblLook w:val="04A0" w:firstRow="1" w:lastRow="0" w:firstColumn="1" w:lastColumn="0" w:noHBand="0" w:noVBand="1"/>
      </w:tblPr>
      <w:tblGrid>
        <w:gridCol w:w="37"/>
        <w:gridCol w:w="1491"/>
        <w:gridCol w:w="791"/>
        <w:gridCol w:w="737"/>
        <w:gridCol w:w="1528"/>
        <w:gridCol w:w="1528"/>
        <w:gridCol w:w="773"/>
        <w:gridCol w:w="755"/>
        <w:gridCol w:w="1528"/>
      </w:tblGrid>
      <w:tr w:rsidR="00397C83" w:rsidRPr="00A05EB8" w14:paraId="65A82CAE" w14:textId="77777777" w:rsidTr="00416131">
        <w:trPr>
          <w:cnfStyle w:val="100000000000" w:firstRow="1" w:lastRow="0" w:firstColumn="0" w:lastColumn="0" w:oddVBand="0" w:evenVBand="0" w:oddHBand="0" w:evenHBand="0" w:firstRowFirstColumn="0" w:firstRowLastColumn="0" w:lastRowFirstColumn="0" w:lastRowLastColumn="0"/>
          <w:trHeight w:val="446"/>
        </w:trPr>
        <w:tc>
          <w:tcPr>
            <w:tcW w:w="1528" w:type="dxa"/>
            <w:gridSpan w:val="2"/>
            <w:noWrap/>
            <w:hideMark/>
          </w:tcPr>
          <w:p w14:paraId="191A5A20" w14:textId="3F7198C8" w:rsidR="00397C83" w:rsidRPr="00BB165A" w:rsidRDefault="00397C83" w:rsidP="000B5B25">
            <w:pPr>
              <w:spacing w:after="0" w:line="240" w:lineRule="auto"/>
              <w:rPr>
                <w:rFonts w:eastAsia="Times New Roman" w:cs="Arial"/>
                <w:b/>
                <w:sz w:val="16"/>
                <w:szCs w:val="16"/>
                <w:lang w:eastAsia="en-AU"/>
              </w:rPr>
            </w:pPr>
            <w:r w:rsidRPr="00BB165A">
              <w:rPr>
                <w:rFonts w:eastAsia="Times New Roman" w:cs="Arial"/>
                <w:sz w:val="16"/>
                <w:szCs w:val="16"/>
                <w:lang w:eastAsia="en-AU"/>
              </w:rPr>
              <w:t> </w:t>
            </w:r>
            <w:r w:rsidR="00B70C2F">
              <w:rPr>
                <w:rFonts w:eastAsia="Times New Roman" w:cs="Arial"/>
                <w:b/>
                <w:sz w:val="16"/>
                <w:szCs w:val="16"/>
                <w:lang w:eastAsia="en-AU"/>
              </w:rPr>
              <w:t>FOE</w:t>
            </w:r>
          </w:p>
        </w:tc>
        <w:tc>
          <w:tcPr>
            <w:tcW w:w="1528" w:type="dxa"/>
            <w:gridSpan w:val="2"/>
            <w:noWrap/>
            <w:hideMark/>
          </w:tcPr>
          <w:p w14:paraId="23004E40" w14:textId="77777777" w:rsidR="00397C83" w:rsidRPr="00BB165A" w:rsidRDefault="00397C83"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total cost</w:t>
            </w:r>
          </w:p>
        </w:tc>
        <w:tc>
          <w:tcPr>
            <w:tcW w:w="1528" w:type="dxa"/>
            <w:noWrap/>
            <w:hideMark/>
          </w:tcPr>
          <w:p w14:paraId="5DC6B1CF" w14:textId="77777777" w:rsidR="00397C83" w:rsidRPr="00BB165A" w:rsidRDefault="00397C83"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28" w:type="dxa"/>
            <w:hideMark/>
          </w:tcPr>
          <w:p w14:paraId="2AA033C2" w14:textId="77777777" w:rsidR="00397C83" w:rsidRPr="00BB165A" w:rsidRDefault="00397C83"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c>
          <w:tcPr>
            <w:tcW w:w="1528" w:type="dxa"/>
            <w:gridSpan w:val="2"/>
          </w:tcPr>
          <w:p w14:paraId="5EEE5FFC" w14:textId="77777777" w:rsidR="00397C83" w:rsidRPr="00BB165A" w:rsidRDefault="00397C83"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28" w:type="dxa"/>
          </w:tcPr>
          <w:p w14:paraId="79E51D76" w14:textId="77777777" w:rsidR="00397C83" w:rsidRPr="00BB165A" w:rsidRDefault="00397C83"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r>
      <w:tr w:rsidR="007E5AB1" w:rsidRPr="00A05EB8" w14:paraId="7AD5EDD6" w14:textId="77777777" w:rsidTr="00D84DA6">
        <w:trPr>
          <w:gridBefore w:val="1"/>
          <w:wBefore w:w="37" w:type="dxa"/>
          <w:trHeight w:val="446"/>
        </w:trPr>
        <w:tc>
          <w:tcPr>
            <w:tcW w:w="2282" w:type="dxa"/>
            <w:gridSpan w:val="2"/>
            <w:noWrap/>
          </w:tcPr>
          <w:p w14:paraId="7FC6EFF1" w14:textId="77777777" w:rsidR="007E5AB1" w:rsidRPr="00BB165A" w:rsidRDefault="007E5AB1" w:rsidP="000B5B25">
            <w:pPr>
              <w:spacing w:after="0" w:line="240" w:lineRule="auto"/>
              <w:rPr>
                <w:rFonts w:eastAsia="Times New Roman" w:cs="Arial"/>
                <w:sz w:val="16"/>
                <w:szCs w:val="16"/>
                <w:lang w:eastAsia="en-AU"/>
              </w:rPr>
            </w:pPr>
          </w:p>
        </w:tc>
        <w:tc>
          <w:tcPr>
            <w:tcW w:w="4566" w:type="dxa"/>
            <w:gridSpan w:val="4"/>
            <w:noWrap/>
          </w:tcPr>
          <w:p w14:paraId="46112F2C" w14:textId="77777777" w:rsidR="007E5AB1" w:rsidRPr="00BB165A" w:rsidRDefault="007E5AB1" w:rsidP="000B5B2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2283" w:type="dxa"/>
            <w:gridSpan w:val="2"/>
          </w:tcPr>
          <w:p w14:paraId="1C4B8341" w14:textId="77777777" w:rsidR="007E5AB1" w:rsidRPr="00BB165A" w:rsidRDefault="007E5AB1" w:rsidP="000B5B2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 xml:space="preserve">Universities who reported </w:t>
            </w:r>
          </w:p>
          <w:p w14:paraId="17F7070B" w14:textId="734F91F5" w:rsidR="007E5AB1" w:rsidRPr="00BB165A" w:rsidRDefault="007E5AB1" w:rsidP="000B5B2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partnership costs</w:t>
            </w:r>
          </w:p>
        </w:tc>
      </w:tr>
      <w:tr w:rsidR="00CD0A1B" w:rsidRPr="00A05EB8" w14:paraId="5EB89FED" w14:textId="77777777" w:rsidTr="00416131">
        <w:trPr>
          <w:trHeight w:val="210"/>
        </w:trPr>
        <w:tc>
          <w:tcPr>
            <w:tcW w:w="1528" w:type="dxa"/>
            <w:gridSpan w:val="2"/>
            <w:noWrap/>
            <w:hideMark/>
          </w:tcPr>
          <w:p w14:paraId="7C121776"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MathSci</w:t>
            </w:r>
          </w:p>
        </w:tc>
        <w:tc>
          <w:tcPr>
            <w:tcW w:w="1528" w:type="dxa"/>
            <w:gridSpan w:val="2"/>
            <w:tcBorders>
              <w:top w:val="single" w:sz="4" w:space="0" w:color="000000"/>
              <w:left w:val="nil"/>
              <w:bottom w:val="single" w:sz="4" w:space="0" w:color="000000"/>
              <w:right w:val="nil"/>
            </w:tcBorders>
            <w:shd w:val="clear" w:color="auto" w:fill="auto"/>
            <w:noWrap/>
          </w:tcPr>
          <w:p w14:paraId="5D1AF949" w14:textId="2147C80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$2,519,342</w:t>
            </w:r>
          </w:p>
        </w:tc>
        <w:tc>
          <w:tcPr>
            <w:tcW w:w="1528" w:type="dxa"/>
            <w:tcBorders>
              <w:top w:val="single" w:sz="4" w:space="0" w:color="000000"/>
              <w:left w:val="nil"/>
              <w:bottom w:val="single" w:sz="4" w:space="0" w:color="000000"/>
              <w:right w:val="nil"/>
            </w:tcBorders>
            <w:shd w:val="clear" w:color="auto" w:fill="auto"/>
            <w:noWrap/>
          </w:tcPr>
          <w:p w14:paraId="6EDA4341" w14:textId="59D1D56A"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$80</w:t>
            </w:r>
          </w:p>
        </w:tc>
        <w:tc>
          <w:tcPr>
            <w:tcW w:w="1528" w:type="dxa"/>
            <w:tcBorders>
              <w:top w:val="single" w:sz="4" w:space="0" w:color="000000"/>
              <w:left w:val="nil"/>
              <w:bottom w:val="single" w:sz="4" w:space="0" w:color="000000"/>
              <w:right w:val="nil"/>
            </w:tcBorders>
            <w:shd w:val="clear" w:color="auto" w:fill="auto"/>
            <w:noWrap/>
          </w:tcPr>
          <w:p w14:paraId="4652F75E" w14:textId="61F51CAC"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0.5%</w:t>
            </w:r>
          </w:p>
        </w:tc>
        <w:tc>
          <w:tcPr>
            <w:tcW w:w="1528" w:type="dxa"/>
            <w:gridSpan w:val="2"/>
            <w:tcBorders>
              <w:top w:val="single" w:sz="4" w:space="0" w:color="000000"/>
              <w:left w:val="nil"/>
              <w:bottom w:val="single" w:sz="4" w:space="0" w:color="000000"/>
              <w:right w:val="nil"/>
            </w:tcBorders>
            <w:shd w:val="clear" w:color="auto" w:fill="auto"/>
          </w:tcPr>
          <w:p w14:paraId="77E8BA92" w14:textId="1359D22C" w:rsidR="00CD0A1B" w:rsidRPr="00E82324" w:rsidRDefault="003A3832" w:rsidP="00CD0A1B">
            <w:pPr>
              <w:spacing w:after="0" w:line="240" w:lineRule="auto"/>
              <w:jc w:val="center"/>
              <w:rPr>
                <w:rFonts w:asciiTheme="minorHAnsi" w:hAnsiTheme="minorHAnsi" w:cs="Arial"/>
                <w:sz w:val="16"/>
                <w:szCs w:val="16"/>
              </w:rPr>
            </w:pPr>
            <w:r w:rsidRPr="00A14AAB">
              <w:t>$585</w:t>
            </w:r>
          </w:p>
        </w:tc>
        <w:tc>
          <w:tcPr>
            <w:tcW w:w="1528" w:type="dxa"/>
            <w:tcBorders>
              <w:top w:val="single" w:sz="4" w:space="0" w:color="000000"/>
              <w:left w:val="nil"/>
              <w:bottom w:val="single" w:sz="4" w:space="0" w:color="000000"/>
              <w:right w:val="nil"/>
            </w:tcBorders>
            <w:shd w:val="clear" w:color="auto" w:fill="auto"/>
          </w:tcPr>
          <w:p w14:paraId="364A62AF" w14:textId="77E093BC" w:rsidR="00CD0A1B" w:rsidRPr="00E82324" w:rsidRDefault="003A3832" w:rsidP="00CD0A1B">
            <w:pPr>
              <w:spacing w:after="0" w:line="240" w:lineRule="auto"/>
              <w:jc w:val="center"/>
              <w:rPr>
                <w:rFonts w:asciiTheme="minorHAnsi" w:hAnsiTheme="minorHAnsi" w:cs="Arial"/>
                <w:sz w:val="16"/>
                <w:szCs w:val="16"/>
              </w:rPr>
            </w:pPr>
            <w:r w:rsidRPr="00A14AAB">
              <w:t>2.2%</w:t>
            </w:r>
          </w:p>
        </w:tc>
      </w:tr>
      <w:tr w:rsidR="00CD0A1B" w:rsidRPr="00A05EB8" w14:paraId="0E81AE98" w14:textId="77777777" w:rsidTr="00416131">
        <w:trPr>
          <w:trHeight w:val="210"/>
        </w:trPr>
        <w:tc>
          <w:tcPr>
            <w:tcW w:w="1528" w:type="dxa"/>
            <w:gridSpan w:val="2"/>
            <w:noWrap/>
            <w:hideMark/>
          </w:tcPr>
          <w:p w14:paraId="6BDC2475"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MedicalSci</w:t>
            </w:r>
          </w:p>
        </w:tc>
        <w:tc>
          <w:tcPr>
            <w:tcW w:w="1528" w:type="dxa"/>
            <w:gridSpan w:val="2"/>
            <w:tcBorders>
              <w:top w:val="nil"/>
              <w:left w:val="nil"/>
              <w:bottom w:val="single" w:sz="4" w:space="0" w:color="000000"/>
              <w:right w:val="nil"/>
            </w:tcBorders>
            <w:shd w:val="clear" w:color="auto" w:fill="auto"/>
            <w:noWrap/>
          </w:tcPr>
          <w:p w14:paraId="776F82C7" w14:textId="7D908483"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0BF90A40" w14:textId="2C38811D"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6C0AF9C3" w14:textId="0EBE023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gridSpan w:val="2"/>
            <w:tcBorders>
              <w:top w:val="nil"/>
              <w:left w:val="nil"/>
              <w:bottom w:val="single" w:sz="4" w:space="0" w:color="000000"/>
              <w:right w:val="nil"/>
            </w:tcBorders>
            <w:shd w:val="clear" w:color="auto" w:fill="auto"/>
          </w:tcPr>
          <w:p w14:paraId="7C1C96BC" w14:textId="2A66BE4F" w:rsidR="00CD0A1B" w:rsidRPr="00E82324" w:rsidRDefault="003A3832" w:rsidP="00CD0A1B">
            <w:pPr>
              <w:spacing w:after="0" w:line="240" w:lineRule="auto"/>
              <w:jc w:val="center"/>
              <w:rPr>
                <w:rFonts w:asciiTheme="minorHAnsi" w:hAnsiTheme="minorHAnsi" w:cs="Arial"/>
                <w:sz w:val="16"/>
                <w:szCs w:val="16"/>
              </w:rPr>
            </w:pPr>
            <w:r w:rsidRPr="00A14AAB">
              <w:t>-</w:t>
            </w:r>
          </w:p>
        </w:tc>
        <w:tc>
          <w:tcPr>
            <w:tcW w:w="1528" w:type="dxa"/>
            <w:tcBorders>
              <w:top w:val="nil"/>
              <w:left w:val="nil"/>
              <w:bottom w:val="single" w:sz="4" w:space="0" w:color="000000"/>
              <w:right w:val="nil"/>
            </w:tcBorders>
            <w:shd w:val="clear" w:color="auto" w:fill="auto"/>
          </w:tcPr>
          <w:p w14:paraId="6FCFB5E3" w14:textId="429FB27E" w:rsidR="00CD0A1B" w:rsidRPr="00E82324" w:rsidRDefault="003A3832" w:rsidP="00CD0A1B">
            <w:pPr>
              <w:spacing w:after="0" w:line="240" w:lineRule="auto"/>
              <w:jc w:val="center"/>
              <w:rPr>
                <w:rFonts w:asciiTheme="minorHAnsi" w:hAnsiTheme="minorHAnsi" w:cs="Arial"/>
                <w:sz w:val="16"/>
                <w:szCs w:val="16"/>
              </w:rPr>
            </w:pPr>
            <w:r w:rsidRPr="00A14AAB">
              <w:t>-</w:t>
            </w:r>
          </w:p>
        </w:tc>
      </w:tr>
      <w:tr w:rsidR="00CD0A1B" w:rsidRPr="00A05EB8" w14:paraId="7B4DDD45" w14:textId="77777777" w:rsidTr="00416131">
        <w:trPr>
          <w:trHeight w:val="210"/>
        </w:trPr>
        <w:tc>
          <w:tcPr>
            <w:tcW w:w="1528" w:type="dxa"/>
            <w:gridSpan w:val="2"/>
            <w:noWrap/>
            <w:hideMark/>
          </w:tcPr>
          <w:p w14:paraId="2013AAB4"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OthNat-PhysSci</w:t>
            </w:r>
          </w:p>
        </w:tc>
        <w:tc>
          <w:tcPr>
            <w:tcW w:w="1528" w:type="dxa"/>
            <w:gridSpan w:val="2"/>
            <w:tcBorders>
              <w:top w:val="nil"/>
              <w:left w:val="nil"/>
              <w:bottom w:val="single" w:sz="4" w:space="0" w:color="000000"/>
              <w:right w:val="nil"/>
            </w:tcBorders>
            <w:shd w:val="clear" w:color="auto" w:fill="auto"/>
            <w:noWrap/>
          </w:tcPr>
          <w:p w14:paraId="2D8878AF" w14:textId="038F64CB"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$2,337,045</w:t>
            </w:r>
          </w:p>
        </w:tc>
        <w:tc>
          <w:tcPr>
            <w:tcW w:w="1528" w:type="dxa"/>
            <w:tcBorders>
              <w:top w:val="nil"/>
              <w:left w:val="nil"/>
              <w:bottom w:val="single" w:sz="4" w:space="0" w:color="000000"/>
              <w:right w:val="nil"/>
            </w:tcBorders>
            <w:shd w:val="clear" w:color="auto" w:fill="auto"/>
            <w:noWrap/>
          </w:tcPr>
          <w:p w14:paraId="678A9B60" w14:textId="2F1A6B22"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$32</w:t>
            </w:r>
          </w:p>
        </w:tc>
        <w:tc>
          <w:tcPr>
            <w:tcW w:w="1528" w:type="dxa"/>
            <w:tcBorders>
              <w:top w:val="nil"/>
              <w:left w:val="nil"/>
              <w:bottom w:val="single" w:sz="4" w:space="0" w:color="000000"/>
              <w:right w:val="nil"/>
            </w:tcBorders>
            <w:shd w:val="clear" w:color="auto" w:fill="auto"/>
            <w:noWrap/>
          </w:tcPr>
          <w:p w14:paraId="4B77AEDB" w14:textId="238CB15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0.1%</w:t>
            </w:r>
          </w:p>
        </w:tc>
        <w:tc>
          <w:tcPr>
            <w:tcW w:w="1528" w:type="dxa"/>
            <w:gridSpan w:val="2"/>
            <w:tcBorders>
              <w:top w:val="nil"/>
              <w:left w:val="nil"/>
              <w:bottom w:val="single" w:sz="4" w:space="0" w:color="000000"/>
              <w:right w:val="nil"/>
            </w:tcBorders>
            <w:shd w:val="clear" w:color="auto" w:fill="auto"/>
          </w:tcPr>
          <w:p w14:paraId="497BE080" w14:textId="677C6D6F" w:rsidR="00CD0A1B" w:rsidRPr="00E82324" w:rsidRDefault="003A3832" w:rsidP="00CD0A1B">
            <w:pPr>
              <w:spacing w:after="0" w:line="240" w:lineRule="auto"/>
              <w:jc w:val="center"/>
              <w:rPr>
                <w:rFonts w:asciiTheme="minorHAnsi" w:hAnsiTheme="minorHAnsi" w:cs="Arial"/>
                <w:sz w:val="16"/>
                <w:szCs w:val="16"/>
              </w:rPr>
            </w:pPr>
            <w:r w:rsidRPr="00A14AAB">
              <w:t>$454</w:t>
            </w:r>
          </w:p>
        </w:tc>
        <w:tc>
          <w:tcPr>
            <w:tcW w:w="1528" w:type="dxa"/>
            <w:tcBorders>
              <w:top w:val="nil"/>
              <w:left w:val="nil"/>
              <w:bottom w:val="single" w:sz="4" w:space="0" w:color="000000"/>
              <w:right w:val="nil"/>
            </w:tcBorders>
            <w:shd w:val="clear" w:color="auto" w:fill="auto"/>
          </w:tcPr>
          <w:p w14:paraId="30605948" w14:textId="2B7F2DD1" w:rsidR="00CD0A1B" w:rsidRPr="00E82324" w:rsidRDefault="003A3832" w:rsidP="00CD0A1B">
            <w:pPr>
              <w:spacing w:after="0" w:line="240" w:lineRule="auto"/>
              <w:jc w:val="center"/>
              <w:rPr>
                <w:rFonts w:asciiTheme="minorHAnsi" w:hAnsiTheme="minorHAnsi" w:cs="Arial"/>
                <w:sz w:val="16"/>
                <w:szCs w:val="16"/>
              </w:rPr>
            </w:pPr>
            <w:r w:rsidRPr="00A14AAB">
              <w:t>1.6%</w:t>
            </w:r>
          </w:p>
        </w:tc>
      </w:tr>
      <w:tr w:rsidR="00CD0A1B" w:rsidRPr="00A05EB8" w14:paraId="67A53524" w14:textId="77777777" w:rsidTr="00416131">
        <w:trPr>
          <w:trHeight w:val="210"/>
        </w:trPr>
        <w:tc>
          <w:tcPr>
            <w:tcW w:w="1528" w:type="dxa"/>
            <w:gridSpan w:val="2"/>
            <w:noWrap/>
            <w:hideMark/>
          </w:tcPr>
          <w:p w14:paraId="752E9028"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InfoTech</w:t>
            </w:r>
          </w:p>
        </w:tc>
        <w:tc>
          <w:tcPr>
            <w:tcW w:w="1528" w:type="dxa"/>
            <w:gridSpan w:val="2"/>
            <w:tcBorders>
              <w:top w:val="nil"/>
              <w:left w:val="nil"/>
              <w:bottom w:val="single" w:sz="4" w:space="0" w:color="000000"/>
              <w:right w:val="nil"/>
            </w:tcBorders>
            <w:shd w:val="clear" w:color="auto" w:fill="auto"/>
            <w:noWrap/>
          </w:tcPr>
          <w:p w14:paraId="165D448C" w14:textId="490D7362"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$22,544,234</w:t>
            </w:r>
          </w:p>
        </w:tc>
        <w:tc>
          <w:tcPr>
            <w:tcW w:w="1528" w:type="dxa"/>
            <w:tcBorders>
              <w:top w:val="nil"/>
              <w:left w:val="nil"/>
              <w:bottom w:val="single" w:sz="4" w:space="0" w:color="000000"/>
              <w:right w:val="nil"/>
            </w:tcBorders>
            <w:shd w:val="clear" w:color="auto" w:fill="auto"/>
            <w:noWrap/>
          </w:tcPr>
          <w:p w14:paraId="131B65A3" w14:textId="241042E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$332</w:t>
            </w:r>
          </w:p>
        </w:tc>
        <w:tc>
          <w:tcPr>
            <w:tcW w:w="1528" w:type="dxa"/>
            <w:tcBorders>
              <w:top w:val="nil"/>
              <w:left w:val="nil"/>
              <w:bottom w:val="single" w:sz="4" w:space="0" w:color="000000"/>
              <w:right w:val="nil"/>
            </w:tcBorders>
            <w:shd w:val="clear" w:color="auto" w:fill="auto"/>
            <w:noWrap/>
          </w:tcPr>
          <w:p w14:paraId="1D16C93A" w14:textId="1EE28822"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1.8%</w:t>
            </w:r>
          </w:p>
        </w:tc>
        <w:tc>
          <w:tcPr>
            <w:tcW w:w="1528" w:type="dxa"/>
            <w:gridSpan w:val="2"/>
            <w:tcBorders>
              <w:top w:val="nil"/>
              <w:left w:val="nil"/>
              <w:bottom w:val="single" w:sz="4" w:space="0" w:color="000000"/>
              <w:right w:val="nil"/>
            </w:tcBorders>
            <w:shd w:val="clear" w:color="auto" w:fill="auto"/>
          </w:tcPr>
          <w:p w14:paraId="0E327397" w14:textId="738D4462" w:rsidR="00CD0A1B" w:rsidRPr="00E82324" w:rsidRDefault="003A3832" w:rsidP="00CD0A1B">
            <w:pPr>
              <w:spacing w:after="0" w:line="240" w:lineRule="auto"/>
              <w:jc w:val="center"/>
              <w:rPr>
                <w:rFonts w:asciiTheme="minorHAnsi" w:hAnsiTheme="minorHAnsi" w:cs="Arial"/>
                <w:sz w:val="16"/>
                <w:szCs w:val="16"/>
              </w:rPr>
            </w:pPr>
            <w:r w:rsidRPr="00A14AAB">
              <w:t>$3,396</w:t>
            </w:r>
          </w:p>
        </w:tc>
        <w:tc>
          <w:tcPr>
            <w:tcW w:w="1528" w:type="dxa"/>
            <w:tcBorders>
              <w:top w:val="nil"/>
              <w:left w:val="nil"/>
              <w:bottom w:val="single" w:sz="4" w:space="0" w:color="000000"/>
              <w:right w:val="nil"/>
            </w:tcBorders>
            <w:shd w:val="clear" w:color="auto" w:fill="auto"/>
          </w:tcPr>
          <w:p w14:paraId="40892034" w14:textId="0D85611C" w:rsidR="00CD0A1B" w:rsidRPr="00E82324" w:rsidRDefault="003A3832" w:rsidP="00CD0A1B">
            <w:pPr>
              <w:spacing w:after="0" w:line="240" w:lineRule="auto"/>
              <w:jc w:val="center"/>
              <w:rPr>
                <w:rFonts w:asciiTheme="minorHAnsi" w:hAnsiTheme="minorHAnsi" w:cs="Arial"/>
                <w:sz w:val="16"/>
                <w:szCs w:val="16"/>
              </w:rPr>
            </w:pPr>
            <w:r w:rsidRPr="00A14AAB">
              <w:t>21.0%</w:t>
            </w:r>
          </w:p>
        </w:tc>
      </w:tr>
      <w:tr w:rsidR="00CD0A1B" w:rsidRPr="00A05EB8" w14:paraId="2E7805BE" w14:textId="77777777" w:rsidTr="00416131">
        <w:trPr>
          <w:trHeight w:val="210"/>
        </w:trPr>
        <w:tc>
          <w:tcPr>
            <w:tcW w:w="1528" w:type="dxa"/>
            <w:gridSpan w:val="2"/>
            <w:noWrap/>
            <w:hideMark/>
          </w:tcPr>
          <w:p w14:paraId="47F4A681"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Eng&amp;Related</w:t>
            </w:r>
          </w:p>
        </w:tc>
        <w:tc>
          <w:tcPr>
            <w:tcW w:w="1528" w:type="dxa"/>
            <w:gridSpan w:val="2"/>
            <w:tcBorders>
              <w:top w:val="nil"/>
              <w:left w:val="nil"/>
              <w:bottom w:val="single" w:sz="4" w:space="0" w:color="000000"/>
              <w:right w:val="nil"/>
            </w:tcBorders>
            <w:shd w:val="clear" w:color="auto" w:fill="auto"/>
            <w:noWrap/>
          </w:tcPr>
          <w:p w14:paraId="0FA48972" w14:textId="50EB2C3D"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$4,404,063</w:t>
            </w:r>
          </w:p>
        </w:tc>
        <w:tc>
          <w:tcPr>
            <w:tcW w:w="1528" w:type="dxa"/>
            <w:tcBorders>
              <w:top w:val="nil"/>
              <w:left w:val="nil"/>
              <w:bottom w:val="single" w:sz="4" w:space="0" w:color="000000"/>
              <w:right w:val="nil"/>
            </w:tcBorders>
            <w:shd w:val="clear" w:color="auto" w:fill="auto"/>
            <w:noWrap/>
          </w:tcPr>
          <w:p w14:paraId="36398114" w14:textId="690CFB6C"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$66</w:t>
            </w:r>
          </w:p>
        </w:tc>
        <w:tc>
          <w:tcPr>
            <w:tcW w:w="1528" w:type="dxa"/>
            <w:tcBorders>
              <w:top w:val="nil"/>
              <w:left w:val="nil"/>
              <w:bottom w:val="single" w:sz="4" w:space="0" w:color="000000"/>
              <w:right w:val="nil"/>
            </w:tcBorders>
            <w:shd w:val="clear" w:color="auto" w:fill="auto"/>
            <w:noWrap/>
          </w:tcPr>
          <w:p w14:paraId="5719AB9D" w14:textId="32164137"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0.3%</w:t>
            </w:r>
          </w:p>
        </w:tc>
        <w:tc>
          <w:tcPr>
            <w:tcW w:w="1528" w:type="dxa"/>
            <w:gridSpan w:val="2"/>
            <w:tcBorders>
              <w:top w:val="nil"/>
              <w:left w:val="nil"/>
              <w:bottom w:val="single" w:sz="4" w:space="0" w:color="000000"/>
              <w:right w:val="nil"/>
            </w:tcBorders>
            <w:shd w:val="clear" w:color="auto" w:fill="auto"/>
          </w:tcPr>
          <w:p w14:paraId="0ED98D97" w14:textId="1AD0B2CD" w:rsidR="00CD0A1B" w:rsidRPr="00E82324" w:rsidRDefault="003A3832" w:rsidP="00CD0A1B">
            <w:pPr>
              <w:spacing w:after="0" w:line="240" w:lineRule="auto"/>
              <w:jc w:val="center"/>
              <w:rPr>
                <w:rFonts w:asciiTheme="minorHAnsi" w:hAnsiTheme="minorHAnsi" w:cs="Arial"/>
                <w:sz w:val="16"/>
                <w:szCs w:val="16"/>
              </w:rPr>
            </w:pPr>
            <w:r w:rsidRPr="00A14AAB">
              <w:t>$293</w:t>
            </w:r>
          </w:p>
        </w:tc>
        <w:tc>
          <w:tcPr>
            <w:tcW w:w="1528" w:type="dxa"/>
            <w:tcBorders>
              <w:top w:val="nil"/>
              <w:left w:val="nil"/>
              <w:bottom w:val="single" w:sz="4" w:space="0" w:color="000000"/>
              <w:right w:val="nil"/>
            </w:tcBorders>
            <w:shd w:val="clear" w:color="auto" w:fill="auto"/>
          </w:tcPr>
          <w:p w14:paraId="4B198E61" w14:textId="53681174" w:rsidR="00CD0A1B" w:rsidRPr="00E82324" w:rsidRDefault="003A3832" w:rsidP="00CD0A1B">
            <w:pPr>
              <w:spacing w:after="0" w:line="240" w:lineRule="auto"/>
              <w:jc w:val="center"/>
              <w:rPr>
                <w:rFonts w:asciiTheme="minorHAnsi" w:hAnsiTheme="minorHAnsi" w:cs="Arial"/>
                <w:sz w:val="16"/>
                <w:szCs w:val="16"/>
              </w:rPr>
            </w:pPr>
            <w:r w:rsidRPr="00A14AAB">
              <w:t>0.9%</w:t>
            </w:r>
          </w:p>
        </w:tc>
      </w:tr>
      <w:tr w:rsidR="00CD0A1B" w:rsidRPr="00A05EB8" w14:paraId="7E4A4040" w14:textId="77777777" w:rsidTr="00416131">
        <w:trPr>
          <w:trHeight w:val="210"/>
        </w:trPr>
        <w:tc>
          <w:tcPr>
            <w:tcW w:w="1528" w:type="dxa"/>
            <w:gridSpan w:val="2"/>
            <w:noWrap/>
            <w:hideMark/>
          </w:tcPr>
          <w:p w14:paraId="4D811015"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Archi&amp;Build</w:t>
            </w:r>
          </w:p>
        </w:tc>
        <w:tc>
          <w:tcPr>
            <w:tcW w:w="1528" w:type="dxa"/>
            <w:gridSpan w:val="2"/>
            <w:tcBorders>
              <w:top w:val="nil"/>
              <w:left w:val="nil"/>
              <w:bottom w:val="single" w:sz="4" w:space="0" w:color="000000"/>
              <w:right w:val="nil"/>
            </w:tcBorders>
            <w:shd w:val="clear" w:color="auto" w:fill="auto"/>
            <w:noWrap/>
          </w:tcPr>
          <w:p w14:paraId="6B52C919" w14:textId="5A7264B5"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$891,357</w:t>
            </w:r>
          </w:p>
        </w:tc>
        <w:tc>
          <w:tcPr>
            <w:tcW w:w="1528" w:type="dxa"/>
            <w:tcBorders>
              <w:top w:val="nil"/>
              <w:left w:val="nil"/>
              <w:bottom w:val="single" w:sz="4" w:space="0" w:color="000000"/>
              <w:right w:val="nil"/>
            </w:tcBorders>
            <w:shd w:val="clear" w:color="auto" w:fill="auto"/>
            <w:noWrap/>
          </w:tcPr>
          <w:p w14:paraId="61F9AB42" w14:textId="718E5E3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$38</w:t>
            </w:r>
          </w:p>
        </w:tc>
        <w:tc>
          <w:tcPr>
            <w:tcW w:w="1528" w:type="dxa"/>
            <w:tcBorders>
              <w:top w:val="nil"/>
              <w:left w:val="nil"/>
              <w:bottom w:val="single" w:sz="4" w:space="0" w:color="000000"/>
              <w:right w:val="nil"/>
            </w:tcBorders>
            <w:shd w:val="clear" w:color="auto" w:fill="auto"/>
            <w:noWrap/>
          </w:tcPr>
          <w:p w14:paraId="422BE176" w14:textId="7DC1B52D"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0.2%</w:t>
            </w:r>
          </w:p>
        </w:tc>
        <w:tc>
          <w:tcPr>
            <w:tcW w:w="1528" w:type="dxa"/>
            <w:gridSpan w:val="2"/>
            <w:tcBorders>
              <w:top w:val="nil"/>
              <w:left w:val="nil"/>
              <w:bottom w:val="single" w:sz="4" w:space="0" w:color="000000"/>
              <w:right w:val="nil"/>
            </w:tcBorders>
            <w:shd w:val="clear" w:color="auto" w:fill="auto"/>
          </w:tcPr>
          <w:p w14:paraId="28754795" w14:textId="0B5084F3" w:rsidR="00CD0A1B" w:rsidRPr="00E82324" w:rsidRDefault="003A3832" w:rsidP="00CD0A1B">
            <w:pPr>
              <w:spacing w:after="0" w:line="240" w:lineRule="auto"/>
              <w:jc w:val="center"/>
              <w:rPr>
                <w:rFonts w:asciiTheme="minorHAnsi" w:hAnsiTheme="minorHAnsi" w:cs="Arial"/>
                <w:sz w:val="16"/>
                <w:szCs w:val="16"/>
              </w:rPr>
            </w:pPr>
            <w:r w:rsidRPr="00A14AAB">
              <w:t>$643</w:t>
            </w:r>
          </w:p>
        </w:tc>
        <w:tc>
          <w:tcPr>
            <w:tcW w:w="1528" w:type="dxa"/>
            <w:tcBorders>
              <w:top w:val="nil"/>
              <w:left w:val="nil"/>
              <w:bottom w:val="single" w:sz="4" w:space="0" w:color="000000"/>
              <w:right w:val="nil"/>
            </w:tcBorders>
            <w:shd w:val="clear" w:color="auto" w:fill="auto"/>
          </w:tcPr>
          <w:p w14:paraId="3647DF32" w14:textId="2B090CA9" w:rsidR="00CD0A1B" w:rsidRPr="00E82324" w:rsidRDefault="003A3832" w:rsidP="00CD0A1B">
            <w:pPr>
              <w:spacing w:after="0" w:line="240" w:lineRule="auto"/>
              <w:jc w:val="center"/>
              <w:rPr>
                <w:rFonts w:asciiTheme="minorHAnsi" w:hAnsiTheme="minorHAnsi" w:cs="Arial"/>
                <w:sz w:val="16"/>
                <w:szCs w:val="16"/>
              </w:rPr>
            </w:pPr>
            <w:r w:rsidRPr="00A14AAB">
              <w:t>3.7%</w:t>
            </w:r>
          </w:p>
        </w:tc>
      </w:tr>
      <w:tr w:rsidR="00CD0A1B" w:rsidRPr="00A05EB8" w14:paraId="61AC640C" w14:textId="77777777" w:rsidTr="00416131">
        <w:trPr>
          <w:trHeight w:val="210"/>
        </w:trPr>
        <w:tc>
          <w:tcPr>
            <w:tcW w:w="1528" w:type="dxa"/>
            <w:gridSpan w:val="2"/>
            <w:noWrap/>
            <w:hideMark/>
          </w:tcPr>
          <w:p w14:paraId="018FD535"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Environment</w:t>
            </w:r>
          </w:p>
        </w:tc>
        <w:tc>
          <w:tcPr>
            <w:tcW w:w="1528" w:type="dxa"/>
            <w:gridSpan w:val="2"/>
            <w:tcBorders>
              <w:top w:val="nil"/>
              <w:left w:val="nil"/>
              <w:bottom w:val="single" w:sz="4" w:space="0" w:color="000000"/>
              <w:right w:val="nil"/>
            </w:tcBorders>
            <w:shd w:val="clear" w:color="auto" w:fill="auto"/>
            <w:noWrap/>
          </w:tcPr>
          <w:p w14:paraId="05F312C5" w14:textId="15377395"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5923D21A" w14:textId="0B59D9D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4E40202B" w14:textId="11070E96"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gridSpan w:val="2"/>
            <w:tcBorders>
              <w:top w:val="nil"/>
              <w:left w:val="nil"/>
              <w:bottom w:val="single" w:sz="4" w:space="0" w:color="000000"/>
              <w:right w:val="nil"/>
            </w:tcBorders>
            <w:shd w:val="clear" w:color="auto" w:fill="auto"/>
          </w:tcPr>
          <w:p w14:paraId="0D1F01B8" w14:textId="56C73F2C" w:rsidR="00CD0A1B" w:rsidRPr="00E82324" w:rsidRDefault="003A3832" w:rsidP="00CD0A1B">
            <w:pPr>
              <w:spacing w:after="0" w:line="240" w:lineRule="auto"/>
              <w:jc w:val="center"/>
              <w:rPr>
                <w:rFonts w:asciiTheme="minorHAnsi" w:hAnsiTheme="minorHAnsi" w:cs="Arial"/>
                <w:sz w:val="16"/>
                <w:szCs w:val="16"/>
              </w:rPr>
            </w:pPr>
            <w:r w:rsidRPr="00A14AAB">
              <w:t>-</w:t>
            </w:r>
          </w:p>
        </w:tc>
        <w:tc>
          <w:tcPr>
            <w:tcW w:w="1528" w:type="dxa"/>
            <w:tcBorders>
              <w:top w:val="nil"/>
              <w:left w:val="nil"/>
              <w:bottom w:val="single" w:sz="4" w:space="0" w:color="000000"/>
              <w:right w:val="nil"/>
            </w:tcBorders>
            <w:shd w:val="clear" w:color="auto" w:fill="auto"/>
          </w:tcPr>
          <w:p w14:paraId="79919920" w14:textId="34CF5B0B" w:rsidR="00CD0A1B" w:rsidRPr="00E82324" w:rsidRDefault="003A3832" w:rsidP="00CD0A1B">
            <w:pPr>
              <w:spacing w:after="0" w:line="240" w:lineRule="auto"/>
              <w:jc w:val="center"/>
              <w:rPr>
                <w:rFonts w:asciiTheme="minorHAnsi" w:hAnsiTheme="minorHAnsi" w:cs="Arial"/>
                <w:sz w:val="16"/>
                <w:szCs w:val="16"/>
              </w:rPr>
            </w:pPr>
            <w:r w:rsidRPr="00A14AAB">
              <w:t>-</w:t>
            </w:r>
          </w:p>
        </w:tc>
      </w:tr>
      <w:tr w:rsidR="00CD0A1B" w:rsidRPr="00A05EB8" w14:paraId="7EC116CC" w14:textId="77777777" w:rsidTr="00416131">
        <w:trPr>
          <w:trHeight w:val="210"/>
        </w:trPr>
        <w:tc>
          <w:tcPr>
            <w:tcW w:w="1528" w:type="dxa"/>
            <w:gridSpan w:val="2"/>
            <w:noWrap/>
            <w:hideMark/>
          </w:tcPr>
          <w:p w14:paraId="2D871147"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OthAg&amp;Enviro</w:t>
            </w:r>
          </w:p>
        </w:tc>
        <w:tc>
          <w:tcPr>
            <w:tcW w:w="1528" w:type="dxa"/>
            <w:gridSpan w:val="2"/>
            <w:tcBorders>
              <w:top w:val="nil"/>
              <w:left w:val="nil"/>
              <w:bottom w:val="single" w:sz="4" w:space="0" w:color="000000"/>
              <w:right w:val="nil"/>
            </w:tcBorders>
            <w:shd w:val="clear" w:color="auto" w:fill="auto"/>
            <w:noWrap/>
          </w:tcPr>
          <w:p w14:paraId="31AEA05E" w14:textId="11E48998"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134B0C3E" w14:textId="077F4278"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4121750C" w14:textId="3825BC8D"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gridSpan w:val="2"/>
            <w:tcBorders>
              <w:top w:val="nil"/>
              <w:left w:val="nil"/>
              <w:bottom w:val="single" w:sz="4" w:space="0" w:color="000000"/>
              <w:right w:val="nil"/>
            </w:tcBorders>
            <w:shd w:val="clear" w:color="auto" w:fill="auto"/>
          </w:tcPr>
          <w:p w14:paraId="3B9434FC" w14:textId="1ABF4797" w:rsidR="00CD0A1B" w:rsidRPr="00E82324" w:rsidRDefault="003A3832" w:rsidP="00CD0A1B">
            <w:pPr>
              <w:spacing w:after="0" w:line="240" w:lineRule="auto"/>
              <w:jc w:val="center"/>
              <w:rPr>
                <w:rFonts w:asciiTheme="minorHAnsi" w:hAnsiTheme="minorHAnsi" w:cs="Arial"/>
                <w:sz w:val="16"/>
                <w:szCs w:val="16"/>
              </w:rPr>
            </w:pPr>
            <w:r w:rsidRPr="00A14AAB">
              <w:t>-</w:t>
            </w:r>
          </w:p>
        </w:tc>
        <w:tc>
          <w:tcPr>
            <w:tcW w:w="1528" w:type="dxa"/>
            <w:tcBorders>
              <w:top w:val="nil"/>
              <w:left w:val="nil"/>
              <w:bottom w:val="single" w:sz="4" w:space="0" w:color="000000"/>
              <w:right w:val="nil"/>
            </w:tcBorders>
            <w:shd w:val="clear" w:color="auto" w:fill="auto"/>
          </w:tcPr>
          <w:p w14:paraId="3FC18967" w14:textId="372A2194" w:rsidR="00CD0A1B" w:rsidRPr="00E82324" w:rsidRDefault="003A3832" w:rsidP="00CD0A1B">
            <w:pPr>
              <w:spacing w:after="0" w:line="240" w:lineRule="auto"/>
              <w:jc w:val="center"/>
              <w:rPr>
                <w:rFonts w:asciiTheme="minorHAnsi" w:hAnsiTheme="minorHAnsi" w:cs="Arial"/>
                <w:sz w:val="16"/>
                <w:szCs w:val="16"/>
              </w:rPr>
            </w:pPr>
            <w:r w:rsidRPr="00A14AAB">
              <w:t>-</w:t>
            </w:r>
          </w:p>
        </w:tc>
      </w:tr>
      <w:tr w:rsidR="00CD0A1B" w:rsidRPr="00A05EB8" w14:paraId="6806C259" w14:textId="77777777" w:rsidTr="00416131">
        <w:trPr>
          <w:trHeight w:val="210"/>
        </w:trPr>
        <w:tc>
          <w:tcPr>
            <w:tcW w:w="1528" w:type="dxa"/>
            <w:gridSpan w:val="2"/>
            <w:noWrap/>
            <w:hideMark/>
          </w:tcPr>
          <w:p w14:paraId="50947CE8"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MedicalStudies</w:t>
            </w:r>
          </w:p>
        </w:tc>
        <w:tc>
          <w:tcPr>
            <w:tcW w:w="1528" w:type="dxa"/>
            <w:gridSpan w:val="2"/>
            <w:tcBorders>
              <w:top w:val="nil"/>
              <w:left w:val="nil"/>
              <w:bottom w:val="single" w:sz="4" w:space="0" w:color="000000"/>
              <w:right w:val="nil"/>
            </w:tcBorders>
            <w:shd w:val="clear" w:color="auto" w:fill="auto"/>
            <w:noWrap/>
          </w:tcPr>
          <w:p w14:paraId="6B88A03A" w14:textId="66570DAB"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$7,251</w:t>
            </w:r>
          </w:p>
        </w:tc>
        <w:tc>
          <w:tcPr>
            <w:tcW w:w="1528" w:type="dxa"/>
            <w:tcBorders>
              <w:top w:val="nil"/>
              <w:left w:val="nil"/>
              <w:bottom w:val="single" w:sz="4" w:space="0" w:color="000000"/>
              <w:right w:val="nil"/>
            </w:tcBorders>
            <w:shd w:val="clear" w:color="auto" w:fill="auto"/>
            <w:noWrap/>
          </w:tcPr>
          <w:p w14:paraId="7377CA00" w14:textId="34B45055"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w:t>
            </w:r>
          </w:p>
        </w:tc>
        <w:tc>
          <w:tcPr>
            <w:tcW w:w="1528" w:type="dxa"/>
            <w:tcBorders>
              <w:top w:val="nil"/>
              <w:left w:val="nil"/>
              <w:bottom w:val="single" w:sz="4" w:space="0" w:color="000000"/>
              <w:right w:val="nil"/>
            </w:tcBorders>
            <w:shd w:val="clear" w:color="auto" w:fill="auto"/>
            <w:noWrap/>
          </w:tcPr>
          <w:p w14:paraId="558D68CC" w14:textId="047AA65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0.0%</w:t>
            </w:r>
          </w:p>
        </w:tc>
        <w:tc>
          <w:tcPr>
            <w:tcW w:w="1528" w:type="dxa"/>
            <w:gridSpan w:val="2"/>
            <w:tcBorders>
              <w:top w:val="nil"/>
              <w:left w:val="nil"/>
              <w:bottom w:val="single" w:sz="4" w:space="0" w:color="000000"/>
              <w:right w:val="nil"/>
            </w:tcBorders>
            <w:shd w:val="clear" w:color="auto" w:fill="auto"/>
          </w:tcPr>
          <w:p w14:paraId="2CFA2B42" w14:textId="704C5329" w:rsidR="00CD0A1B" w:rsidRPr="00E82324" w:rsidRDefault="003A3832" w:rsidP="00CD0A1B">
            <w:pPr>
              <w:spacing w:after="0" w:line="240" w:lineRule="auto"/>
              <w:jc w:val="center"/>
              <w:rPr>
                <w:rFonts w:asciiTheme="minorHAnsi" w:hAnsiTheme="minorHAnsi" w:cs="Arial"/>
                <w:sz w:val="16"/>
                <w:szCs w:val="16"/>
              </w:rPr>
            </w:pPr>
            <w:r w:rsidRPr="00A14AAB">
              <w:t>$6</w:t>
            </w:r>
          </w:p>
        </w:tc>
        <w:tc>
          <w:tcPr>
            <w:tcW w:w="1528" w:type="dxa"/>
            <w:tcBorders>
              <w:top w:val="nil"/>
              <w:left w:val="nil"/>
              <w:bottom w:val="single" w:sz="4" w:space="0" w:color="000000"/>
              <w:right w:val="nil"/>
            </w:tcBorders>
            <w:shd w:val="clear" w:color="auto" w:fill="auto"/>
          </w:tcPr>
          <w:p w14:paraId="145A51F4" w14:textId="3B1F39E4" w:rsidR="00CD0A1B" w:rsidRPr="00E82324" w:rsidRDefault="003A3832" w:rsidP="00CD0A1B">
            <w:pPr>
              <w:spacing w:after="0" w:line="240" w:lineRule="auto"/>
              <w:jc w:val="center"/>
              <w:rPr>
                <w:rFonts w:asciiTheme="minorHAnsi" w:hAnsiTheme="minorHAnsi" w:cs="Arial"/>
                <w:sz w:val="16"/>
                <w:szCs w:val="16"/>
              </w:rPr>
            </w:pPr>
            <w:r w:rsidRPr="00A14AAB">
              <w:t>0.0%</w:t>
            </w:r>
          </w:p>
        </w:tc>
      </w:tr>
      <w:tr w:rsidR="00CD0A1B" w:rsidRPr="00A05EB8" w14:paraId="2E80BD13" w14:textId="77777777" w:rsidTr="00416131">
        <w:trPr>
          <w:trHeight w:val="210"/>
        </w:trPr>
        <w:tc>
          <w:tcPr>
            <w:tcW w:w="1528" w:type="dxa"/>
            <w:gridSpan w:val="2"/>
            <w:noWrap/>
            <w:hideMark/>
          </w:tcPr>
          <w:p w14:paraId="665ABFD3"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Nursing</w:t>
            </w:r>
          </w:p>
        </w:tc>
        <w:tc>
          <w:tcPr>
            <w:tcW w:w="1528" w:type="dxa"/>
            <w:gridSpan w:val="2"/>
            <w:tcBorders>
              <w:top w:val="nil"/>
              <w:left w:val="nil"/>
              <w:bottom w:val="single" w:sz="4" w:space="0" w:color="000000"/>
              <w:right w:val="nil"/>
            </w:tcBorders>
            <w:shd w:val="clear" w:color="auto" w:fill="auto"/>
            <w:noWrap/>
          </w:tcPr>
          <w:p w14:paraId="427DE648" w14:textId="37FCAC2E"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$430,161</w:t>
            </w:r>
          </w:p>
        </w:tc>
        <w:tc>
          <w:tcPr>
            <w:tcW w:w="1528" w:type="dxa"/>
            <w:tcBorders>
              <w:top w:val="nil"/>
              <w:left w:val="nil"/>
              <w:bottom w:val="single" w:sz="4" w:space="0" w:color="000000"/>
              <w:right w:val="nil"/>
            </w:tcBorders>
            <w:shd w:val="clear" w:color="auto" w:fill="auto"/>
            <w:noWrap/>
          </w:tcPr>
          <w:p w14:paraId="72F82FD2" w14:textId="73663E12"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w:t>
            </w:r>
          </w:p>
        </w:tc>
        <w:tc>
          <w:tcPr>
            <w:tcW w:w="1528" w:type="dxa"/>
            <w:tcBorders>
              <w:top w:val="nil"/>
              <w:left w:val="nil"/>
              <w:bottom w:val="single" w:sz="4" w:space="0" w:color="000000"/>
              <w:right w:val="nil"/>
            </w:tcBorders>
            <w:shd w:val="clear" w:color="auto" w:fill="auto"/>
            <w:noWrap/>
          </w:tcPr>
          <w:p w14:paraId="364F790F" w14:textId="34681ED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0.0%</w:t>
            </w:r>
          </w:p>
        </w:tc>
        <w:tc>
          <w:tcPr>
            <w:tcW w:w="1528" w:type="dxa"/>
            <w:gridSpan w:val="2"/>
            <w:tcBorders>
              <w:top w:val="nil"/>
              <w:left w:val="nil"/>
              <w:bottom w:val="single" w:sz="4" w:space="0" w:color="000000"/>
              <w:right w:val="nil"/>
            </w:tcBorders>
            <w:shd w:val="clear" w:color="auto" w:fill="auto"/>
          </w:tcPr>
          <w:p w14:paraId="21E41256" w14:textId="19730F85" w:rsidR="00CD0A1B" w:rsidRPr="00E82324" w:rsidRDefault="003A3832" w:rsidP="00CD0A1B">
            <w:pPr>
              <w:spacing w:after="0" w:line="240" w:lineRule="auto"/>
              <w:jc w:val="center"/>
              <w:rPr>
                <w:rFonts w:asciiTheme="minorHAnsi" w:hAnsiTheme="minorHAnsi" w:cs="Arial"/>
                <w:sz w:val="16"/>
                <w:szCs w:val="16"/>
              </w:rPr>
            </w:pPr>
            <w:r w:rsidRPr="00A14AAB">
              <w:t>$194</w:t>
            </w:r>
          </w:p>
        </w:tc>
        <w:tc>
          <w:tcPr>
            <w:tcW w:w="1528" w:type="dxa"/>
            <w:tcBorders>
              <w:top w:val="nil"/>
              <w:left w:val="nil"/>
              <w:bottom w:val="single" w:sz="4" w:space="0" w:color="000000"/>
              <w:right w:val="nil"/>
            </w:tcBorders>
            <w:shd w:val="clear" w:color="auto" w:fill="auto"/>
          </w:tcPr>
          <w:p w14:paraId="45A03792" w14:textId="6E2721C1" w:rsidR="00CD0A1B" w:rsidRPr="00E82324" w:rsidRDefault="003A3832" w:rsidP="00CD0A1B">
            <w:pPr>
              <w:spacing w:after="0" w:line="240" w:lineRule="auto"/>
              <w:jc w:val="center"/>
              <w:rPr>
                <w:rFonts w:asciiTheme="minorHAnsi" w:hAnsiTheme="minorHAnsi" w:cs="Arial"/>
                <w:sz w:val="16"/>
                <w:szCs w:val="16"/>
              </w:rPr>
            </w:pPr>
            <w:r w:rsidRPr="00A14AAB">
              <w:t>1.1%</w:t>
            </w:r>
          </w:p>
        </w:tc>
      </w:tr>
      <w:tr w:rsidR="00CD0A1B" w:rsidRPr="00A05EB8" w14:paraId="7046CA5E" w14:textId="77777777" w:rsidTr="00416131">
        <w:trPr>
          <w:trHeight w:val="210"/>
        </w:trPr>
        <w:tc>
          <w:tcPr>
            <w:tcW w:w="1528" w:type="dxa"/>
            <w:gridSpan w:val="2"/>
            <w:noWrap/>
            <w:hideMark/>
          </w:tcPr>
          <w:p w14:paraId="1BE23DFF"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Dental</w:t>
            </w:r>
          </w:p>
        </w:tc>
        <w:tc>
          <w:tcPr>
            <w:tcW w:w="1528" w:type="dxa"/>
            <w:gridSpan w:val="2"/>
            <w:tcBorders>
              <w:top w:val="nil"/>
              <w:left w:val="nil"/>
              <w:bottom w:val="single" w:sz="4" w:space="0" w:color="000000"/>
              <w:right w:val="nil"/>
            </w:tcBorders>
            <w:shd w:val="clear" w:color="auto" w:fill="auto"/>
            <w:noWrap/>
          </w:tcPr>
          <w:p w14:paraId="51712D09" w14:textId="6E46CB0B"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$8,784,083</w:t>
            </w:r>
          </w:p>
        </w:tc>
        <w:tc>
          <w:tcPr>
            <w:tcW w:w="1528" w:type="dxa"/>
            <w:tcBorders>
              <w:top w:val="nil"/>
              <w:left w:val="nil"/>
              <w:bottom w:val="single" w:sz="4" w:space="0" w:color="000000"/>
              <w:right w:val="nil"/>
            </w:tcBorders>
            <w:shd w:val="clear" w:color="auto" w:fill="auto"/>
            <w:noWrap/>
          </w:tcPr>
          <w:p w14:paraId="7DD9A475" w14:textId="2CE84E6C"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$2,319</w:t>
            </w:r>
          </w:p>
        </w:tc>
        <w:tc>
          <w:tcPr>
            <w:tcW w:w="1528" w:type="dxa"/>
            <w:tcBorders>
              <w:top w:val="nil"/>
              <w:left w:val="nil"/>
              <w:bottom w:val="single" w:sz="4" w:space="0" w:color="000000"/>
              <w:right w:val="nil"/>
            </w:tcBorders>
            <w:shd w:val="clear" w:color="auto" w:fill="auto"/>
            <w:noWrap/>
          </w:tcPr>
          <w:p w14:paraId="218715D1" w14:textId="67154E96"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5.5%</w:t>
            </w:r>
          </w:p>
        </w:tc>
        <w:tc>
          <w:tcPr>
            <w:tcW w:w="1528" w:type="dxa"/>
            <w:gridSpan w:val="2"/>
            <w:tcBorders>
              <w:top w:val="nil"/>
              <w:left w:val="nil"/>
              <w:bottom w:val="single" w:sz="4" w:space="0" w:color="000000"/>
              <w:right w:val="nil"/>
            </w:tcBorders>
            <w:shd w:val="clear" w:color="auto" w:fill="auto"/>
          </w:tcPr>
          <w:p w14:paraId="565CA966" w14:textId="3774CA07" w:rsidR="00CD0A1B" w:rsidRPr="00E82324" w:rsidRDefault="003A3832" w:rsidP="00CD0A1B">
            <w:pPr>
              <w:spacing w:after="0" w:line="240" w:lineRule="auto"/>
              <w:jc w:val="center"/>
              <w:rPr>
                <w:rFonts w:asciiTheme="minorHAnsi" w:hAnsiTheme="minorHAnsi" w:cs="Arial"/>
                <w:sz w:val="16"/>
                <w:szCs w:val="16"/>
              </w:rPr>
            </w:pPr>
            <w:r w:rsidRPr="00A14AAB">
              <w:t>$16,970</w:t>
            </w:r>
          </w:p>
        </w:tc>
        <w:tc>
          <w:tcPr>
            <w:tcW w:w="1528" w:type="dxa"/>
            <w:tcBorders>
              <w:top w:val="nil"/>
              <w:left w:val="nil"/>
              <w:bottom w:val="single" w:sz="4" w:space="0" w:color="000000"/>
              <w:right w:val="nil"/>
            </w:tcBorders>
            <w:shd w:val="clear" w:color="auto" w:fill="auto"/>
          </w:tcPr>
          <w:p w14:paraId="3BDB89EB" w14:textId="167739D9" w:rsidR="00CD0A1B" w:rsidRPr="00E82324" w:rsidRDefault="003A3832" w:rsidP="00CD0A1B">
            <w:pPr>
              <w:spacing w:after="0" w:line="240" w:lineRule="auto"/>
              <w:jc w:val="center"/>
              <w:rPr>
                <w:rFonts w:asciiTheme="minorHAnsi" w:hAnsiTheme="minorHAnsi" w:cs="Arial"/>
                <w:sz w:val="16"/>
                <w:szCs w:val="16"/>
              </w:rPr>
            </w:pPr>
            <w:r w:rsidRPr="00A14AAB">
              <w:t>34.7%</w:t>
            </w:r>
          </w:p>
        </w:tc>
      </w:tr>
      <w:tr w:rsidR="00CD0A1B" w:rsidRPr="00A05EB8" w14:paraId="477419E0" w14:textId="77777777" w:rsidTr="00416131">
        <w:trPr>
          <w:trHeight w:val="210"/>
        </w:trPr>
        <w:tc>
          <w:tcPr>
            <w:tcW w:w="1528" w:type="dxa"/>
            <w:gridSpan w:val="2"/>
            <w:noWrap/>
            <w:hideMark/>
          </w:tcPr>
          <w:p w14:paraId="66CE7BB8"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Veterinary</w:t>
            </w:r>
          </w:p>
        </w:tc>
        <w:tc>
          <w:tcPr>
            <w:tcW w:w="1528" w:type="dxa"/>
            <w:gridSpan w:val="2"/>
            <w:tcBorders>
              <w:top w:val="nil"/>
              <w:left w:val="nil"/>
              <w:bottom w:val="single" w:sz="4" w:space="0" w:color="000000"/>
              <w:right w:val="nil"/>
            </w:tcBorders>
            <w:shd w:val="clear" w:color="auto" w:fill="auto"/>
            <w:noWrap/>
          </w:tcPr>
          <w:p w14:paraId="1A6D408D" w14:textId="76F3025C"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6C521A9E" w14:textId="63AE7D07"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24D3FE7C" w14:textId="37FF6E4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gridSpan w:val="2"/>
            <w:tcBorders>
              <w:top w:val="nil"/>
              <w:left w:val="nil"/>
              <w:bottom w:val="single" w:sz="4" w:space="0" w:color="000000"/>
              <w:right w:val="nil"/>
            </w:tcBorders>
            <w:shd w:val="clear" w:color="auto" w:fill="auto"/>
          </w:tcPr>
          <w:p w14:paraId="73D6A1DA" w14:textId="5D357EFD" w:rsidR="00CD0A1B" w:rsidRPr="00E82324" w:rsidRDefault="003A3832" w:rsidP="00CD0A1B">
            <w:pPr>
              <w:spacing w:after="0" w:line="240" w:lineRule="auto"/>
              <w:jc w:val="center"/>
              <w:rPr>
                <w:rFonts w:asciiTheme="minorHAnsi" w:hAnsiTheme="minorHAnsi" w:cs="Arial"/>
                <w:sz w:val="16"/>
                <w:szCs w:val="16"/>
              </w:rPr>
            </w:pPr>
            <w:r w:rsidRPr="00A14AAB">
              <w:t>-</w:t>
            </w:r>
          </w:p>
        </w:tc>
        <w:tc>
          <w:tcPr>
            <w:tcW w:w="1528" w:type="dxa"/>
            <w:tcBorders>
              <w:top w:val="nil"/>
              <w:left w:val="nil"/>
              <w:bottom w:val="single" w:sz="4" w:space="0" w:color="000000"/>
              <w:right w:val="nil"/>
            </w:tcBorders>
            <w:shd w:val="clear" w:color="auto" w:fill="auto"/>
          </w:tcPr>
          <w:p w14:paraId="0C0C1AFD" w14:textId="6855A5C5" w:rsidR="00CD0A1B" w:rsidRPr="00E82324" w:rsidRDefault="003A3832" w:rsidP="00CD0A1B">
            <w:pPr>
              <w:spacing w:after="0" w:line="240" w:lineRule="auto"/>
              <w:jc w:val="center"/>
              <w:rPr>
                <w:rFonts w:asciiTheme="minorHAnsi" w:hAnsiTheme="minorHAnsi" w:cs="Arial"/>
                <w:sz w:val="16"/>
                <w:szCs w:val="16"/>
              </w:rPr>
            </w:pPr>
            <w:r w:rsidRPr="00A14AAB">
              <w:t>-</w:t>
            </w:r>
          </w:p>
        </w:tc>
      </w:tr>
      <w:tr w:rsidR="00CD0A1B" w:rsidRPr="00A05EB8" w14:paraId="20478ED7" w14:textId="77777777" w:rsidTr="00416131">
        <w:trPr>
          <w:trHeight w:val="210"/>
        </w:trPr>
        <w:tc>
          <w:tcPr>
            <w:tcW w:w="1528" w:type="dxa"/>
            <w:gridSpan w:val="2"/>
            <w:noWrap/>
            <w:hideMark/>
          </w:tcPr>
          <w:p w14:paraId="4C118888"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OthHealth</w:t>
            </w:r>
          </w:p>
        </w:tc>
        <w:tc>
          <w:tcPr>
            <w:tcW w:w="1528" w:type="dxa"/>
            <w:gridSpan w:val="2"/>
            <w:tcBorders>
              <w:top w:val="nil"/>
              <w:left w:val="nil"/>
              <w:bottom w:val="single" w:sz="4" w:space="0" w:color="000000"/>
              <w:right w:val="nil"/>
            </w:tcBorders>
            <w:shd w:val="clear" w:color="auto" w:fill="auto"/>
            <w:noWrap/>
          </w:tcPr>
          <w:p w14:paraId="57AFA14C" w14:textId="38C56C0E"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$1,585,769</w:t>
            </w:r>
          </w:p>
        </w:tc>
        <w:tc>
          <w:tcPr>
            <w:tcW w:w="1528" w:type="dxa"/>
            <w:tcBorders>
              <w:top w:val="nil"/>
              <w:left w:val="nil"/>
              <w:bottom w:val="single" w:sz="4" w:space="0" w:color="000000"/>
              <w:right w:val="nil"/>
            </w:tcBorders>
            <w:shd w:val="clear" w:color="auto" w:fill="auto"/>
            <w:noWrap/>
          </w:tcPr>
          <w:p w14:paraId="07CBBCED" w14:textId="08CF27BC"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$26</w:t>
            </w:r>
          </w:p>
        </w:tc>
        <w:tc>
          <w:tcPr>
            <w:tcW w:w="1528" w:type="dxa"/>
            <w:tcBorders>
              <w:top w:val="nil"/>
              <w:left w:val="nil"/>
              <w:bottom w:val="single" w:sz="4" w:space="0" w:color="000000"/>
              <w:right w:val="nil"/>
            </w:tcBorders>
            <w:shd w:val="clear" w:color="auto" w:fill="auto"/>
            <w:noWrap/>
          </w:tcPr>
          <w:p w14:paraId="2E1B7B2F" w14:textId="0E341830"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0.1%</w:t>
            </w:r>
          </w:p>
        </w:tc>
        <w:tc>
          <w:tcPr>
            <w:tcW w:w="1528" w:type="dxa"/>
            <w:gridSpan w:val="2"/>
            <w:tcBorders>
              <w:top w:val="nil"/>
              <w:left w:val="nil"/>
              <w:bottom w:val="single" w:sz="4" w:space="0" w:color="000000"/>
              <w:right w:val="nil"/>
            </w:tcBorders>
            <w:shd w:val="clear" w:color="auto" w:fill="auto"/>
          </w:tcPr>
          <w:p w14:paraId="6F517E8E" w14:textId="7F90A873" w:rsidR="00CD0A1B" w:rsidRPr="00E82324" w:rsidRDefault="003A3832" w:rsidP="00CD0A1B">
            <w:pPr>
              <w:spacing w:after="0" w:line="240" w:lineRule="auto"/>
              <w:jc w:val="center"/>
              <w:rPr>
                <w:rFonts w:asciiTheme="minorHAnsi" w:hAnsiTheme="minorHAnsi" w:cs="Arial"/>
                <w:sz w:val="16"/>
                <w:szCs w:val="16"/>
              </w:rPr>
            </w:pPr>
            <w:r w:rsidRPr="00A14AAB">
              <w:t>$358</w:t>
            </w:r>
          </w:p>
        </w:tc>
        <w:tc>
          <w:tcPr>
            <w:tcW w:w="1528" w:type="dxa"/>
            <w:tcBorders>
              <w:top w:val="nil"/>
              <w:left w:val="nil"/>
              <w:bottom w:val="single" w:sz="4" w:space="0" w:color="000000"/>
              <w:right w:val="nil"/>
            </w:tcBorders>
            <w:shd w:val="clear" w:color="auto" w:fill="auto"/>
          </w:tcPr>
          <w:p w14:paraId="24710E8A" w14:textId="6B9B3AC3" w:rsidR="00CD0A1B" w:rsidRPr="00E82324" w:rsidRDefault="003A3832" w:rsidP="00CD0A1B">
            <w:pPr>
              <w:spacing w:after="0" w:line="240" w:lineRule="auto"/>
              <w:jc w:val="center"/>
              <w:rPr>
                <w:rFonts w:asciiTheme="minorHAnsi" w:hAnsiTheme="minorHAnsi" w:cs="Arial"/>
                <w:sz w:val="16"/>
                <w:szCs w:val="16"/>
              </w:rPr>
            </w:pPr>
            <w:r w:rsidRPr="00A14AAB">
              <w:t>1.5%</w:t>
            </w:r>
          </w:p>
        </w:tc>
      </w:tr>
      <w:tr w:rsidR="00CD0A1B" w:rsidRPr="00A05EB8" w14:paraId="43525EBC" w14:textId="77777777" w:rsidTr="00416131">
        <w:trPr>
          <w:trHeight w:val="210"/>
        </w:trPr>
        <w:tc>
          <w:tcPr>
            <w:tcW w:w="1528" w:type="dxa"/>
            <w:gridSpan w:val="2"/>
            <w:noWrap/>
            <w:hideMark/>
          </w:tcPr>
          <w:p w14:paraId="743F8540"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Education</w:t>
            </w:r>
          </w:p>
        </w:tc>
        <w:tc>
          <w:tcPr>
            <w:tcW w:w="1528" w:type="dxa"/>
            <w:gridSpan w:val="2"/>
            <w:tcBorders>
              <w:top w:val="nil"/>
              <w:left w:val="nil"/>
              <w:bottom w:val="single" w:sz="4" w:space="0" w:color="000000"/>
              <w:right w:val="nil"/>
            </w:tcBorders>
            <w:shd w:val="clear" w:color="auto" w:fill="auto"/>
            <w:noWrap/>
          </w:tcPr>
          <w:p w14:paraId="43E7DC77" w14:textId="3D2A35C3"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$3,212,268</w:t>
            </w:r>
          </w:p>
        </w:tc>
        <w:tc>
          <w:tcPr>
            <w:tcW w:w="1528" w:type="dxa"/>
            <w:tcBorders>
              <w:top w:val="nil"/>
              <w:left w:val="nil"/>
              <w:bottom w:val="single" w:sz="4" w:space="0" w:color="000000"/>
              <w:right w:val="nil"/>
            </w:tcBorders>
            <w:shd w:val="clear" w:color="auto" w:fill="auto"/>
            <w:noWrap/>
          </w:tcPr>
          <w:p w14:paraId="31019095" w14:textId="175D5B7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$49</w:t>
            </w:r>
          </w:p>
        </w:tc>
        <w:tc>
          <w:tcPr>
            <w:tcW w:w="1528" w:type="dxa"/>
            <w:tcBorders>
              <w:top w:val="nil"/>
              <w:left w:val="nil"/>
              <w:bottom w:val="single" w:sz="4" w:space="0" w:color="000000"/>
              <w:right w:val="nil"/>
            </w:tcBorders>
            <w:shd w:val="clear" w:color="auto" w:fill="auto"/>
            <w:noWrap/>
          </w:tcPr>
          <w:p w14:paraId="24146552" w14:textId="738AFE6E"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0.3%</w:t>
            </w:r>
          </w:p>
        </w:tc>
        <w:tc>
          <w:tcPr>
            <w:tcW w:w="1528" w:type="dxa"/>
            <w:gridSpan w:val="2"/>
            <w:tcBorders>
              <w:top w:val="nil"/>
              <w:left w:val="nil"/>
              <w:bottom w:val="single" w:sz="4" w:space="0" w:color="000000"/>
              <w:right w:val="nil"/>
            </w:tcBorders>
            <w:shd w:val="clear" w:color="auto" w:fill="auto"/>
          </w:tcPr>
          <w:p w14:paraId="3D7FAF50" w14:textId="364FBB1F" w:rsidR="00CD0A1B" w:rsidRPr="00E82324" w:rsidRDefault="003A3832" w:rsidP="00CD0A1B">
            <w:pPr>
              <w:spacing w:after="0" w:line="240" w:lineRule="auto"/>
              <w:jc w:val="center"/>
              <w:rPr>
                <w:rFonts w:asciiTheme="minorHAnsi" w:hAnsiTheme="minorHAnsi" w:cs="Arial"/>
                <w:sz w:val="16"/>
                <w:szCs w:val="16"/>
              </w:rPr>
            </w:pPr>
            <w:r w:rsidRPr="00A14AAB">
              <w:t>$836</w:t>
            </w:r>
          </w:p>
        </w:tc>
        <w:tc>
          <w:tcPr>
            <w:tcW w:w="1528" w:type="dxa"/>
            <w:tcBorders>
              <w:top w:val="nil"/>
              <w:left w:val="nil"/>
              <w:bottom w:val="single" w:sz="4" w:space="0" w:color="000000"/>
              <w:right w:val="nil"/>
            </w:tcBorders>
            <w:shd w:val="clear" w:color="auto" w:fill="auto"/>
          </w:tcPr>
          <w:p w14:paraId="66757690" w14:textId="2BCA632A" w:rsidR="00CD0A1B" w:rsidRPr="00E82324" w:rsidRDefault="003A3832" w:rsidP="00CD0A1B">
            <w:pPr>
              <w:spacing w:after="0" w:line="240" w:lineRule="auto"/>
              <w:jc w:val="center"/>
              <w:rPr>
                <w:rFonts w:asciiTheme="minorHAnsi" w:hAnsiTheme="minorHAnsi" w:cs="Arial"/>
                <w:sz w:val="16"/>
                <w:szCs w:val="16"/>
              </w:rPr>
            </w:pPr>
            <w:r w:rsidRPr="00A14AAB">
              <w:t>5.1%</w:t>
            </w:r>
          </w:p>
        </w:tc>
      </w:tr>
      <w:tr w:rsidR="00CD0A1B" w:rsidRPr="00A05EB8" w14:paraId="4EDFFA9C" w14:textId="77777777" w:rsidTr="00416131">
        <w:trPr>
          <w:trHeight w:val="210"/>
        </w:trPr>
        <w:tc>
          <w:tcPr>
            <w:tcW w:w="1528" w:type="dxa"/>
            <w:gridSpan w:val="2"/>
            <w:noWrap/>
            <w:hideMark/>
          </w:tcPr>
          <w:p w14:paraId="4A0925C4"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Mgmt&amp;Comm</w:t>
            </w:r>
          </w:p>
        </w:tc>
        <w:tc>
          <w:tcPr>
            <w:tcW w:w="1528" w:type="dxa"/>
            <w:gridSpan w:val="2"/>
            <w:tcBorders>
              <w:top w:val="nil"/>
              <w:left w:val="nil"/>
              <w:bottom w:val="single" w:sz="4" w:space="0" w:color="000000"/>
              <w:right w:val="nil"/>
            </w:tcBorders>
            <w:shd w:val="clear" w:color="auto" w:fill="auto"/>
            <w:noWrap/>
          </w:tcPr>
          <w:p w14:paraId="5BFAB761" w14:textId="0E4B000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$57,377,316</w:t>
            </w:r>
          </w:p>
        </w:tc>
        <w:tc>
          <w:tcPr>
            <w:tcW w:w="1528" w:type="dxa"/>
            <w:tcBorders>
              <w:top w:val="nil"/>
              <w:left w:val="nil"/>
              <w:bottom w:val="single" w:sz="4" w:space="0" w:color="000000"/>
              <w:right w:val="nil"/>
            </w:tcBorders>
            <w:shd w:val="clear" w:color="auto" w:fill="auto"/>
            <w:noWrap/>
          </w:tcPr>
          <w:p w14:paraId="3C59E2A6" w14:textId="6E4BCD40"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$377</w:t>
            </w:r>
          </w:p>
        </w:tc>
        <w:tc>
          <w:tcPr>
            <w:tcW w:w="1528" w:type="dxa"/>
            <w:tcBorders>
              <w:top w:val="nil"/>
              <w:left w:val="nil"/>
              <w:bottom w:val="single" w:sz="4" w:space="0" w:color="000000"/>
              <w:right w:val="nil"/>
            </w:tcBorders>
            <w:shd w:val="clear" w:color="auto" w:fill="auto"/>
            <w:noWrap/>
          </w:tcPr>
          <w:p w14:paraId="5F58CF0C" w14:textId="6D0DF480"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2.3%</w:t>
            </w:r>
          </w:p>
        </w:tc>
        <w:tc>
          <w:tcPr>
            <w:tcW w:w="1528" w:type="dxa"/>
            <w:gridSpan w:val="2"/>
            <w:tcBorders>
              <w:top w:val="nil"/>
              <w:left w:val="nil"/>
              <w:bottom w:val="single" w:sz="4" w:space="0" w:color="000000"/>
              <w:right w:val="nil"/>
            </w:tcBorders>
            <w:shd w:val="clear" w:color="auto" w:fill="auto"/>
          </w:tcPr>
          <w:p w14:paraId="6D0BE9E8" w14:textId="4B69D433" w:rsidR="00CD0A1B" w:rsidRPr="00E82324" w:rsidRDefault="003A3832" w:rsidP="00CD0A1B">
            <w:pPr>
              <w:spacing w:after="0" w:line="240" w:lineRule="auto"/>
              <w:jc w:val="center"/>
              <w:rPr>
                <w:rFonts w:asciiTheme="minorHAnsi" w:hAnsiTheme="minorHAnsi" w:cs="Arial"/>
                <w:sz w:val="16"/>
                <w:szCs w:val="16"/>
              </w:rPr>
            </w:pPr>
            <w:r w:rsidRPr="00A14AAB">
              <w:t>$3,032</w:t>
            </w:r>
          </w:p>
        </w:tc>
        <w:tc>
          <w:tcPr>
            <w:tcW w:w="1528" w:type="dxa"/>
            <w:tcBorders>
              <w:top w:val="nil"/>
              <w:left w:val="nil"/>
              <w:bottom w:val="single" w:sz="4" w:space="0" w:color="000000"/>
              <w:right w:val="nil"/>
            </w:tcBorders>
            <w:shd w:val="clear" w:color="auto" w:fill="auto"/>
          </w:tcPr>
          <w:p w14:paraId="7D194E5B" w14:textId="35FE928D" w:rsidR="00CD0A1B" w:rsidRPr="00E82324" w:rsidRDefault="003A3832" w:rsidP="00CD0A1B">
            <w:pPr>
              <w:spacing w:after="0" w:line="240" w:lineRule="auto"/>
              <w:jc w:val="center"/>
              <w:rPr>
                <w:rFonts w:asciiTheme="minorHAnsi" w:hAnsiTheme="minorHAnsi" w:cs="Arial"/>
                <w:sz w:val="16"/>
                <w:szCs w:val="16"/>
              </w:rPr>
            </w:pPr>
            <w:r w:rsidRPr="00A14AAB">
              <w:t>19.3%</w:t>
            </w:r>
          </w:p>
        </w:tc>
      </w:tr>
      <w:tr w:rsidR="00CD0A1B" w:rsidRPr="00A05EB8" w14:paraId="492C4CD6" w14:textId="77777777" w:rsidTr="00416131">
        <w:trPr>
          <w:trHeight w:val="210"/>
        </w:trPr>
        <w:tc>
          <w:tcPr>
            <w:tcW w:w="1528" w:type="dxa"/>
            <w:gridSpan w:val="2"/>
            <w:noWrap/>
            <w:hideMark/>
          </w:tcPr>
          <w:p w14:paraId="019E0EC3"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ForeignLang</w:t>
            </w:r>
          </w:p>
        </w:tc>
        <w:tc>
          <w:tcPr>
            <w:tcW w:w="1528" w:type="dxa"/>
            <w:gridSpan w:val="2"/>
            <w:tcBorders>
              <w:top w:val="nil"/>
              <w:left w:val="nil"/>
              <w:bottom w:val="single" w:sz="4" w:space="0" w:color="000000"/>
              <w:right w:val="nil"/>
            </w:tcBorders>
            <w:shd w:val="clear" w:color="auto" w:fill="auto"/>
            <w:noWrap/>
          </w:tcPr>
          <w:p w14:paraId="27A90B62" w14:textId="024905E4"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$82,229</w:t>
            </w:r>
          </w:p>
        </w:tc>
        <w:tc>
          <w:tcPr>
            <w:tcW w:w="1528" w:type="dxa"/>
            <w:tcBorders>
              <w:top w:val="nil"/>
              <w:left w:val="nil"/>
              <w:bottom w:val="single" w:sz="4" w:space="0" w:color="000000"/>
              <w:right w:val="nil"/>
            </w:tcBorders>
            <w:shd w:val="clear" w:color="auto" w:fill="auto"/>
            <w:noWrap/>
          </w:tcPr>
          <w:p w14:paraId="1B267F74" w14:textId="4673A710"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w:t>
            </w:r>
          </w:p>
        </w:tc>
        <w:tc>
          <w:tcPr>
            <w:tcW w:w="1528" w:type="dxa"/>
            <w:tcBorders>
              <w:top w:val="nil"/>
              <w:left w:val="nil"/>
              <w:bottom w:val="single" w:sz="4" w:space="0" w:color="000000"/>
              <w:right w:val="nil"/>
            </w:tcBorders>
            <w:shd w:val="clear" w:color="auto" w:fill="auto"/>
            <w:noWrap/>
          </w:tcPr>
          <w:p w14:paraId="2EF443BF" w14:textId="5DDCE33C"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0.0%</w:t>
            </w:r>
          </w:p>
        </w:tc>
        <w:tc>
          <w:tcPr>
            <w:tcW w:w="1528" w:type="dxa"/>
            <w:gridSpan w:val="2"/>
            <w:tcBorders>
              <w:top w:val="nil"/>
              <w:left w:val="nil"/>
              <w:bottom w:val="single" w:sz="4" w:space="0" w:color="000000"/>
              <w:right w:val="nil"/>
            </w:tcBorders>
            <w:shd w:val="clear" w:color="auto" w:fill="auto"/>
          </w:tcPr>
          <w:p w14:paraId="6BD7B3DD" w14:textId="7E065E25" w:rsidR="00CD0A1B" w:rsidRPr="00E82324" w:rsidRDefault="003A3832" w:rsidP="00CD0A1B">
            <w:pPr>
              <w:spacing w:after="0" w:line="240" w:lineRule="auto"/>
              <w:jc w:val="center"/>
              <w:rPr>
                <w:rFonts w:asciiTheme="minorHAnsi" w:hAnsiTheme="minorHAnsi" w:cs="Arial"/>
                <w:sz w:val="16"/>
                <w:szCs w:val="16"/>
              </w:rPr>
            </w:pPr>
            <w:r w:rsidRPr="00A14AAB">
              <w:t>$866</w:t>
            </w:r>
          </w:p>
        </w:tc>
        <w:tc>
          <w:tcPr>
            <w:tcW w:w="1528" w:type="dxa"/>
            <w:tcBorders>
              <w:top w:val="nil"/>
              <w:left w:val="nil"/>
              <w:bottom w:val="single" w:sz="4" w:space="0" w:color="000000"/>
              <w:right w:val="nil"/>
            </w:tcBorders>
            <w:shd w:val="clear" w:color="auto" w:fill="auto"/>
          </w:tcPr>
          <w:p w14:paraId="4D1C13B1" w14:textId="55569A1E" w:rsidR="00CD0A1B" w:rsidRPr="00E82324" w:rsidRDefault="003A3832" w:rsidP="00CD0A1B">
            <w:pPr>
              <w:spacing w:after="0" w:line="240" w:lineRule="auto"/>
              <w:jc w:val="center"/>
              <w:rPr>
                <w:rFonts w:asciiTheme="minorHAnsi" w:hAnsiTheme="minorHAnsi" w:cs="Arial"/>
                <w:sz w:val="16"/>
                <w:szCs w:val="16"/>
              </w:rPr>
            </w:pPr>
            <w:r w:rsidRPr="00A14AAB">
              <w:t>5.6%</w:t>
            </w:r>
          </w:p>
        </w:tc>
      </w:tr>
      <w:tr w:rsidR="00CD0A1B" w:rsidRPr="00A05EB8" w14:paraId="23333542" w14:textId="77777777" w:rsidTr="00416131">
        <w:trPr>
          <w:trHeight w:val="210"/>
        </w:trPr>
        <w:tc>
          <w:tcPr>
            <w:tcW w:w="1528" w:type="dxa"/>
            <w:gridSpan w:val="2"/>
            <w:noWrap/>
            <w:hideMark/>
          </w:tcPr>
          <w:p w14:paraId="438C77EC"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Psych</w:t>
            </w:r>
          </w:p>
        </w:tc>
        <w:tc>
          <w:tcPr>
            <w:tcW w:w="1528" w:type="dxa"/>
            <w:gridSpan w:val="2"/>
            <w:tcBorders>
              <w:top w:val="nil"/>
              <w:left w:val="nil"/>
              <w:bottom w:val="single" w:sz="4" w:space="0" w:color="000000"/>
              <w:right w:val="nil"/>
            </w:tcBorders>
            <w:shd w:val="clear" w:color="auto" w:fill="auto"/>
            <w:noWrap/>
          </w:tcPr>
          <w:p w14:paraId="7EE16BD4" w14:textId="7663414B"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$81,276</w:t>
            </w:r>
          </w:p>
        </w:tc>
        <w:tc>
          <w:tcPr>
            <w:tcW w:w="1528" w:type="dxa"/>
            <w:tcBorders>
              <w:top w:val="nil"/>
              <w:left w:val="nil"/>
              <w:bottom w:val="single" w:sz="4" w:space="0" w:color="000000"/>
              <w:right w:val="nil"/>
            </w:tcBorders>
            <w:shd w:val="clear" w:color="auto" w:fill="auto"/>
            <w:noWrap/>
          </w:tcPr>
          <w:p w14:paraId="28F28EB7" w14:textId="58CCD6A0"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$3</w:t>
            </w:r>
          </w:p>
        </w:tc>
        <w:tc>
          <w:tcPr>
            <w:tcW w:w="1528" w:type="dxa"/>
            <w:tcBorders>
              <w:top w:val="nil"/>
              <w:left w:val="nil"/>
              <w:bottom w:val="single" w:sz="4" w:space="0" w:color="000000"/>
              <w:right w:val="nil"/>
            </w:tcBorders>
            <w:shd w:val="clear" w:color="auto" w:fill="auto"/>
            <w:noWrap/>
          </w:tcPr>
          <w:p w14:paraId="7C59CF21" w14:textId="4552A60B"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0.0%</w:t>
            </w:r>
          </w:p>
        </w:tc>
        <w:tc>
          <w:tcPr>
            <w:tcW w:w="1528" w:type="dxa"/>
            <w:gridSpan w:val="2"/>
            <w:tcBorders>
              <w:top w:val="nil"/>
              <w:left w:val="nil"/>
              <w:bottom w:val="single" w:sz="4" w:space="0" w:color="000000"/>
              <w:right w:val="nil"/>
            </w:tcBorders>
            <w:shd w:val="clear" w:color="auto" w:fill="auto"/>
          </w:tcPr>
          <w:p w14:paraId="1C6C1E3A" w14:textId="0EB8DFBF" w:rsidR="00CD0A1B" w:rsidRPr="00E82324" w:rsidRDefault="003A3832" w:rsidP="00CD0A1B">
            <w:pPr>
              <w:spacing w:after="0" w:line="240" w:lineRule="auto"/>
              <w:jc w:val="center"/>
              <w:rPr>
                <w:rFonts w:asciiTheme="minorHAnsi" w:hAnsiTheme="minorHAnsi" w:cs="Arial"/>
                <w:sz w:val="16"/>
                <w:szCs w:val="16"/>
              </w:rPr>
            </w:pPr>
            <w:r w:rsidRPr="00A14AAB">
              <w:t>$86</w:t>
            </w:r>
          </w:p>
        </w:tc>
        <w:tc>
          <w:tcPr>
            <w:tcW w:w="1528" w:type="dxa"/>
            <w:tcBorders>
              <w:top w:val="nil"/>
              <w:left w:val="nil"/>
              <w:bottom w:val="single" w:sz="4" w:space="0" w:color="000000"/>
              <w:right w:val="nil"/>
            </w:tcBorders>
            <w:shd w:val="clear" w:color="auto" w:fill="auto"/>
          </w:tcPr>
          <w:p w14:paraId="7AD046A6" w14:textId="656C5D81" w:rsidR="00CD0A1B" w:rsidRPr="00E82324" w:rsidRDefault="003A3832" w:rsidP="00CD0A1B">
            <w:pPr>
              <w:spacing w:after="0" w:line="240" w:lineRule="auto"/>
              <w:jc w:val="center"/>
              <w:rPr>
                <w:rFonts w:asciiTheme="minorHAnsi" w:hAnsiTheme="minorHAnsi" w:cs="Arial"/>
                <w:sz w:val="16"/>
                <w:szCs w:val="16"/>
              </w:rPr>
            </w:pPr>
            <w:r w:rsidRPr="00A14AAB">
              <w:t>0.5%</w:t>
            </w:r>
          </w:p>
        </w:tc>
      </w:tr>
      <w:tr w:rsidR="00CD0A1B" w:rsidRPr="00A05EB8" w14:paraId="35B51BD0" w14:textId="77777777" w:rsidTr="00416131">
        <w:trPr>
          <w:trHeight w:val="210"/>
        </w:trPr>
        <w:tc>
          <w:tcPr>
            <w:tcW w:w="1528" w:type="dxa"/>
            <w:gridSpan w:val="2"/>
            <w:noWrap/>
            <w:hideMark/>
          </w:tcPr>
          <w:p w14:paraId="7E8EEEA1"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OtherSoc&amp;Cult</w:t>
            </w:r>
          </w:p>
        </w:tc>
        <w:tc>
          <w:tcPr>
            <w:tcW w:w="1528" w:type="dxa"/>
            <w:gridSpan w:val="2"/>
            <w:tcBorders>
              <w:top w:val="nil"/>
              <w:left w:val="nil"/>
              <w:bottom w:val="single" w:sz="4" w:space="0" w:color="000000"/>
              <w:right w:val="nil"/>
            </w:tcBorders>
            <w:shd w:val="clear" w:color="auto" w:fill="auto"/>
            <w:noWrap/>
          </w:tcPr>
          <w:p w14:paraId="4C658588" w14:textId="094C03C5"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$8,420,646</w:t>
            </w:r>
          </w:p>
        </w:tc>
        <w:tc>
          <w:tcPr>
            <w:tcW w:w="1528" w:type="dxa"/>
            <w:tcBorders>
              <w:top w:val="nil"/>
              <w:left w:val="nil"/>
              <w:bottom w:val="single" w:sz="4" w:space="0" w:color="000000"/>
              <w:right w:val="nil"/>
            </w:tcBorders>
            <w:shd w:val="clear" w:color="auto" w:fill="auto"/>
            <w:noWrap/>
          </w:tcPr>
          <w:p w14:paraId="6DC093BC" w14:textId="4439513E"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$50</w:t>
            </w:r>
          </w:p>
        </w:tc>
        <w:tc>
          <w:tcPr>
            <w:tcW w:w="1528" w:type="dxa"/>
            <w:tcBorders>
              <w:top w:val="nil"/>
              <w:left w:val="nil"/>
              <w:bottom w:val="single" w:sz="4" w:space="0" w:color="000000"/>
              <w:right w:val="nil"/>
            </w:tcBorders>
            <w:shd w:val="clear" w:color="auto" w:fill="auto"/>
            <w:noWrap/>
          </w:tcPr>
          <w:p w14:paraId="0FF091A1" w14:textId="65EE8599"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0.3%</w:t>
            </w:r>
          </w:p>
        </w:tc>
        <w:tc>
          <w:tcPr>
            <w:tcW w:w="1528" w:type="dxa"/>
            <w:gridSpan w:val="2"/>
            <w:tcBorders>
              <w:top w:val="nil"/>
              <w:left w:val="nil"/>
              <w:bottom w:val="single" w:sz="4" w:space="0" w:color="000000"/>
              <w:right w:val="nil"/>
            </w:tcBorders>
            <w:shd w:val="clear" w:color="auto" w:fill="auto"/>
          </w:tcPr>
          <w:p w14:paraId="1B0F8A8F" w14:textId="0A8822C4" w:rsidR="00CD0A1B" w:rsidRPr="00E82324" w:rsidRDefault="003A3832" w:rsidP="00CD0A1B">
            <w:pPr>
              <w:spacing w:after="0" w:line="240" w:lineRule="auto"/>
              <w:jc w:val="center"/>
              <w:rPr>
                <w:rFonts w:asciiTheme="minorHAnsi" w:hAnsiTheme="minorHAnsi" w:cs="Arial"/>
                <w:sz w:val="16"/>
                <w:szCs w:val="16"/>
              </w:rPr>
            </w:pPr>
            <w:r w:rsidRPr="00A14AAB">
              <w:t>$337</w:t>
            </w:r>
          </w:p>
        </w:tc>
        <w:tc>
          <w:tcPr>
            <w:tcW w:w="1528" w:type="dxa"/>
            <w:tcBorders>
              <w:top w:val="nil"/>
              <w:left w:val="nil"/>
              <w:bottom w:val="single" w:sz="4" w:space="0" w:color="000000"/>
              <w:right w:val="nil"/>
            </w:tcBorders>
            <w:shd w:val="clear" w:color="auto" w:fill="auto"/>
          </w:tcPr>
          <w:p w14:paraId="3E4344D9" w14:textId="23AA6710" w:rsidR="00CD0A1B" w:rsidRPr="00E82324" w:rsidRDefault="003A3832" w:rsidP="00CD0A1B">
            <w:pPr>
              <w:spacing w:after="0" w:line="240" w:lineRule="auto"/>
              <w:jc w:val="center"/>
              <w:rPr>
                <w:rFonts w:asciiTheme="minorHAnsi" w:hAnsiTheme="minorHAnsi" w:cs="Arial"/>
                <w:sz w:val="16"/>
                <w:szCs w:val="16"/>
              </w:rPr>
            </w:pPr>
            <w:r w:rsidRPr="00A14AAB">
              <w:t>1.9%</w:t>
            </w:r>
          </w:p>
        </w:tc>
      </w:tr>
      <w:tr w:rsidR="00CD0A1B" w:rsidRPr="00A05EB8" w14:paraId="50A70981" w14:textId="77777777" w:rsidTr="00416131">
        <w:trPr>
          <w:trHeight w:val="210"/>
        </w:trPr>
        <w:tc>
          <w:tcPr>
            <w:tcW w:w="1528" w:type="dxa"/>
            <w:gridSpan w:val="2"/>
            <w:noWrap/>
            <w:hideMark/>
          </w:tcPr>
          <w:p w14:paraId="7FF8D260"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Comms&amp;Media</w:t>
            </w:r>
          </w:p>
        </w:tc>
        <w:tc>
          <w:tcPr>
            <w:tcW w:w="1528" w:type="dxa"/>
            <w:gridSpan w:val="2"/>
            <w:tcBorders>
              <w:top w:val="nil"/>
              <w:left w:val="nil"/>
              <w:bottom w:val="single" w:sz="4" w:space="0" w:color="000000"/>
              <w:right w:val="nil"/>
            </w:tcBorders>
            <w:shd w:val="clear" w:color="auto" w:fill="auto"/>
            <w:noWrap/>
          </w:tcPr>
          <w:p w14:paraId="07ABA896" w14:textId="5B408A95"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$1,467,391</w:t>
            </w:r>
          </w:p>
        </w:tc>
        <w:tc>
          <w:tcPr>
            <w:tcW w:w="1528" w:type="dxa"/>
            <w:tcBorders>
              <w:top w:val="nil"/>
              <w:left w:val="nil"/>
              <w:bottom w:val="single" w:sz="4" w:space="0" w:color="000000"/>
              <w:right w:val="nil"/>
            </w:tcBorders>
            <w:shd w:val="clear" w:color="auto" w:fill="auto"/>
            <w:noWrap/>
          </w:tcPr>
          <w:p w14:paraId="5F6F31C5" w14:textId="561151B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$44</w:t>
            </w:r>
          </w:p>
        </w:tc>
        <w:tc>
          <w:tcPr>
            <w:tcW w:w="1528" w:type="dxa"/>
            <w:tcBorders>
              <w:top w:val="nil"/>
              <w:left w:val="nil"/>
              <w:bottom w:val="single" w:sz="4" w:space="0" w:color="000000"/>
              <w:right w:val="nil"/>
            </w:tcBorders>
            <w:shd w:val="clear" w:color="auto" w:fill="auto"/>
            <w:noWrap/>
          </w:tcPr>
          <w:p w14:paraId="47D54402" w14:textId="7177CBCA"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0.3%</w:t>
            </w:r>
          </w:p>
        </w:tc>
        <w:tc>
          <w:tcPr>
            <w:tcW w:w="1528" w:type="dxa"/>
            <w:gridSpan w:val="2"/>
            <w:tcBorders>
              <w:top w:val="nil"/>
              <w:left w:val="nil"/>
              <w:bottom w:val="single" w:sz="4" w:space="0" w:color="000000"/>
              <w:right w:val="nil"/>
            </w:tcBorders>
            <w:shd w:val="clear" w:color="auto" w:fill="auto"/>
          </w:tcPr>
          <w:p w14:paraId="5B9EDAB7" w14:textId="1BD1F215" w:rsidR="00CD0A1B" w:rsidRPr="00E82324" w:rsidRDefault="003A3832" w:rsidP="00CD0A1B">
            <w:pPr>
              <w:spacing w:after="0" w:line="240" w:lineRule="auto"/>
              <w:jc w:val="center"/>
              <w:rPr>
                <w:rFonts w:asciiTheme="minorHAnsi" w:hAnsiTheme="minorHAnsi" w:cs="Arial"/>
                <w:sz w:val="16"/>
                <w:szCs w:val="16"/>
              </w:rPr>
            </w:pPr>
            <w:r w:rsidRPr="00A14AAB">
              <w:t>$402</w:t>
            </w:r>
          </w:p>
        </w:tc>
        <w:tc>
          <w:tcPr>
            <w:tcW w:w="1528" w:type="dxa"/>
            <w:tcBorders>
              <w:top w:val="nil"/>
              <w:left w:val="nil"/>
              <w:bottom w:val="single" w:sz="4" w:space="0" w:color="000000"/>
              <w:right w:val="nil"/>
            </w:tcBorders>
            <w:shd w:val="clear" w:color="auto" w:fill="auto"/>
          </w:tcPr>
          <w:p w14:paraId="78397E16" w14:textId="6040C01B" w:rsidR="00CD0A1B" w:rsidRPr="00E82324" w:rsidRDefault="003A3832" w:rsidP="00CD0A1B">
            <w:pPr>
              <w:spacing w:after="0" w:line="240" w:lineRule="auto"/>
              <w:jc w:val="center"/>
              <w:rPr>
                <w:rFonts w:asciiTheme="minorHAnsi" w:hAnsiTheme="minorHAnsi" w:cs="Arial"/>
                <w:sz w:val="16"/>
                <w:szCs w:val="16"/>
              </w:rPr>
            </w:pPr>
            <w:r w:rsidRPr="00A14AAB">
              <w:t>2.4%</w:t>
            </w:r>
          </w:p>
        </w:tc>
      </w:tr>
      <w:tr w:rsidR="00CD0A1B" w:rsidRPr="00A05EB8" w14:paraId="193C7E96" w14:textId="77777777" w:rsidTr="00416131">
        <w:trPr>
          <w:trHeight w:val="210"/>
        </w:trPr>
        <w:tc>
          <w:tcPr>
            <w:tcW w:w="1528" w:type="dxa"/>
            <w:gridSpan w:val="2"/>
            <w:noWrap/>
            <w:hideMark/>
          </w:tcPr>
          <w:p w14:paraId="332468EA"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OthCreative</w:t>
            </w:r>
          </w:p>
        </w:tc>
        <w:tc>
          <w:tcPr>
            <w:tcW w:w="1528" w:type="dxa"/>
            <w:gridSpan w:val="2"/>
            <w:tcBorders>
              <w:top w:val="nil"/>
              <w:left w:val="nil"/>
              <w:bottom w:val="single" w:sz="4" w:space="0" w:color="000000"/>
              <w:right w:val="nil"/>
            </w:tcBorders>
            <w:shd w:val="clear" w:color="auto" w:fill="auto"/>
            <w:noWrap/>
          </w:tcPr>
          <w:p w14:paraId="16D9A4B0" w14:textId="2F16B9A8"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$707,311</w:t>
            </w:r>
          </w:p>
        </w:tc>
        <w:tc>
          <w:tcPr>
            <w:tcW w:w="1528" w:type="dxa"/>
            <w:tcBorders>
              <w:top w:val="nil"/>
              <w:left w:val="nil"/>
              <w:bottom w:val="single" w:sz="4" w:space="0" w:color="000000"/>
              <w:right w:val="nil"/>
            </w:tcBorders>
            <w:shd w:val="clear" w:color="auto" w:fill="auto"/>
            <w:noWrap/>
          </w:tcPr>
          <w:p w14:paraId="368FB8F3" w14:textId="15DD2073"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$23</w:t>
            </w:r>
          </w:p>
        </w:tc>
        <w:tc>
          <w:tcPr>
            <w:tcW w:w="1528" w:type="dxa"/>
            <w:tcBorders>
              <w:top w:val="nil"/>
              <w:left w:val="nil"/>
              <w:bottom w:val="single" w:sz="4" w:space="0" w:color="000000"/>
              <w:right w:val="nil"/>
            </w:tcBorders>
            <w:shd w:val="clear" w:color="auto" w:fill="auto"/>
            <w:noWrap/>
          </w:tcPr>
          <w:p w14:paraId="42B700EB" w14:textId="5F329B04"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0.1%</w:t>
            </w:r>
          </w:p>
        </w:tc>
        <w:tc>
          <w:tcPr>
            <w:tcW w:w="1528" w:type="dxa"/>
            <w:gridSpan w:val="2"/>
            <w:tcBorders>
              <w:top w:val="nil"/>
              <w:left w:val="nil"/>
              <w:bottom w:val="single" w:sz="4" w:space="0" w:color="000000"/>
              <w:right w:val="nil"/>
            </w:tcBorders>
            <w:shd w:val="clear" w:color="auto" w:fill="auto"/>
          </w:tcPr>
          <w:p w14:paraId="01AB0B85" w14:textId="3371CDFB" w:rsidR="00CD0A1B" w:rsidRPr="00E82324" w:rsidRDefault="003A3832" w:rsidP="00CD0A1B">
            <w:pPr>
              <w:spacing w:after="0" w:line="240" w:lineRule="auto"/>
              <w:jc w:val="center"/>
              <w:rPr>
                <w:rFonts w:asciiTheme="minorHAnsi" w:hAnsiTheme="minorHAnsi" w:cs="Arial"/>
                <w:sz w:val="16"/>
                <w:szCs w:val="16"/>
              </w:rPr>
            </w:pPr>
            <w:r w:rsidRPr="00A14AAB">
              <w:t>$539</w:t>
            </w:r>
          </w:p>
        </w:tc>
        <w:tc>
          <w:tcPr>
            <w:tcW w:w="1528" w:type="dxa"/>
            <w:tcBorders>
              <w:top w:val="nil"/>
              <w:left w:val="nil"/>
              <w:bottom w:val="single" w:sz="4" w:space="0" w:color="000000"/>
              <w:right w:val="nil"/>
            </w:tcBorders>
            <w:shd w:val="clear" w:color="auto" w:fill="auto"/>
          </w:tcPr>
          <w:p w14:paraId="19E5A01F" w14:textId="2FF7F4BF" w:rsidR="00CD0A1B" w:rsidRPr="00E82324" w:rsidRDefault="003A3832" w:rsidP="00CD0A1B">
            <w:pPr>
              <w:spacing w:after="0" w:line="240" w:lineRule="auto"/>
              <w:jc w:val="center"/>
              <w:rPr>
                <w:rFonts w:asciiTheme="minorHAnsi" w:hAnsiTheme="minorHAnsi" w:cs="Arial"/>
                <w:sz w:val="16"/>
                <w:szCs w:val="16"/>
              </w:rPr>
            </w:pPr>
            <w:r w:rsidRPr="00A14AAB">
              <w:t>2.6%</w:t>
            </w:r>
          </w:p>
        </w:tc>
      </w:tr>
      <w:tr w:rsidR="00CD0A1B" w:rsidRPr="00A05EB8" w14:paraId="31518755" w14:textId="77777777" w:rsidTr="00416131">
        <w:trPr>
          <w:trHeight w:val="210"/>
        </w:trPr>
        <w:tc>
          <w:tcPr>
            <w:tcW w:w="1528" w:type="dxa"/>
            <w:gridSpan w:val="2"/>
            <w:noWrap/>
            <w:hideMark/>
          </w:tcPr>
          <w:p w14:paraId="40D1093F"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FoodHosp&amp;Person</w:t>
            </w:r>
          </w:p>
        </w:tc>
        <w:tc>
          <w:tcPr>
            <w:tcW w:w="1528" w:type="dxa"/>
            <w:gridSpan w:val="2"/>
            <w:tcBorders>
              <w:top w:val="nil"/>
              <w:left w:val="nil"/>
              <w:bottom w:val="single" w:sz="4" w:space="0" w:color="000000"/>
              <w:right w:val="nil"/>
            </w:tcBorders>
            <w:shd w:val="clear" w:color="auto" w:fill="auto"/>
            <w:noWrap/>
          </w:tcPr>
          <w:p w14:paraId="2E5C9E0A" w14:textId="5674FFB4"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$170,478</w:t>
            </w:r>
          </w:p>
        </w:tc>
        <w:tc>
          <w:tcPr>
            <w:tcW w:w="1528" w:type="dxa"/>
            <w:tcBorders>
              <w:top w:val="nil"/>
              <w:left w:val="nil"/>
              <w:bottom w:val="single" w:sz="4" w:space="0" w:color="000000"/>
              <w:right w:val="nil"/>
            </w:tcBorders>
            <w:shd w:val="clear" w:color="auto" w:fill="auto"/>
            <w:noWrap/>
          </w:tcPr>
          <w:p w14:paraId="3227AB8B" w14:textId="61827EB2"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$2,859</w:t>
            </w:r>
          </w:p>
        </w:tc>
        <w:tc>
          <w:tcPr>
            <w:tcW w:w="1528" w:type="dxa"/>
            <w:tcBorders>
              <w:top w:val="nil"/>
              <w:left w:val="nil"/>
              <w:bottom w:val="single" w:sz="4" w:space="0" w:color="000000"/>
              <w:right w:val="nil"/>
            </w:tcBorders>
            <w:shd w:val="clear" w:color="auto" w:fill="auto"/>
            <w:noWrap/>
          </w:tcPr>
          <w:p w14:paraId="36ECB908" w14:textId="6643587D"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17.1%</w:t>
            </w:r>
          </w:p>
        </w:tc>
        <w:tc>
          <w:tcPr>
            <w:tcW w:w="1528" w:type="dxa"/>
            <w:gridSpan w:val="2"/>
            <w:tcBorders>
              <w:top w:val="nil"/>
              <w:left w:val="nil"/>
              <w:bottom w:val="single" w:sz="4" w:space="0" w:color="000000"/>
              <w:right w:val="nil"/>
            </w:tcBorders>
            <w:shd w:val="clear" w:color="auto" w:fill="auto"/>
          </w:tcPr>
          <w:p w14:paraId="328330F6" w14:textId="40A6ADD8" w:rsidR="00CD0A1B" w:rsidRPr="00E82324" w:rsidRDefault="003A3832" w:rsidP="00CD0A1B">
            <w:pPr>
              <w:spacing w:after="0" w:line="240" w:lineRule="auto"/>
              <w:jc w:val="center"/>
              <w:rPr>
                <w:rFonts w:asciiTheme="minorHAnsi" w:hAnsiTheme="minorHAnsi" w:cs="Arial"/>
                <w:sz w:val="16"/>
                <w:szCs w:val="16"/>
              </w:rPr>
            </w:pPr>
            <w:r w:rsidRPr="00A14AAB">
              <w:t>$4,262</w:t>
            </w:r>
          </w:p>
        </w:tc>
        <w:tc>
          <w:tcPr>
            <w:tcW w:w="1528" w:type="dxa"/>
            <w:tcBorders>
              <w:top w:val="nil"/>
              <w:left w:val="nil"/>
              <w:bottom w:val="single" w:sz="4" w:space="0" w:color="000000"/>
              <w:right w:val="nil"/>
            </w:tcBorders>
            <w:shd w:val="clear" w:color="auto" w:fill="auto"/>
          </w:tcPr>
          <w:p w14:paraId="6DFA2B06" w14:textId="556809AA" w:rsidR="00CD0A1B" w:rsidRPr="00E82324" w:rsidRDefault="003A3832" w:rsidP="00CD0A1B">
            <w:pPr>
              <w:spacing w:after="0" w:line="240" w:lineRule="auto"/>
              <w:jc w:val="center"/>
              <w:rPr>
                <w:rFonts w:asciiTheme="minorHAnsi" w:hAnsiTheme="minorHAnsi" w:cs="Arial"/>
                <w:sz w:val="16"/>
                <w:szCs w:val="16"/>
              </w:rPr>
            </w:pPr>
            <w:r w:rsidRPr="00A14AAB">
              <w:t>27.5%</w:t>
            </w:r>
          </w:p>
        </w:tc>
      </w:tr>
      <w:tr w:rsidR="00CD0A1B" w:rsidRPr="00A05EB8" w14:paraId="0B788C79" w14:textId="77777777" w:rsidTr="00416131">
        <w:trPr>
          <w:trHeight w:val="210"/>
        </w:trPr>
        <w:tc>
          <w:tcPr>
            <w:tcW w:w="1528" w:type="dxa"/>
            <w:gridSpan w:val="2"/>
            <w:noWrap/>
            <w:hideMark/>
          </w:tcPr>
          <w:p w14:paraId="1FC18EFD" w14:textId="77777777" w:rsidR="00CD0A1B" w:rsidRPr="00BB165A" w:rsidRDefault="00CD0A1B" w:rsidP="00CD0A1B">
            <w:pPr>
              <w:spacing w:after="0" w:line="240" w:lineRule="auto"/>
              <w:rPr>
                <w:rFonts w:eastAsia="Times New Roman" w:cs="Arial"/>
                <w:sz w:val="16"/>
                <w:szCs w:val="14"/>
                <w:lang w:eastAsia="en-AU"/>
              </w:rPr>
            </w:pPr>
            <w:r w:rsidRPr="00BB165A">
              <w:rPr>
                <w:rFonts w:eastAsia="Times New Roman" w:cs="Arial"/>
                <w:sz w:val="16"/>
                <w:szCs w:val="14"/>
                <w:lang w:eastAsia="en-AU"/>
              </w:rPr>
              <w:t>MixedField</w:t>
            </w:r>
          </w:p>
        </w:tc>
        <w:tc>
          <w:tcPr>
            <w:tcW w:w="1528" w:type="dxa"/>
            <w:gridSpan w:val="2"/>
            <w:tcBorders>
              <w:top w:val="nil"/>
              <w:left w:val="nil"/>
              <w:bottom w:val="single" w:sz="4" w:space="0" w:color="000000"/>
              <w:right w:val="nil"/>
            </w:tcBorders>
            <w:shd w:val="clear" w:color="auto" w:fill="auto"/>
            <w:noWrap/>
          </w:tcPr>
          <w:p w14:paraId="5F9741D8" w14:textId="1347A291"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48C5F5AD" w14:textId="3E34460E"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tcBorders>
              <w:top w:val="nil"/>
              <w:left w:val="nil"/>
              <w:bottom w:val="single" w:sz="4" w:space="0" w:color="000000"/>
              <w:right w:val="nil"/>
            </w:tcBorders>
            <w:shd w:val="clear" w:color="auto" w:fill="auto"/>
            <w:noWrap/>
          </w:tcPr>
          <w:p w14:paraId="6D6ED180" w14:textId="76705575" w:rsidR="00CD0A1B" w:rsidRPr="00E82324" w:rsidRDefault="003A3832" w:rsidP="00CD0A1B">
            <w:pPr>
              <w:spacing w:after="0" w:line="240" w:lineRule="auto"/>
              <w:jc w:val="center"/>
              <w:rPr>
                <w:rFonts w:asciiTheme="minorHAnsi" w:eastAsia="Times New Roman" w:hAnsiTheme="minorHAnsi" w:cs="Arial"/>
                <w:sz w:val="16"/>
                <w:szCs w:val="16"/>
                <w:lang w:eastAsia="en-AU"/>
              </w:rPr>
            </w:pPr>
            <w:r w:rsidRPr="00F638C7">
              <w:t>-</w:t>
            </w:r>
          </w:p>
        </w:tc>
        <w:tc>
          <w:tcPr>
            <w:tcW w:w="1528" w:type="dxa"/>
            <w:gridSpan w:val="2"/>
            <w:tcBorders>
              <w:top w:val="nil"/>
              <w:left w:val="nil"/>
              <w:bottom w:val="single" w:sz="4" w:space="0" w:color="000000"/>
              <w:right w:val="nil"/>
            </w:tcBorders>
            <w:shd w:val="clear" w:color="auto" w:fill="auto"/>
          </w:tcPr>
          <w:p w14:paraId="4F680BAB" w14:textId="4E8B698E" w:rsidR="00CD0A1B" w:rsidRPr="00E82324" w:rsidRDefault="003A3832" w:rsidP="00CD0A1B">
            <w:pPr>
              <w:spacing w:after="0" w:line="240" w:lineRule="auto"/>
              <w:jc w:val="center"/>
              <w:rPr>
                <w:rFonts w:asciiTheme="minorHAnsi" w:hAnsiTheme="minorHAnsi" w:cs="Arial"/>
                <w:sz w:val="16"/>
                <w:szCs w:val="16"/>
              </w:rPr>
            </w:pPr>
            <w:r w:rsidRPr="00A14AAB">
              <w:t>-</w:t>
            </w:r>
          </w:p>
        </w:tc>
        <w:tc>
          <w:tcPr>
            <w:tcW w:w="1528" w:type="dxa"/>
            <w:tcBorders>
              <w:top w:val="nil"/>
              <w:left w:val="nil"/>
              <w:bottom w:val="single" w:sz="4" w:space="0" w:color="000000"/>
              <w:right w:val="nil"/>
            </w:tcBorders>
            <w:shd w:val="clear" w:color="auto" w:fill="auto"/>
          </w:tcPr>
          <w:p w14:paraId="659475D0" w14:textId="555D56C2" w:rsidR="00CD0A1B" w:rsidRPr="00E82324" w:rsidRDefault="003A3832" w:rsidP="00CD0A1B">
            <w:pPr>
              <w:spacing w:after="0" w:line="240" w:lineRule="auto"/>
              <w:jc w:val="center"/>
              <w:rPr>
                <w:rFonts w:asciiTheme="minorHAnsi" w:hAnsiTheme="minorHAnsi" w:cs="Arial"/>
                <w:sz w:val="16"/>
                <w:szCs w:val="16"/>
              </w:rPr>
            </w:pPr>
            <w:r w:rsidRPr="00A14AAB">
              <w:t>-</w:t>
            </w:r>
          </w:p>
        </w:tc>
      </w:tr>
      <w:tr w:rsidR="00CD0A1B" w:rsidRPr="00A06500" w14:paraId="56D7FCE6" w14:textId="77777777" w:rsidTr="00416131">
        <w:trPr>
          <w:trHeight w:val="210"/>
        </w:trPr>
        <w:tc>
          <w:tcPr>
            <w:tcW w:w="1528" w:type="dxa"/>
            <w:gridSpan w:val="2"/>
            <w:noWrap/>
            <w:hideMark/>
          </w:tcPr>
          <w:p w14:paraId="2AB1C49E" w14:textId="77777777" w:rsidR="00CD0A1B" w:rsidRPr="00BB165A" w:rsidRDefault="00CD0A1B" w:rsidP="00CD0A1B">
            <w:pPr>
              <w:spacing w:after="0" w:line="240" w:lineRule="auto"/>
              <w:rPr>
                <w:rFonts w:eastAsia="Times New Roman" w:cs="Arial"/>
                <w:b/>
                <w:sz w:val="16"/>
                <w:szCs w:val="14"/>
                <w:lang w:eastAsia="en-AU"/>
              </w:rPr>
            </w:pPr>
            <w:r w:rsidRPr="00BB165A">
              <w:rPr>
                <w:rFonts w:eastAsia="Times New Roman" w:cs="Arial"/>
                <w:b/>
                <w:sz w:val="16"/>
                <w:szCs w:val="14"/>
                <w:lang w:eastAsia="en-AU"/>
              </w:rPr>
              <w:t>Total</w:t>
            </w:r>
          </w:p>
        </w:tc>
        <w:tc>
          <w:tcPr>
            <w:tcW w:w="1528" w:type="dxa"/>
            <w:gridSpan w:val="2"/>
            <w:tcBorders>
              <w:top w:val="nil"/>
              <w:left w:val="nil"/>
              <w:bottom w:val="single" w:sz="4" w:space="0" w:color="auto"/>
              <w:right w:val="nil"/>
            </w:tcBorders>
            <w:shd w:val="clear" w:color="auto" w:fill="auto"/>
            <w:noWrap/>
          </w:tcPr>
          <w:p w14:paraId="00D09FE5" w14:textId="78D63913" w:rsidR="00CD0A1B" w:rsidRPr="00883736" w:rsidRDefault="003A3832" w:rsidP="00CD0A1B">
            <w:pPr>
              <w:spacing w:after="0" w:line="240" w:lineRule="auto"/>
              <w:jc w:val="center"/>
              <w:rPr>
                <w:rFonts w:asciiTheme="minorHAnsi" w:eastAsia="Times New Roman" w:hAnsiTheme="minorHAnsi" w:cs="Arial"/>
                <w:b/>
                <w:sz w:val="16"/>
                <w:szCs w:val="16"/>
                <w:lang w:eastAsia="en-AU"/>
              </w:rPr>
            </w:pPr>
            <w:r w:rsidRPr="00416131">
              <w:rPr>
                <w:b/>
                <w:bCs/>
              </w:rPr>
              <w:t>$115,022,220</w:t>
            </w:r>
          </w:p>
        </w:tc>
        <w:tc>
          <w:tcPr>
            <w:tcW w:w="1528" w:type="dxa"/>
            <w:tcBorders>
              <w:top w:val="nil"/>
              <w:left w:val="nil"/>
              <w:bottom w:val="single" w:sz="4" w:space="0" w:color="auto"/>
              <w:right w:val="nil"/>
            </w:tcBorders>
            <w:shd w:val="clear" w:color="auto" w:fill="auto"/>
            <w:noWrap/>
          </w:tcPr>
          <w:p w14:paraId="5E92B409" w14:textId="4D587D9F" w:rsidR="00CD0A1B" w:rsidRPr="00883736" w:rsidRDefault="003A3832" w:rsidP="00CD0A1B">
            <w:pPr>
              <w:spacing w:after="0" w:line="240" w:lineRule="auto"/>
              <w:jc w:val="center"/>
              <w:rPr>
                <w:rFonts w:asciiTheme="minorHAnsi" w:eastAsia="Times New Roman" w:hAnsiTheme="minorHAnsi" w:cs="Arial"/>
                <w:b/>
                <w:sz w:val="16"/>
                <w:szCs w:val="16"/>
                <w:lang w:eastAsia="en-AU"/>
              </w:rPr>
            </w:pPr>
            <w:r w:rsidRPr="00416131">
              <w:rPr>
                <w:b/>
                <w:bCs/>
              </w:rPr>
              <w:t>$125</w:t>
            </w:r>
          </w:p>
        </w:tc>
        <w:tc>
          <w:tcPr>
            <w:tcW w:w="1528" w:type="dxa"/>
            <w:tcBorders>
              <w:top w:val="nil"/>
              <w:left w:val="nil"/>
              <w:bottom w:val="single" w:sz="4" w:space="0" w:color="auto"/>
              <w:right w:val="nil"/>
            </w:tcBorders>
            <w:shd w:val="clear" w:color="auto" w:fill="auto"/>
            <w:noWrap/>
          </w:tcPr>
          <w:p w14:paraId="3D119EAE" w14:textId="56D81002" w:rsidR="00CD0A1B" w:rsidRPr="00883736" w:rsidRDefault="003A3832" w:rsidP="00CD0A1B">
            <w:pPr>
              <w:spacing w:after="0" w:line="240" w:lineRule="auto"/>
              <w:jc w:val="center"/>
              <w:rPr>
                <w:rFonts w:asciiTheme="minorHAnsi" w:eastAsia="Times New Roman" w:hAnsiTheme="minorHAnsi" w:cs="Arial"/>
                <w:b/>
                <w:sz w:val="16"/>
                <w:szCs w:val="16"/>
                <w:lang w:eastAsia="en-AU"/>
              </w:rPr>
            </w:pPr>
            <w:r w:rsidRPr="00416131">
              <w:rPr>
                <w:b/>
                <w:bCs/>
              </w:rPr>
              <w:t>0.7%</w:t>
            </w:r>
          </w:p>
        </w:tc>
        <w:tc>
          <w:tcPr>
            <w:tcW w:w="1528" w:type="dxa"/>
            <w:gridSpan w:val="2"/>
            <w:tcBorders>
              <w:top w:val="nil"/>
              <w:left w:val="nil"/>
              <w:bottom w:val="single" w:sz="4" w:space="0" w:color="auto"/>
              <w:right w:val="nil"/>
            </w:tcBorders>
            <w:shd w:val="clear" w:color="auto" w:fill="auto"/>
          </w:tcPr>
          <w:p w14:paraId="68013D3E" w14:textId="39EAEF00" w:rsidR="00CD0A1B" w:rsidRPr="00883736" w:rsidRDefault="003A3832" w:rsidP="00CD0A1B">
            <w:pPr>
              <w:spacing w:after="0" w:line="240" w:lineRule="auto"/>
              <w:jc w:val="center"/>
              <w:rPr>
                <w:rFonts w:asciiTheme="minorHAnsi" w:hAnsiTheme="minorHAnsi" w:cs="Arial"/>
                <w:b/>
                <w:sz w:val="16"/>
                <w:szCs w:val="16"/>
              </w:rPr>
            </w:pPr>
            <w:r w:rsidRPr="00416131">
              <w:rPr>
                <w:b/>
                <w:bCs/>
              </w:rPr>
              <w:t>$735</w:t>
            </w:r>
          </w:p>
        </w:tc>
        <w:tc>
          <w:tcPr>
            <w:tcW w:w="1528" w:type="dxa"/>
            <w:tcBorders>
              <w:top w:val="nil"/>
              <w:left w:val="nil"/>
              <w:bottom w:val="single" w:sz="4" w:space="0" w:color="auto"/>
              <w:right w:val="nil"/>
            </w:tcBorders>
            <w:shd w:val="clear" w:color="auto" w:fill="auto"/>
          </w:tcPr>
          <w:p w14:paraId="12977108" w14:textId="04DF976A" w:rsidR="00CD0A1B" w:rsidRPr="00883736" w:rsidRDefault="003A3832" w:rsidP="00CD0A1B">
            <w:pPr>
              <w:spacing w:after="0" w:line="240" w:lineRule="auto"/>
              <w:jc w:val="center"/>
              <w:rPr>
                <w:rFonts w:asciiTheme="minorHAnsi" w:hAnsiTheme="minorHAnsi" w:cs="Arial"/>
                <w:b/>
                <w:sz w:val="16"/>
                <w:szCs w:val="16"/>
              </w:rPr>
            </w:pPr>
            <w:r w:rsidRPr="00416131">
              <w:rPr>
                <w:b/>
                <w:bCs/>
              </w:rPr>
              <w:t>3.5%</w:t>
            </w:r>
          </w:p>
        </w:tc>
      </w:tr>
    </w:tbl>
    <w:p w14:paraId="3D63A99B" w14:textId="77777777" w:rsidR="00A05EB8" w:rsidRPr="00BB165A" w:rsidRDefault="00A05EB8" w:rsidP="00416131">
      <w:pPr>
        <w:rPr>
          <w:color w:val="75787B" w:themeColor="accent6"/>
          <w:sz w:val="14"/>
        </w:rPr>
      </w:pPr>
      <w:r w:rsidRPr="00BB165A">
        <w:rPr>
          <w:sz w:val="14"/>
        </w:rPr>
        <w:br w:type="page"/>
      </w:r>
    </w:p>
    <w:p w14:paraId="6B0DDABE" w14:textId="06696462" w:rsidR="00A06500" w:rsidRPr="00BB165A" w:rsidRDefault="00A06500" w:rsidP="00A06500">
      <w:pPr>
        <w:pStyle w:val="CaptionTable"/>
      </w:pPr>
      <w:bookmarkStart w:id="649" w:name="_Toc105776717"/>
      <w:r w:rsidRPr="00BB165A">
        <w:t xml:space="preserve">: Impact of additional partnership costs on total teaching and scholarship costs </w:t>
      </w:r>
      <w:r w:rsidR="00A05EB8" w:rsidRPr="00BB165A">
        <w:t>(</w:t>
      </w:r>
      <w:r w:rsidRPr="00BB165A">
        <w:t>2020</w:t>
      </w:r>
      <w:r w:rsidR="00A05EB8" w:rsidRPr="00BB165A">
        <w:t>)</w:t>
      </w:r>
      <w:bookmarkEnd w:id="649"/>
    </w:p>
    <w:tbl>
      <w:tblPr>
        <w:tblStyle w:val="Deloittetable"/>
        <w:tblW w:w="9072" w:type="dxa"/>
        <w:tblLayout w:type="fixed"/>
        <w:tblLook w:val="04A0" w:firstRow="1" w:lastRow="0" w:firstColumn="1" w:lastColumn="0" w:noHBand="0" w:noVBand="1"/>
      </w:tblPr>
      <w:tblGrid>
        <w:gridCol w:w="6"/>
        <w:gridCol w:w="1549"/>
        <w:gridCol w:w="1265"/>
        <w:gridCol w:w="1550"/>
        <w:gridCol w:w="1548"/>
        <w:gridCol w:w="1548"/>
        <w:gridCol w:w="1606"/>
      </w:tblGrid>
      <w:tr w:rsidR="00A06500" w:rsidRPr="00B10DAE" w14:paraId="0D4890F3" w14:textId="77777777" w:rsidTr="00274741">
        <w:trPr>
          <w:cnfStyle w:val="100000000000" w:firstRow="1" w:lastRow="0" w:firstColumn="0" w:lastColumn="0" w:oddVBand="0" w:evenVBand="0" w:oddHBand="0" w:evenHBand="0" w:firstRowFirstColumn="0" w:firstRowLastColumn="0" w:lastRowFirstColumn="0" w:lastRowLastColumn="0"/>
          <w:trHeight w:val="446"/>
        </w:trPr>
        <w:tc>
          <w:tcPr>
            <w:tcW w:w="1555" w:type="dxa"/>
            <w:gridSpan w:val="2"/>
            <w:noWrap/>
            <w:hideMark/>
          </w:tcPr>
          <w:p w14:paraId="0D8DA0AA" w14:textId="5C4A1229" w:rsidR="00A06500" w:rsidRPr="00BB165A" w:rsidRDefault="00A06500" w:rsidP="00274741">
            <w:pPr>
              <w:spacing w:after="0" w:line="240" w:lineRule="auto"/>
              <w:rPr>
                <w:rFonts w:eastAsia="Times New Roman" w:cs="Arial"/>
                <w:b/>
                <w:sz w:val="16"/>
                <w:szCs w:val="16"/>
                <w:lang w:eastAsia="en-AU"/>
              </w:rPr>
            </w:pPr>
            <w:r w:rsidRPr="00BB165A">
              <w:rPr>
                <w:rFonts w:eastAsia="Times New Roman" w:cs="Arial"/>
                <w:sz w:val="16"/>
                <w:szCs w:val="16"/>
                <w:lang w:eastAsia="en-AU"/>
              </w:rPr>
              <w:t> </w:t>
            </w:r>
            <w:r w:rsidR="00B70C2F">
              <w:rPr>
                <w:rFonts w:eastAsia="Times New Roman" w:cs="Arial"/>
                <w:b/>
                <w:sz w:val="16"/>
                <w:szCs w:val="16"/>
                <w:lang w:eastAsia="en-AU"/>
              </w:rPr>
              <w:t>FOE</w:t>
            </w:r>
          </w:p>
        </w:tc>
        <w:tc>
          <w:tcPr>
            <w:tcW w:w="1265" w:type="dxa"/>
            <w:noWrap/>
            <w:hideMark/>
          </w:tcPr>
          <w:p w14:paraId="0D595421" w14:textId="77777777" w:rsidR="00A06500" w:rsidRPr="00BB165A" w:rsidRDefault="00A06500"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total cost</w:t>
            </w:r>
          </w:p>
        </w:tc>
        <w:tc>
          <w:tcPr>
            <w:tcW w:w="1550" w:type="dxa"/>
            <w:noWrap/>
            <w:hideMark/>
          </w:tcPr>
          <w:p w14:paraId="36FD3C92" w14:textId="77777777" w:rsidR="00A06500" w:rsidRPr="00BB165A" w:rsidRDefault="00A06500"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548" w:type="dxa"/>
            <w:hideMark/>
          </w:tcPr>
          <w:p w14:paraId="2C098AED" w14:textId="77777777" w:rsidR="00A06500" w:rsidRPr="00BB165A" w:rsidRDefault="00A06500"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c>
          <w:tcPr>
            <w:tcW w:w="1548" w:type="dxa"/>
          </w:tcPr>
          <w:p w14:paraId="0523706E" w14:textId="77777777" w:rsidR="00A06500" w:rsidRPr="00BB165A" w:rsidRDefault="00A06500"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606" w:type="dxa"/>
          </w:tcPr>
          <w:p w14:paraId="3B9CE6A1" w14:textId="77777777" w:rsidR="00A06500" w:rsidRPr="00BB165A" w:rsidRDefault="00A06500"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r>
      <w:tr w:rsidR="007E5AB1" w:rsidRPr="00B10DAE" w14:paraId="74A2EA35" w14:textId="77777777" w:rsidTr="00CF722A">
        <w:trPr>
          <w:gridBefore w:val="1"/>
          <w:wBefore w:w="6" w:type="dxa"/>
          <w:trHeight w:val="446"/>
        </w:trPr>
        <w:tc>
          <w:tcPr>
            <w:tcW w:w="1549" w:type="dxa"/>
            <w:noWrap/>
          </w:tcPr>
          <w:p w14:paraId="33ED6151" w14:textId="77777777" w:rsidR="007E5AB1" w:rsidRPr="00BB165A" w:rsidRDefault="007E5AB1" w:rsidP="00274741">
            <w:pPr>
              <w:spacing w:after="0" w:line="240" w:lineRule="auto"/>
              <w:rPr>
                <w:rFonts w:eastAsia="Times New Roman" w:cs="Arial"/>
                <w:sz w:val="16"/>
                <w:szCs w:val="16"/>
                <w:lang w:eastAsia="en-AU"/>
              </w:rPr>
            </w:pPr>
          </w:p>
        </w:tc>
        <w:tc>
          <w:tcPr>
            <w:tcW w:w="4363" w:type="dxa"/>
            <w:gridSpan w:val="3"/>
            <w:noWrap/>
          </w:tcPr>
          <w:p w14:paraId="0B9D8C90" w14:textId="77777777" w:rsidR="007E5AB1" w:rsidRPr="00BB165A" w:rsidRDefault="007E5AB1"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3154" w:type="dxa"/>
            <w:gridSpan w:val="2"/>
          </w:tcPr>
          <w:p w14:paraId="362626B6" w14:textId="77777777" w:rsidR="007E5AB1" w:rsidRPr="00BB165A" w:rsidRDefault="007E5AB1"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 xml:space="preserve">Universities who reported </w:t>
            </w:r>
          </w:p>
          <w:p w14:paraId="70A7E902" w14:textId="7868767C" w:rsidR="007E5AB1" w:rsidRPr="00BB165A" w:rsidRDefault="007E5AB1"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partnership costs</w:t>
            </w:r>
          </w:p>
        </w:tc>
      </w:tr>
      <w:tr w:rsidR="00981BF0" w:rsidRPr="00B10DAE" w14:paraId="64A6C829" w14:textId="77777777" w:rsidTr="00416131">
        <w:trPr>
          <w:trHeight w:val="210"/>
        </w:trPr>
        <w:tc>
          <w:tcPr>
            <w:tcW w:w="0" w:type="dxa"/>
            <w:gridSpan w:val="2"/>
            <w:noWrap/>
            <w:hideMark/>
          </w:tcPr>
          <w:p w14:paraId="28FFF675"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MathSci</w:t>
            </w:r>
          </w:p>
        </w:tc>
        <w:tc>
          <w:tcPr>
            <w:tcW w:w="0" w:type="dxa"/>
            <w:tcBorders>
              <w:top w:val="single" w:sz="4" w:space="0" w:color="000000"/>
              <w:left w:val="nil"/>
              <w:bottom w:val="single" w:sz="4" w:space="0" w:color="000000"/>
              <w:right w:val="nil"/>
            </w:tcBorders>
            <w:shd w:val="clear" w:color="auto" w:fill="auto"/>
            <w:noWrap/>
          </w:tcPr>
          <w:p w14:paraId="7E9E9C13" w14:textId="7516D06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$310,959</w:t>
            </w:r>
          </w:p>
        </w:tc>
        <w:tc>
          <w:tcPr>
            <w:tcW w:w="0" w:type="dxa"/>
            <w:tcBorders>
              <w:top w:val="single" w:sz="4" w:space="0" w:color="000000"/>
              <w:left w:val="nil"/>
              <w:bottom w:val="single" w:sz="4" w:space="0" w:color="000000"/>
              <w:right w:val="nil"/>
            </w:tcBorders>
            <w:shd w:val="clear" w:color="auto" w:fill="auto"/>
            <w:noWrap/>
          </w:tcPr>
          <w:p w14:paraId="25D6803C" w14:textId="0746E401"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$10</w:t>
            </w:r>
          </w:p>
        </w:tc>
        <w:tc>
          <w:tcPr>
            <w:tcW w:w="0" w:type="dxa"/>
            <w:tcBorders>
              <w:top w:val="single" w:sz="4" w:space="0" w:color="000000"/>
              <w:left w:val="nil"/>
              <w:bottom w:val="single" w:sz="4" w:space="0" w:color="000000"/>
              <w:right w:val="nil"/>
            </w:tcBorders>
            <w:shd w:val="clear" w:color="auto" w:fill="auto"/>
            <w:noWrap/>
          </w:tcPr>
          <w:p w14:paraId="3102570A" w14:textId="45A5BE5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0.1%</w:t>
            </w:r>
          </w:p>
        </w:tc>
        <w:tc>
          <w:tcPr>
            <w:tcW w:w="0" w:type="dxa"/>
            <w:tcBorders>
              <w:top w:val="single" w:sz="4" w:space="0" w:color="000000"/>
              <w:left w:val="nil"/>
              <w:bottom w:val="single" w:sz="4" w:space="0" w:color="000000"/>
              <w:right w:val="nil"/>
            </w:tcBorders>
            <w:shd w:val="clear" w:color="auto" w:fill="auto"/>
          </w:tcPr>
          <w:p w14:paraId="41D1DAEC" w14:textId="02834654" w:rsidR="00981BF0" w:rsidRPr="005B667B" w:rsidRDefault="00EE3602" w:rsidP="00981BF0">
            <w:pPr>
              <w:spacing w:after="0" w:line="240" w:lineRule="auto"/>
              <w:jc w:val="center"/>
              <w:rPr>
                <w:rFonts w:asciiTheme="minorHAnsi" w:hAnsiTheme="minorHAnsi" w:cs="Arial"/>
                <w:sz w:val="16"/>
                <w:szCs w:val="16"/>
              </w:rPr>
            </w:pPr>
            <w:r w:rsidRPr="00245F0F">
              <w:t>$216</w:t>
            </w:r>
          </w:p>
        </w:tc>
        <w:tc>
          <w:tcPr>
            <w:tcW w:w="0" w:type="dxa"/>
            <w:tcBorders>
              <w:top w:val="single" w:sz="4" w:space="0" w:color="000000"/>
              <w:left w:val="nil"/>
              <w:bottom w:val="single" w:sz="4" w:space="0" w:color="000000"/>
              <w:right w:val="nil"/>
            </w:tcBorders>
            <w:shd w:val="clear" w:color="auto" w:fill="auto"/>
          </w:tcPr>
          <w:p w14:paraId="2AC863BB" w14:textId="012DC5A2" w:rsidR="00981BF0" w:rsidRPr="005B667B" w:rsidRDefault="00EE3602" w:rsidP="00981BF0">
            <w:pPr>
              <w:spacing w:after="0" w:line="240" w:lineRule="auto"/>
              <w:jc w:val="center"/>
              <w:rPr>
                <w:rFonts w:asciiTheme="minorHAnsi" w:hAnsiTheme="minorHAnsi" w:cs="Arial"/>
                <w:sz w:val="16"/>
                <w:szCs w:val="16"/>
              </w:rPr>
            </w:pPr>
            <w:r w:rsidRPr="00245F0F">
              <w:t>1.3%</w:t>
            </w:r>
          </w:p>
        </w:tc>
      </w:tr>
      <w:tr w:rsidR="00981BF0" w:rsidRPr="00B10DAE" w14:paraId="6DC4B029" w14:textId="77777777" w:rsidTr="00416131">
        <w:trPr>
          <w:trHeight w:val="210"/>
        </w:trPr>
        <w:tc>
          <w:tcPr>
            <w:tcW w:w="0" w:type="dxa"/>
            <w:gridSpan w:val="2"/>
            <w:noWrap/>
            <w:hideMark/>
          </w:tcPr>
          <w:p w14:paraId="6D59B4D1"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MedicalSci</w:t>
            </w:r>
          </w:p>
        </w:tc>
        <w:tc>
          <w:tcPr>
            <w:tcW w:w="0" w:type="dxa"/>
            <w:tcBorders>
              <w:top w:val="nil"/>
              <w:left w:val="nil"/>
              <w:bottom w:val="single" w:sz="4" w:space="0" w:color="000000"/>
              <w:right w:val="nil"/>
            </w:tcBorders>
            <w:shd w:val="clear" w:color="auto" w:fill="auto"/>
            <w:noWrap/>
          </w:tcPr>
          <w:p w14:paraId="257AB3A8" w14:textId="54038569"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6F4B0613" w14:textId="2621E867"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2C350323" w14:textId="7DDD874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tcPr>
          <w:p w14:paraId="08C60F7D" w14:textId="369C13DA" w:rsidR="00981BF0" w:rsidRPr="005B667B" w:rsidRDefault="00EE3602" w:rsidP="00981BF0">
            <w:pPr>
              <w:spacing w:after="0" w:line="240" w:lineRule="auto"/>
              <w:jc w:val="center"/>
              <w:rPr>
                <w:rFonts w:asciiTheme="minorHAnsi" w:hAnsiTheme="minorHAnsi" w:cs="Arial"/>
                <w:sz w:val="16"/>
                <w:szCs w:val="16"/>
              </w:rPr>
            </w:pPr>
            <w:r w:rsidRPr="00245F0F">
              <w:t>-</w:t>
            </w:r>
          </w:p>
        </w:tc>
        <w:tc>
          <w:tcPr>
            <w:tcW w:w="0" w:type="dxa"/>
            <w:tcBorders>
              <w:top w:val="nil"/>
              <w:left w:val="nil"/>
              <w:bottom w:val="single" w:sz="4" w:space="0" w:color="000000"/>
              <w:right w:val="nil"/>
            </w:tcBorders>
            <w:shd w:val="clear" w:color="auto" w:fill="auto"/>
          </w:tcPr>
          <w:p w14:paraId="314CE39C" w14:textId="1CB25050" w:rsidR="00981BF0" w:rsidRPr="005B667B" w:rsidRDefault="00EE3602" w:rsidP="00981BF0">
            <w:pPr>
              <w:spacing w:after="0" w:line="240" w:lineRule="auto"/>
              <w:jc w:val="center"/>
              <w:rPr>
                <w:rFonts w:asciiTheme="minorHAnsi" w:hAnsiTheme="minorHAnsi" w:cs="Arial"/>
                <w:sz w:val="16"/>
                <w:szCs w:val="16"/>
              </w:rPr>
            </w:pPr>
            <w:r w:rsidRPr="00245F0F">
              <w:t>-</w:t>
            </w:r>
          </w:p>
        </w:tc>
      </w:tr>
      <w:tr w:rsidR="00981BF0" w:rsidRPr="00B10DAE" w14:paraId="09D8A1F2" w14:textId="77777777" w:rsidTr="00416131">
        <w:trPr>
          <w:trHeight w:val="210"/>
        </w:trPr>
        <w:tc>
          <w:tcPr>
            <w:tcW w:w="0" w:type="dxa"/>
            <w:gridSpan w:val="2"/>
            <w:noWrap/>
            <w:hideMark/>
          </w:tcPr>
          <w:p w14:paraId="2DA70297"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OthNat-PhysSci</w:t>
            </w:r>
          </w:p>
        </w:tc>
        <w:tc>
          <w:tcPr>
            <w:tcW w:w="0" w:type="dxa"/>
            <w:tcBorders>
              <w:top w:val="nil"/>
              <w:left w:val="nil"/>
              <w:bottom w:val="single" w:sz="4" w:space="0" w:color="000000"/>
              <w:right w:val="nil"/>
            </w:tcBorders>
            <w:shd w:val="clear" w:color="auto" w:fill="auto"/>
            <w:noWrap/>
          </w:tcPr>
          <w:p w14:paraId="7B1B31B2" w14:textId="7FBFD6C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$57,716</w:t>
            </w:r>
          </w:p>
        </w:tc>
        <w:tc>
          <w:tcPr>
            <w:tcW w:w="0" w:type="dxa"/>
            <w:tcBorders>
              <w:top w:val="nil"/>
              <w:left w:val="nil"/>
              <w:bottom w:val="single" w:sz="4" w:space="0" w:color="000000"/>
              <w:right w:val="nil"/>
            </w:tcBorders>
            <w:shd w:val="clear" w:color="auto" w:fill="auto"/>
            <w:noWrap/>
          </w:tcPr>
          <w:p w14:paraId="5D4E6782" w14:textId="7D9FF964"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w:t>
            </w:r>
          </w:p>
        </w:tc>
        <w:tc>
          <w:tcPr>
            <w:tcW w:w="0" w:type="dxa"/>
            <w:tcBorders>
              <w:top w:val="nil"/>
              <w:left w:val="nil"/>
              <w:bottom w:val="single" w:sz="4" w:space="0" w:color="000000"/>
              <w:right w:val="nil"/>
            </w:tcBorders>
            <w:shd w:val="clear" w:color="auto" w:fill="auto"/>
            <w:noWrap/>
          </w:tcPr>
          <w:p w14:paraId="23E5CB28" w14:textId="7D2F74D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0.0%</w:t>
            </w:r>
          </w:p>
        </w:tc>
        <w:tc>
          <w:tcPr>
            <w:tcW w:w="0" w:type="dxa"/>
            <w:tcBorders>
              <w:top w:val="nil"/>
              <w:left w:val="nil"/>
              <w:bottom w:val="single" w:sz="4" w:space="0" w:color="000000"/>
              <w:right w:val="nil"/>
            </w:tcBorders>
            <w:shd w:val="clear" w:color="auto" w:fill="auto"/>
          </w:tcPr>
          <w:p w14:paraId="41AF8AB5" w14:textId="20A1BA77" w:rsidR="00981BF0" w:rsidRPr="005B667B" w:rsidRDefault="00EE3602" w:rsidP="00981BF0">
            <w:pPr>
              <w:spacing w:after="0" w:line="240" w:lineRule="auto"/>
              <w:jc w:val="center"/>
              <w:rPr>
                <w:rFonts w:asciiTheme="minorHAnsi" w:hAnsiTheme="minorHAnsi" w:cs="Arial"/>
                <w:sz w:val="16"/>
                <w:szCs w:val="16"/>
              </w:rPr>
            </w:pPr>
            <w:r w:rsidRPr="00245F0F">
              <w:t>$27</w:t>
            </w:r>
          </w:p>
        </w:tc>
        <w:tc>
          <w:tcPr>
            <w:tcW w:w="0" w:type="dxa"/>
            <w:tcBorders>
              <w:top w:val="nil"/>
              <w:left w:val="nil"/>
              <w:bottom w:val="single" w:sz="4" w:space="0" w:color="000000"/>
              <w:right w:val="nil"/>
            </w:tcBorders>
            <w:shd w:val="clear" w:color="auto" w:fill="auto"/>
          </w:tcPr>
          <w:p w14:paraId="06691F0B" w14:textId="777B2BC9" w:rsidR="00981BF0" w:rsidRPr="005B667B" w:rsidRDefault="00EE3602" w:rsidP="00981BF0">
            <w:pPr>
              <w:spacing w:after="0" w:line="240" w:lineRule="auto"/>
              <w:jc w:val="center"/>
              <w:rPr>
                <w:rFonts w:asciiTheme="minorHAnsi" w:hAnsiTheme="minorHAnsi" w:cs="Arial"/>
                <w:sz w:val="16"/>
                <w:szCs w:val="16"/>
              </w:rPr>
            </w:pPr>
            <w:r w:rsidRPr="00245F0F">
              <w:t>0.1%</w:t>
            </w:r>
          </w:p>
        </w:tc>
      </w:tr>
      <w:tr w:rsidR="00981BF0" w:rsidRPr="00B10DAE" w14:paraId="05F6A9B9" w14:textId="77777777" w:rsidTr="00416131">
        <w:trPr>
          <w:trHeight w:val="210"/>
        </w:trPr>
        <w:tc>
          <w:tcPr>
            <w:tcW w:w="0" w:type="dxa"/>
            <w:gridSpan w:val="2"/>
            <w:noWrap/>
            <w:hideMark/>
          </w:tcPr>
          <w:p w14:paraId="56C97630"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InfoTech</w:t>
            </w:r>
          </w:p>
        </w:tc>
        <w:tc>
          <w:tcPr>
            <w:tcW w:w="0" w:type="dxa"/>
            <w:tcBorders>
              <w:top w:val="nil"/>
              <w:left w:val="nil"/>
              <w:bottom w:val="single" w:sz="4" w:space="0" w:color="000000"/>
              <w:right w:val="nil"/>
            </w:tcBorders>
            <w:shd w:val="clear" w:color="auto" w:fill="auto"/>
            <w:noWrap/>
          </w:tcPr>
          <w:p w14:paraId="09C7EEE6" w14:textId="4B4BC5F0"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$19,127,262</w:t>
            </w:r>
          </w:p>
        </w:tc>
        <w:tc>
          <w:tcPr>
            <w:tcW w:w="0" w:type="dxa"/>
            <w:tcBorders>
              <w:top w:val="nil"/>
              <w:left w:val="nil"/>
              <w:bottom w:val="single" w:sz="4" w:space="0" w:color="000000"/>
              <w:right w:val="nil"/>
            </w:tcBorders>
            <w:shd w:val="clear" w:color="auto" w:fill="auto"/>
            <w:noWrap/>
          </w:tcPr>
          <w:p w14:paraId="5624B0C4" w14:textId="34F57536"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$289</w:t>
            </w:r>
          </w:p>
        </w:tc>
        <w:tc>
          <w:tcPr>
            <w:tcW w:w="0" w:type="dxa"/>
            <w:tcBorders>
              <w:top w:val="nil"/>
              <w:left w:val="nil"/>
              <w:bottom w:val="single" w:sz="4" w:space="0" w:color="000000"/>
              <w:right w:val="nil"/>
            </w:tcBorders>
            <w:shd w:val="clear" w:color="auto" w:fill="auto"/>
            <w:noWrap/>
          </w:tcPr>
          <w:p w14:paraId="589E266B" w14:textId="479E571B"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1.6%</w:t>
            </w:r>
          </w:p>
        </w:tc>
        <w:tc>
          <w:tcPr>
            <w:tcW w:w="0" w:type="dxa"/>
            <w:tcBorders>
              <w:top w:val="nil"/>
              <w:left w:val="nil"/>
              <w:bottom w:val="single" w:sz="4" w:space="0" w:color="000000"/>
              <w:right w:val="nil"/>
            </w:tcBorders>
            <w:shd w:val="clear" w:color="auto" w:fill="auto"/>
          </w:tcPr>
          <w:p w14:paraId="4634C132" w14:textId="20809362" w:rsidR="00981BF0" w:rsidRPr="005B667B" w:rsidRDefault="00EE3602" w:rsidP="00981BF0">
            <w:pPr>
              <w:spacing w:after="0" w:line="240" w:lineRule="auto"/>
              <w:jc w:val="center"/>
              <w:rPr>
                <w:rFonts w:asciiTheme="minorHAnsi" w:hAnsiTheme="minorHAnsi" w:cs="Arial"/>
                <w:sz w:val="16"/>
                <w:szCs w:val="16"/>
              </w:rPr>
            </w:pPr>
            <w:r w:rsidRPr="00245F0F">
              <w:t>$3,088</w:t>
            </w:r>
          </w:p>
        </w:tc>
        <w:tc>
          <w:tcPr>
            <w:tcW w:w="0" w:type="dxa"/>
            <w:tcBorders>
              <w:top w:val="nil"/>
              <w:left w:val="nil"/>
              <w:bottom w:val="single" w:sz="4" w:space="0" w:color="000000"/>
              <w:right w:val="nil"/>
            </w:tcBorders>
            <w:shd w:val="clear" w:color="auto" w:fill="auto"/>
          </w:tcPr>
          <w:p w14:paraId="70E46B56" w14:textId="7FA2D1A4" w:rsidR="00981BF0" w:rsidRPr="005B667B" w:rsidRDefault="00EE3602" w:rsidP="00981BF0">
            <w:pPr>
              <w:spacing w:after="0" w:line="240" w:lineRule="auto"/>
              <w:jc w:val="center"/>
              <w:rPr>
                <w:rFonts w:asciiTheme="minorHAnsi" w:hAnsiTheme="minorHAnsi" w:cs="Arial"/>
                <w:sz w:val="16"/>
                <w:szCs w:val="16"/>
              </w:rPr>
            </w:pPr>
            <w:r w:rsidRPr="00245F0F">
              <w:t>18.8%</w:t>
            </w:r>
          </w:p>
        </w:tc>
      </w:tr>
      <w:tr w:rsidR="00981BF0" w:rsidRPr="00B10DAE" w14:paraId="31120629" w14:textId="77777777" w:rsidTr="00416131">
        <w:trPr>
          <w:trHeight w:val="210"/>
        </w:trPr>
        <w:tc>
          <w:tcPr>
            <w:tcW w:w="0" w:type="dxa"/>
            <w:gridSpan w:val="2"/>
            <w:noWrap/>
            <w:hideMark/>
          </w:tcPr>
          <w:p w14:paraId="62D9CBD6"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Eng&amp;Related</w:t>
            </w:r>
          </w:p>
        </w:tc>
        <w:tc>
          <w:tcPr>
            <w:tcW w:w="0" w:type="dxa"/>
            <w:tcBorders>
              <w:top w:val="nil"/>
              <w:left w:val="nil"/>
              <w:bottom w:val="single" w:sz="4" w:space="0" w:color="000000"/>
              <w:right w:val="nil"/>
            </w:tcBorders>
            <w:shd w:val="clear" w:color="auto" w:fill="auto"/>
            <w:noWrap/>
          </w:tcPr>
          <w:p w14:paraId="586DC255" w14:textId="245185E1"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$1,819,033</w:t>
            </w:r>
          </w:p>
        </w:tc>
        <w:tc>
          <w:tcPr>
            <w:tcW w:w="0" w:type="dxa"/>
            <w:tcBorders>
              <w:top w:val="nil"/>
              <w:left w:val="nil"/>
              <w:bottom w:val="single" w:sz="4" w:space="0" w:color="000000"/>
              <w:right w:val="nil"/>
            </w:tcBorders>
            <w:shd w:val="clear" w:color="auto" w:fill="auto"/>
            <w:noWrap/>
          </w:tcPr>
          <w:p w14:paraId="05C51ECF" w14:textId="6689C19B"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$28</w:t>
            </w:r>
          </w:p>
        </w:tc>
        <w:tc>
          <w:tcPr>
            <w:tcW w:w="0" w:type="dxa"/>
            <w:tcBorders>
              <w:top w:val="nil"/>
              <w:left w:val="nil"/>
              <w:bottom w:val="single" w:sz="4" w:space="0" w:color="000000"/>
              <w:right w:val="nil"/>
            </w:tcBorders>
            <w:shd w:val="clear" w:color="auto" w:fill="auto"/>
            <w:noWrap/>
          </w:tcPr>
          <w:p w14:paraId="763B9C33" w14:textId="4DD55257"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0.1%</w:t>
            </w:r>
          </w:p>
        </w:tc>
        <w:tc>
          <w:tcPr>
            <w:tcW w:w="0" w:type="dxa"/>
            <w:tcBorders>
              <w:top w:val="nil"/>
              <w:left w:val="nil"/>
              <w:bottom w:val="single" w:sz="4" w:space="0" w:color="000000"/>
              <w:right w:val="nil"/>
            </w:tcBorders>
            <w:shd w:val="clear" w:color="auto" w:fill="auto"/>
          </w:tcPr>
          <w:p w14:paraId="67E448C9" w14:textId="0BC4B730" w:rsidR="00981BF0" w:rsidRPr="005B667B" w:rsidRDefault="00EE3602" w:rsidP="00981BF0">
            <w:pPr>
              <w:spacing w:after="0" w:line="240" w:lineRule="auto"/>
              <w:jc w:val="center"/>
              <w:rPr>
                <w:rFonts w:asciiTheme="minorHAnsi" w:hAnsiTheme="minorHAnsi" w:cs="Arial"/>
                <w:sz w:val="16"/>
                <w:szCs w:val="16"/>
              </w:rPr>
            </w:pPr>
            <w:r w:rsidRPr="00245F0F">
              <w:t>$299</w:t>
            </w:r>
          </w:p>
        </w:tc>
        <w:tc>
          <w:tcPr>
            <w:tcW w:w="0" w:type="dxa"/>
            <w:tcBorders>
              <w:top w:val="nil"/>
              <w:left w:val="nil"/>
              <w:bottom w:val="single" w:sz="4" w:space="0" w:color="000000"/>
              <w:right w:val="nil"/>
            </w:tcBorders>
            <w:shd w:val="clear" w:color="auto" w:fill="auto"/>
          </w:tcPr>
          <w:p w14:paraId="3BC93564" w14:textId="14B46F47" w:rsidR="00981BF0" w:rsidRPr="005B667B" w:rsidRDefault="00EE3602" w:rsidP="00981BF0">
            <w:pPr>
              <w:spacing w:after="0" w:line="240" w:lineRule="auto"/>
              <w:jc w:val="center"/>
              <w:rPr>
                <w:rFonts w:asciiTheme="minorHAnsi" w:hAnsiTheme="minorHAnsi" w:cs="Arial"/>
                <w:sz w:val="16"/>
                <w:szCs w:val="16"/>
              </w:rPr>
            </w:pPr>
            <w:r w:rsidRPr="00245F0F">
              <w:t>1.3%</w:t>
            </w:r>
          </w:p>
        </w:tc>
      </w:tr>
      <w:tr w:rsidR="00981BF0" w:rsidRPr="00B10DAE" w14:paraId="5F2C0363" w14:textId="77777777" w:rsidTr="00416131">
        <w:trPr>
          <w:trHeight w:val="210"/>
        </w:trPr>
        <w:tc>
          <w:tcPr>
            <w:tcW w:w="0" w:type="dxa"/>
            <w:gridSpan w:val="2"/>
            <w:noWrap/>
            <w:hideMark/>
          </w:tcPr>
          <w:p w14:paraId="1B831BA7"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Archi&amp;Build</w:t>
            </w:r>
          </w:p>
        </w:tc>
        <w:tc>
          <w:tcPr>
            <w:tcW w:w="0" w:type="dxa"/>
            <w:tcBorders>
              <w:top w:val="nil"/>
              <w:left w:val="nil"/>
              <w:bottom w:val="single" w:sz="4" w:space="0" w:color="000000"/>
              <w:right w:val="nil"/>
            </w:tcBorders>
            <w:shd w:val="clear" w:color="auto" w:fill="auto"/>
            <w:noWrap/>
          </w:tcPr>
          <w:p w14:paraId="0FC89775" w14:textId="691DAB2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$1,084,762</w:t>
            </w:r>
          </w:p>
        </w:tc>
        <w:tc>
          <w:tcPr>
            <w:tcW w:w="0" w:type="dxa"/>
            <w:tcBorders>
              <w:top w:val="nil"/>
              <w:left w:val="nil"/>
              <w:bottom w:val="single" w:sz="4" w:space="0" w:color="000000"/>
              <w:right w:val="nil"/>
            </w:tcBorders>
            <w:shd w:val="clear" w:color="auto" w:fill="auto"/>
            <w:noWrap/>
          </w:tcPr>
          <w:p w14:paraId="1D67296A" w14:textId="323C6930"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$48</w:t>
            </w:r>
          </w:p>
        </w:tc>
        <w:tc>
          <w:tcPr>
            <w:tcW w:w="0" w:type="dxa"/>
            <w:tcBorders>
              <w:top w:val="nil"/>
              <w:left w:val="nil"/>
              <w:bottom w:val="single" w:sz="4" w:space="0" w:color="000000"/>
              <w:right w:val="nil"/>
            </w:tcBorders>
            <w:shd w:val="clear" w:color="auto" w:fill="auto"/>
            <w:noWrap/>
          </w:tcPr>
          <w:p w14:paraId="19AC8D0B" w14:textId="529C24B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0.3%</w:t>
            </w:r>
          </w:p>
        </w:tc>
        <w:tc>
          <w:tcPr>
            <w:tcW w:w="0" w:type="dxa"/>
            <w:tcBorders>
              <w:top w:val="nil"/>
              <w:left w:val="nil"/>
              <w:bottom w:val="single" w:sz="4" w:space="0" w:color="000000"/>
              <w:right w:val="nil"/>
            </w:tcBorders>
            <w:shd w:val="clear" w:color="auto" w:fill="auto"/>
          </w:tcPr>
          <w:p w14:paraId="0BABA80E" w14:textId="4B3A3961" w:rsidR="00981BF0" w:rsidRPr="005B667B" w:rsidRDefault="00EE3602" w:rsidP="00981BF0">
            <w:pPr>
              <w:spacing w:after="0" w:line="240" w:lineRule="auto"/>
              <w:jc w:val="center"/>
              <w:rPr>
                <w:rFonts w:asciiTheme="minorHAnsi" w:hAnsiTheme="minorHAnsi" w:cs="Arial"/>
                <w:sz w:val="16"/>
                <w:szCs w:val="16"/>
              </w:rPr>
            </w:pPr>
            <w:r w:rsidRPr="00245F0F">
              <w:t>$786</w:t>
            </w:r>
          </w:p>
        </w:tc>
        <w:tc>
          <w:tcPr>
            <w:tcW w:w="0" w:type="dxa"/>
            <w:tcBorders>
              <w:top w:val="nil"/>
              <w:left w:val="nil"/>
              <w:bottom w:val="single" w:sz="4" w:space="0" w:color="000000"/>
              <w:right w:val="nil"/>
            </w:tcBorders>
            <w:shd w:val="clear" w:color="auto" w:fill="auto"/>
          </w:tcPr>
          <w:p w14:paraId="535AD862" w14:textId="13B82C76" w:rsidR="00981BF0" w:rsidRPr="005B667B" w:rsidRDefault="00EE3602" w:rsidP="00981BF0">
            <w:pPr>
              <w:spacing w:after="0" w:line="240" w:lineRule="auto"/>
              <w:jc w:val="center"/>
              <w:rPr>
                <w:rFonts w:asciiTheme="minorHAnsi" w:hAnsiTheme="minorHAnsi" w:cs="Arial"/>
                <w:sz w:val="16"/>
                <w:szCs w:val="16"/>
              </w:rPr>
            </w:pPr>
            <w:r w:rsidRPr="00245F0F">
              <w:t>4.4%</w:t>
            </w:r>
          </w:p>
        </w:tc>
      </w:tr>
      <w:tr w:rsidR="00981BF0" w:rsidRPr="00B10DAE" w14:paraId="2E15BAAD" w14:textId="77777777" w:rsidTr="00416131">
        <w:trPr>
          <w:trHeight w:val="210"/>
        </w:trPr>
        <w:tc>
          <w:tcPr>
            <w:tcW w:w="0" w:type="dxa"/>
            <w:gridSpan w:val="2"/>
            <w:noWrap/>
            <w:hideMark/>
          </w:tcPr>
          <w:p w14:paraId="368ADA5C"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Environment</w:t>
            </w:r>
          </w:p>
        </w:tc>
        <w:tc>
          <w:tcPr>
            <w:tcW w:w="0" w:type="dxa"/>
            <w:tcBorders>
              <w:top w:val="nil"/>
              <w:left w:val="nil"/>
              <w:bottom w:val="single" w:sz="4" w:space="0" w:color="000000"/>
              <w:right w:val="nil"/>
            </w:tcBorders>
            <w:shd w:val="clear" w:color="auto" w:fill="auto"/>
            <w:noWrap/>
          </w:tcPr>
          <w:p w14:paraId="07E7DCC2" w14:textId="1B8E65C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650CB014" w14:textId="40E2BAD6"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32CBD28C" w14:textId="55268B24"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tcPr>
          <w:p w14:paraId="5059122F" w14:textId="42B4D765" w:rsidR="00981BF0" w:rsidRPr="005B667B" w:rsidRDefault="00EE3602" w:rsidP="00981BF0">
            <w:pPr>
              <w:spacing w:after="0" w:line="240" w:lineRule="auto"/>
              <w:jc w:val="center"/>
              <w:rPr>
                <w:rFonts w:asciiTheme="minorHAnsi" w:hAnsiTheme="minorHAnsi" w:cs="Arial"/>
                <w:sz w:val="16"/>
                <w:szCs w:val="16"/>
              </w:rPr>
            </w:pPr>
            <w:r w:rsidRPr="00245F0F">
              <w:t>-</w:t>
            </w:r>
          </w:p>
        </w:tc>
        <w:tc>
          <w:tcPr>
            <w:tcW w:w="0" w:type="dxa"/>
            <w:tcBorders>
              <w:top w:val="nil"/>
              <w:left w:val="nil"/>
              <w:bottom w:val="single" w:sz="4" w:space="0" w:color="000000"/>
              <w:right w:val="nil"/>
            </w:tcBorders>
            <w:shd w:val="clear" w:color="auto" w:fill="auto"/>
          </w:tcPr>
          <w:p w14:paraId="041B804D" w14:textId="2EB80613" w:rsidR="00981BF0" w:rsidRPr="005B667B" w:rsidRDefault="00EE3602" w:rsidP="00981BF0">
            <w:pPr>
              <w:spacing w:after="0" w:line="240" w:lineRule="auto"/>
              <w:jc w:val="center"/>
              <w:rPr>
                <w:rFonts w:asciiTheme="minorHAnsi" w:hAnsiTheme="minorHAnsi" w:cs="Arial"/>
                <w:sz w:val="16"/>
                <w:szCs w:val="16"/>
              </w:rPr>
            </w:pPr>
            <w:r w:rsidRPr="00245F0F">
              <w:t>-</w:t>
            </w:r>
          </w:p>
        </w:tc>
      </w:tr>
      <w:tr w:rsidR="00981BF0" w:rsidRPr="00B10DAE" w14:paraId="226B36B0" w14:textId="77777777" w:rsidTr="00416131">
        <w:trPr>
          <w:trHeight w:val="210"/>
        </w:trPr>
        <w:tc>
          <w:tcPr>
            <w:tcW w:w="0" w:type="dxa"/>
            <w:gridSpan w:val="2"/>
            <w:noWrap/>
            <w:hideMark/>
          </w:tcPr>
          <w:p w14:paraId="12A75B3D"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OthAg&amp;Enviro</w:t>
            </w:r>
          </w:p>
        </w:tc>
        <w:tc>
          <w:tcPr>
            <w:tcW w:w="0" w:type="dxa"/>
            <w:tcBorders>
              <w:top w:val="nil"/>
              <w:left w:val="nil"/>
              <w:bottom w:val="single" w:sz="4" w:space="0" w:color="000000"/>
              <w:right w:val="nil"/>
            </w:tcBorders>
            <w:shd w:val="clear" w:color="auto" w:fill="auto"/>
            <w:noWrap/>
          </w:tcPr>
          <w:p w14:paraId="3963E537" w14:textId="64CDCC36"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485D2F58" w14:textId="46200E21"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39EE1DEF" w14:textId="56CAF20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tcPr>
          <w:p w14:paraId="7EFF20ED" w14:textId="42B337C1" w:rsidR="00981BF0" w:rsidRPr="005B667B" w:rsidRDefault="00EE3602" w:rsidP="00981BF0">
            <w:pPr>
              <w:spacing w:after="0" w:line="240" w:lineRule="auto"/>
              <w:jc w:val="center"/>
              <w:rPr>
                <w:rFonts w:asciiTheme="minorHAnsi" w:hAnsiTheme="minorHAnsi" w:cs="Arial"/>
                <w:sz w:val="16"/>
                <w:szCs w:val="16"/>
              </w:rPr>
            </w:pPr>
            <w:r w:rsidRPr="00245F0F">
              <w:t>-</w:t>
            </w:r>
          </w:p>
        </w:tc>
        <w:tc>
          <w:tcPr>
            <w:tcW w:w="0" w:type="dxa"/>
            <w:tcBorders>
              <w:top w:val="nil"/>
              <w:left w:val="nil"/>
              <w:bottom w:val="single" w:sz="4" w:space="0" w:color="000000"/>
              <w:right w:val="nil"/>
            </w:tcBorders>
            <w:shd w:val="clear" w:color="auto" w:fill="auto"/>
          </w:tcPr>
          <w:p w14:paraId="1C9F32C3" w14:textId="706EB8B5" w:rsidR="00981BF0" w:rsidRPr="005B667B" w:rsidRDefault="00EE3602" w:rsidP="00981BF0">
            <w:pPr>
              <w:spacing w:after="0" w:line="240" w:lineRule="auto"/>
              <w:jc w:val="center"/>
              <w:rPr>
                <w:rFonts w:asciiTheme="minorHAnsi" w:hAnsiTheme="minorHAnsi" w:cs="Arial"/>
                <w:sz w:val="16"/>
                <w:szCs w:val="16"/>
              </w:rPr>
            </w:pPr>
            <w:r w:rsidRPr="00245F0F">
              <w:t>-</w:t>
            </w:r>
          </w:p>
        </w:tc>
      </w:tr>
      <w:tr w:rsidR="00981BF0" w:rsidRPr="00B10DAE" w14:paraId="72D639B8" w14:textId="77777777" w:rsidTr="00416131">
        <w:trPr>
          <w:trHeight w:val="210"/>
        </w:trPr>
        <w:tc>
          <w:tcPr>
            <w:tcW w:w="0" w:type="dxa"/>
            <w:gridSpan w:val="2"/>
            <w:noWrap/>
            <w:hideMark/>
          </w:tcPr>
          <w:p w14:paraId="061DBB3C"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MedicalStudies</w:t>
            </w:r>
          </w:p>
        </w:tc>
        <w:tc>
          <w:tcPr>
            <w:tcW w:w="0" w:type="dxa"/>
            <w:tcBorders>
              <w:top w:val="nil"/>
              <w:left w:val="nil"/>
              <w:bottom w:val="single" w:sz="4" w:space="0" w:color="000000"/>
              <w:right w:val="nil"/>
            </w:tcBorders>
            <w:shd w:val="clear" w:color="auto" w:fill="auto"/>
            <w:noWrap/>
          </w:tcPr>
          <w:p w14:paraId="3DA4903D" w14:textId="62B0F089"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$15,297</w:t>
            </w:r>
          </w:p>
        </w:tc>
        <w:tc>
          <w:tcPr>
            <w:tcW w:w="0" w:type="dxa"/>
            <w:tcBorders>
              <w:top w:val="nil"/>
              <w:left w:val="nil"/>
              <w:bottom w:val="single" w:sz="4" w:space="0" w:color="000000"/>
              <w:right w:val="nil"/>
            </w:tcBorders>
            <w:shd w:val="clear" w:color="auto" w:fill="auto"/>
            <w:noWrap/>
          </w:tcPr>
          <w:p w14:paraId="6D3E4AC6" w14:textId="3908B07B"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w:t>
            </w:r>
          </w:p>
        </w:tc>
        <w:tc>
          <w:tcPr>
            <w:tcW w:w="0" w:type="dxa"/>
            <w:tcBorders>
              <w:top w:val="nil"/>
              <w:left w:val="nil"/>
              <w:bottom w:val="single" w:sz="4" w:space="0" w:color="000000"/>
              <w:right w:val="nil"/>
            </w:tcBorders>
            <w:shd w:val="clear" w:color="auto" w:fill="auto"/>
            <w:noWrap/>
          </w:tcPr>
          <w:p w14:paraId="09C78D3D" w14:textId="1D672A10"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0.0%</w:t>
            </w:r>
          </w:p>
        </w:tc>
        <w:tc>
          <w:tcPr>
            <w:tcW w:w="0" w:type="dxa"/>
            <w:tcBorders>
              <w:top w:val="nil"/>
              <w:left w:val="nil"/>
              <w:bottom w:val="single" w:sz="4" w:space="0" w:color="000000"/>
              <w:right w:val="nil"/>
            </w:tcBorders>
            <w:shd w:val="clear" w:color="auto" w:fill="auto"/>
          </w:tcPr>
          <w:p w14:paraId="478201A6" w14:textId="19C57750" w:rsidR="00981BF0" w:rsidRPr="005B667B" w:rsidRDefault="00EE3602" w:rsidP="00981BF0">
            <w:pPr>
              <w:spacing w:after="0" w:line="240" w:lineRule="auto"/>
              <w:jc w:val="center"/>
              <w:rPr>
                <w:rFonts w:asciiTheme="minorHAnsi" w:hAnsiTheme="minorHAnsi" w:cs="Arial"/>
                <w:sz w:val="16"/>
                <w:szCs w:val="16"/>
              </w:rPr>
            </w:pPr>
            <w:r w:rsidRPr="00245F0F">
              <w:t>$12</w:t>
            </w:r>
          </w:p>
        </w:tc>
        <w:tc>
          <w:tcPr>
            <w:tcW w:w="0" w:type="dxa"/>
            <w:tcBorders>
              <w:top w:val="nil"/>
              <w:left w:val="nil"/>
              <w:bottom w:val="single" w:sz="4" w:space="0" w:color="000000"/>
              <w:right w:val="nil"/>
            </w:tcBorders>
            <w:shd w:val="clear" w:color="auto" w:fill="auto"/>
          </w:tcPr>
          <w:p w14:paraId="618628C0" w14:textId="477F0730" w:rsidR="00981BF0" w:rsidRPr="005B667B" w:rsidRDefault="00EE3602" w:rsidP="00981BF0">
            <w:pPr>
              <w:spacing w:after="0" w:line="240" w:lineRule="auto"/>
              <w:jc w:val="center"/>
              <w:rPr>
                <w:rFonts w:asciiTheme="minorHAnsi" w:hAnsiTheme="minorHAnsi" w:cs="Arial"/>
                <w:sz w:val="16"/>
                <w:szCs w:val="16"/>
              </w:rPr>
            </w:pPr>
            <w:r w:rsidRPr="00245F0F">
              <w:t>0.0%</w:t>
            </w:r>
          </w:p>
        </w:tc>
      </w:tr>
      <w:tr w:rsidR="00981BF0" w:rsidRPr="00B10DAE" w14:paraId="4B0A7D2F" w14:textId="77777777" w:rsidTr="00416131">
        <w:trPr>
          <w:trHeight w:val="210"/>
        </w:trPr>
        <w:tc>
          <w:tcPr>
            <w:tcW w:w="0" w:type="dxa"/>
            <w:gridSpan w:val="2"/>
            <w:noWrap/>
            <w:hideMark/>
          </w:tcPr>
          <w:p w14:paraId="1F713E3C"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Nursing</w:t>
            </w:r>
          </w:p>
        </w:tc>
        <w:tc>
          <w:tcPr>
            <w:tcW w:w="0" w:type="dxa"/>
            <w:tcBorders>
              <w:top w:val="nil"/>
              <w:left w:val="nil"/>
              <w:bottom w:val="single" w:sz="4" w:space="0" w:color="000000"/>
              <w:right w:val="nil"/>
            </w:tcBorders>
            <w:shd w:val="clear" w:color="auto" w:fill="auto"/>
            <w:noWrap/>
          </w:tcPr>
          <w:p w14:paraId="566D36F9" w14:textId="6F438F15"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$630,962</w:t>
            </w:r>
          </w:p>
        </w:tc>
        <w:tc>
          <w:tcPr>
            <w:tcW w:w="0" w:type="dxa"/>
            <w:tcBorders>
              <w:top w:val="nil"/>
              <w:left w:val="nil"/>
              <w:bottom w:val="single" w:sz="4" w:space="0" w:color="000000"/>
              <w:right w:val="nil"/>
            </w:tcBorders>
            <w:shd w:val="clear" w:color="auto" w:fill="auto"/>
            <w:noWrap/>
          </w:tcPr>
          <w:p w14:paraId="36E2CA9F" w14:textId="0DD4FFE2"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$11</w:t>
            </w:r>
          </w:p>
        </w:tc>
        <w:tc>
          <w:tcPr>
            <w:tcW w:w="0" w:type="dxa"/>
            <w:tcBorders>
              <w:top w:val="nil"/>
              <w:left w:val="nil"/>
              <w:bottom w:val="single" w:sz="4" w:space="0" w:color="000000"/>
              <w:right w:val="nil"/>
            </w:tcBorders>
            <w:shd w:val="clear" w:color="auto" w:fill="auto"/>
            <w:noWrap/>
          </w:tcPr>
          <w:p w14:paraId="3583F946" w14:textId="3F694044"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0.1%</w:t>
            </w:r>
          </w:p>
        </w:tc>
        <w:tc>
          <w:tcPr>
            <w:tcW w:w="0" w:type="dxa"/>
            <w:tcBorders>
              <w:top w:val="nil"/>
              <w:left w:val="nil"/>
              <w:bottom w:val="single" w:sz="4" w:space="0" w:color="000000"/>
              <w:right w:val="nil"/>
            </w:tcBorders>
            <w:shd w:val="clear" w:color="auto" w:fill="auto"/>
          </w:tcPr>
          <w:p w14:paraId="22FEBF29" w14:textId="43D34F43" w:rsidR="00981BF0" w:rsidRPr="005B667B" w:rsidRDefault="00EE3602" w:rsidP="00981BF0">
            <w:pPr>
              <w:spacing w:after="0" w:line="240" w:lineRule="auto"/>
              <w:jc w:val="center"/>
              <w:rPr>
                <w:rFonts w:asciiTheme="minorHAnsi" w:hAnsiTheme="minorHAnsi" w:cs="Arial"/>
                <w:sz w:val="16"/>
                <w:szCs w:val="16"/>
              </w:rPr>
            </w:pPr>
            <w:r w:rsidRPr="00245F0F">
              <w:t>$281</w:t>
            </w:r>
          </w:p>
        </w:tc>
        <w:tc>
          <w:tcPr>
            <w:tcW w:w="0" w:type="dxa"/>
            <w:tcBorders>
              <w:top w:val="nil"/>
              <w:left w:val="nil"/>
              <w:bottom w:val="single" w:sz="4" w:space="0" w:color="000000"/>
              <w:right w:val="nil"/>
            </w:tcBorders>
            <w:shd w:val="clear" w:color="auto" w:fill="auto"/>
          </w:tcPr>
          <w:p w14:paraId="21F83B5F" w14:textId="1C94A006" w:rsidR="00981BF0" w:rsidRPr="005B667B" w:rsidRDefault="00EE3602" w:rsidP="00981BF0">
            <w:pPr>
              <w:spacing w:after="0" w:line="240" w:lineRule="auto"/>
              <w:jc w:val="center"/>
              <w:rPr>
                <w:rFonts w:asciiTheme="minorHAnsi" w:hAnsiTheme="minorHAnsi" w:cs="Arial"/>
                <w:sz w:val="16"/>
                <w:szCs w:val="16"/>
              </w:rPr>
            </w:pPr>
            <w:r w:rsidRPr="00245F0F">
              <w:t>1.5%</w:t>
            </w:r>
          </w:p>
        </w:tc>
      </w:tr>
      <w:tr w:rsidR="00981BF0" w:rsidRPr="00B10DAE" w14:paraId="6247432B" w14:textId="77777777" w:rsidTr="00416131">
        <w:trPr>
          <w:trHeight w:val="210"/>
        </w:trPr>
        <w:tc>
          <w:tcPr>
            <w:tcW w:w="0" w:type="dxa"/>
            <w:gridSpan w:val="2"/>
            <w:noWrap/>
            <w:hideMark/>
          </w:tcPr>
          <w:p w14:paraId="6C714D76"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Dental</w:t>
            </w:r>
          </w:p>
        </w:tc>
        <w:tc>
          <w:tcPr>
            <w:tcW w:w="0" w:type="dxa"/>
            <w:tcBorders>
              <w:top w:val="nil"/>
              <w:left w:val="nil"/>
              <w:bottom w:val="single" w:sz="4" w:space="0" w:color="000000"/>
              <w:right w:val="nil"/>
            </w:tcBorders>
            <w:shd w:val="clear" w:color="auto" w:fill="auto"/>
            <w:noWrap/>
          </w:tcPr>
          <w:p w14:paraId="51B59C74" w14:textId="0CCBC220"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$8,991,202</w:t>
            </w:r>
          </w:p>
        </w:tc>
        <w:tc>
          <w:tcPr>
            <w:tcW w:w="0" w:type="dxa"/>
            <w:tcBorders>
              <w:top w:val="nil"/>
              <w:left w:val="nil"/>
              <w:bottom w:val="single" w:sz="4" w:space="0" w:color="000000"/>
              <w:right w:val="nil"/>
            </w:tcBorders>
            <w:shd w:val="clear" w:color="auto" w:fill="auto"/>
            <w:noWrap/>
          </w:tcPr>
          <w:p w14:paraId="3F400042" w14:textId="7FE30516"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$2,358</w:t>
            </w:r>
          </w:p>
        </w:tc>
        <w:tc>
          <w:tcPr>
            <w:tcW w:w="0" w:type="dxa"/>
            <w:tcBorders>
              <w:top w:val="nil"/>
              <w:left w:val="nil"/>
              <w:bottom w:val="single" w:sz="4" w:space="0" w:color="000000"/>
              <w:right w:val="nil"/>
            </w:tcBorders>
            <w:shd w:val="clear" w:color="auto" w:fill="auto"/>
            <w:noWrap/>
          </w:tcPr>
          <w:p w14:paraId="1556AFF5" w14:textId="4347176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5.7%</w:t>
            </w:r>
          </w:p>
        </w:tc>
        <w:tc>
          <w:tcPr>
            <w:tcW w:w="0" w:type="dxa"/>
            <w:tcBorders>
              <w:top w:val="nil"/>
              <w:left w:val="nil"/>
              <w:bottom w:val="single" w:sz="4" w:space="0" w:color="000000"/>
              <w:right w:val="nil"/>
            </w:tcBorders>
            <w:shd w:val="clear" w:color="auto" w:fill="auto"/>
          </w:tcPr>
          <w:p w14:paraId="39A90486" w14:textId="195A82F2" w:rsidR="00981BF0" w:rsidRPr="005B667B" w:rsidRDefault="00EE3602" w:rsidP="00981BF0">
            <w:pPr>
              <w:spacing w:after="0" w:line="240" w:lineRule="auto"/>
              <w:jc w:val="center"/>
              <w:rPr>
                <w:rFonts w:asciiTheme="minorHAnsi" w:hAnsiTheme="minorHAnsi" w:cs="Arial"/>
                <w:sz w:val="16"/>
                <w:szCs w:val="16"/>
              </w:rPr>
            </w:pPr>
            <w:r w:rsidRPr="00245F0F">
              <w:t>$17,258</w:t>
            </w:r>
          </w:p>
        </w:tc>
        <w:tc>
          <w:tcPr>
            <w:tcW w:w="0" w:type="dxa"/>
            <w:tcBorders>
              <w:top w:val="nil"/>
              <w:left w:val="nil"/>
              <w:bottom w:val="single" w:sz="4" w:space="0" w:color="000000"/>
              <w:right w:val="nil"/>
            </w:tcBorders>
            <w:shd w:val="clear" w:color="auto" w:fill="auto"/>
          </w:tcPr>
          <w:p w14:paraId="241F5D33" w14:textId="405E494B" w:rsidR="00981BF0" w:rsidRPr="005B667B" w:rsidRDefault="00EE3602" w:rsidP="00981BF0">
            <w:pPr>
              <w:spacing w:after="0" w:line="240" w:lineRule="auto"/>
              <w:jc w:val="center"/>
              <w:rPr>
                <w:rFonts w:asciiTheme="minorHAnsi" w:hAnsiTheme="minorHAnsi" w:cs="Arial"/>
                <w:sz w:val="16"/>
                <w:szCs w:val="16"/>
              </w:rPr>
            </w:pPr>
            <w:r w:rsidRPr="00245F0F">
              <w:t>36.3%</w:t>
            </w:r>
          </w:p>
        </w:tc>
      </w:tr>
      <w:tr w:rsidR="00981BF0" w:rsidRPr="00B10DAE" w14:paraId="28A7B752" w14:textId="77777777" w:rsidTr="00416131">
        <w:trPr>
          <w:trHeight w:val="210"/>
        </w:trPr>
        <w:tc>
          <w:tcPr>
            <w:tcW w:w="0" w:type="dxa"/>
            <w:gridSpan w:val="2"/>
            <w:noWrap/>
            <w:hideMark/>
          </w:tcPr>
          <w:p w14:paraId="62E8BA10"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Veterinary</w:t>
            </w:r>
          </w:p>
        </w:tc>
        <w:tc>
          <w:tcPr>
            <w:tcW w:w="0" w:type="dxa"/>
            <w:tcBorders>
              <w:top w:val="nil"/>
              <w:left w:val="nil"/>
              <w:bottom w:val="single" w:sz="4" w:space="0" w:color="000000"/>
              <w:right w:val="nil"/>
            </w:tcBorders>
            <w:shd w:val="clear" w:color="auto" w:fill="auto"/>
            <w:noWrap/>
          </w:tcPr>
          <w:p w14:paraId="1536D1CE" w14:textId="7C2E91BE"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731B8514" w14:textId="219A1B8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01CD47C8" w14:textId="301E433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tcPr>
          <w:p w14:paraId="3B476C58" w14:textId="14063C0D" w:rsidR="00981BF0" w:rsidRPr="005B667B" w:rsidRDefault="00EE3602" w:rsidP="00981BF0">
            <w:pPr>
              <w:spacing w:after="0" w:line="240" w:lineRule="auto"/>
              <w:jc w:val="center"/>
              <w:rPr>
                <w:rFonts w:asciiTheme="minorHAnsi" w:hAnsiTheme="minorHAnsi" w:cs="Arial"/>
                <w:sz w:val="16"/>
                <w:szCs w:val="16"/>
              </w:rPr>
            </w:pPr>
            <w:r w:rsidRPr="00245F0F">
              <w:t>-</w:t>
            </w:r>
          </w:p>
        </w:tc>
        <w:tc>
          <w:tcPr>
            <w:tcW w:w="0" w:type="dxa"/>
            <w:tcBorders>
              <w:top w:val="nil"/>
              <w:left w:val="nil"/>
              <w:bottom w:val="single" w:sz="4" w:space="0" w:color="000000"/>
              <w:right w:val="nil"/>
            </w:tcBorders>
            <w:shd w:val="clear" w:color="auto" w:fill="auto"/>
          </w:tcPr>
          <w:p w14:paraId="3E1437A6" w14:textId="4E3A7DBD" w:rsidR="00981BF0" w:rsidRPr="005B667B" w:rsidRDefault="00EE3602" w:rsidP="00981BF0">
            <w:pPr>
              <w:spacing w:after="0" w:line="240" w:lineRule="auto"/>
              <w:jc w:val="center"/>
              <w:rPr>
                <w:rFonts w:asciiTheme="minorHAnsi" w:hAnsiTheme="minorHAnsi" w:cs="Arial"/>
                <w:sz w:val="16"/>
                <w:szCs w:val="16"/>
              </w:rPr>
            </w:pPr>
            <w:r w:rsidRPr="00245F0F">
              <w:t>-</w:t>
            </w:r>
          </w:p>
        </w:tc>
      </w:tr>
      <w:tr w:rsidR="00981BF0" w:rsidRPr="00B10DAE" w14:paraId="742B5B69" w14:textId="77777777" w:rsidTr="00416131">
        <w:trPr>
          <w:trHeight w:val="210"/>
        </w:trPr>
        <w:tc>
          <w:tcPr>
            <w:tcW w:w="0" w:type="dxa"/>
            <w:gridSpan w:val="2"/>
            <w:noWrap/>
            <w:hideMark/>
          </w:tcPr>
          <w:p w14:paraId="45307A5D"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OthHealth</w:t>
            </w:r>
          </w:p>
        </w:tc>
        <w:tc>
          <w:tcPr>
            <w:tcW w:w="0" w:type="dxa"/>
            <w:tcBorders>
              <w:top w:val="nil"/>
              <w:left w:val="nil"/>
              <w:bottom w:val="single" w:sz="4" w:space="0" w:color="000000"/>
              <w:right w:val="nil"/>
            </w:tcBorders>
            <w:shd w:val="clear" w:color="auto" w:fill="auto"/>
            <w:noWrap/>
          </w:tcPr>
          <w:p w14:paraId="6FD316C0" w14:textId="34F68C49"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$2,210,835</w:t>
            </w:r>
          </w:p>
        </w:tc>
        <w:tc>
          <w:tcPr>
            <w:tcW w:w="0" w:type="dxa"/>
            <w:tcBorders>
              <w:top w:val="nil"/>
              <w:left w:val="nil"/>
              <w:bottom w:val="single" w:sz="4" w:space="0" w:color="000000"/>
              <w:right w:val="nil"/>
            </w:tcBorders>
            <w:shd w:val="clear" w:color="auto" w:fill="auto"/>
            <w:noWrap/>
          </w:tcPr>
          <w:p w14:paraId="101CC335" w14:textId="71709114"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$35</w:t>
            </w:r>
          </w:p>
        </w:tc>
        <w:tc>
          <w:tcPr>
            <w:tcW w:w="0" w:type="dxa"/>
            <w:tcBorders>
              <w:top w:val="nil"/>
              <w:left w:val="nil"/>
              <w:bottom w:val="single" w:sz="4" w:space="0" w:color="000000"/>
              <w:right w:val="nil"/>
            </w:tcBorders>
            <w:shd w:val="clear" w:color="auto" w:fill="auto"/>
            <w:noWrap/>
          </w:tcPr>
          <w:p w14:paraId="3A797AAE" w14:textId="067A8DD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0.2%</w:t>
            </w:r>
          </w:p>
        </w:tc>
        <w:tc>
          <w:tcPr>
            <w:tcW w:w="0" w:type="dxa"/>
            <w:tcBorders>
              <w:top w:val="nil"/>
              <w:left w:val="nil"/>
              <w:bottom w:val="single" w:sz="4" w:space="0" w:color="000000"/>
              <w:right w:val="nil"/>
            </w:tcBorders>
            <w:shd w:val="clear" w:color="auto" w:fill="auto"/>
          </w:tcPr>
          <w:p w14:paraId="6164486A" w14:textId="269F9E50" w:rsidR="00981BF0" w:rsidRPr="005B667B" w:rsidRDefault="00EE3602" w:rsidP="00981BF0">
            <w:pPr>
              <w:spacing w:after="0" w:line="240" w:lineRule="auto"/>
              <w:jc w:val="center"/>
              <w:rPr>
                <w:rFonts w:asciiTheme="minorHAnsi" w:hAnsiTheme="minorHAnsi" w:cs="Arial"/>
                <w:sz w:val="16"/>
                <w:szCs w:val="16"/>
              </w:rPr>
            </w:pPr>
            <w:r w:rsidRPr="00245F0F">
              <w:t>$442</w:t>
            </w:r>
          </w:p>
        </w:tc>
        <w:tc>
          <w:tcPr>
            <w:tcW w:w="0" w:type="dxa"/>
            <w:tcBorders>
              <w:top w:val="nil"/>
              <w:left w:val="nil"/>
              <w:bottom w:val="single" w:sz="4" w:space="0" w:color="000000"/>
              <w:right w:val="nil"/>
            </w:tcBorders>
            <w:shd w:val="clear" w:color="auto" w:fill="auto"/>
          </w:tcPr>
          <w:p w14:paraId="5F3AF73A" w14:textId="5489218D" w:rsidR="00981BF0" w:rsidRPr="005B667B" w:rsidRDefault="00EE3602" w:rsidP="00981BF0">
            <w:pPr>
              <w:spacing w:after="0" w:line="240" w:lineRule="auto"/>
              <w:jc w:val="center"/>
              <w:rPr>
                <w:rFonts w:asciiTheme="minorHAnsi" w:hAnsiTheme="minorHAnsi" w:cs="Arial"/>
                <w:sz w:val="16"/>
                <w:szCs w:val="16"/>
              </w:rPr>
            </w:pPr>
            <w:r w:rsidRPr="00245F0F">
              <w:t>2.0%</w:t>
            </w:r>
          </w:p>
        </w:tc>
      </w:tr>
      <w:tr w:rsidR="00981BF0" w:rsidRPr="00B10DAE" w14:paraId="7088F05B" w14:textId="77777777" w:rsidTr="00416131">
        <w:trPr>
          <w:trHeight w:val="210"/>
        </w:trPr>
        <w:tc>
          <w:tcPr>
            <w:tcW w:w="0" w:type="dxa"/>
            <w:gridSpan w:val="2"/>
            <w:noWrap/>
            <w:hideMark/>
          </w:tcPr>
          <w:p w14:paraId="3E5EC833"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Education</w:t>
            </w:r>
          </w:p>
        </w:tc>
        <w:tc>
          <w:tcPr>
            <w:tcW w:w="0" w:type="dxa"/>
            <w:tcBorders>
              <w:top w:val="nil"/>
              <w:left w:val="nil"/>
              <w:bottom w:val="single" w:sz="4" w:space="0" w:color="000000"/>
              <w:right w:val="nil"/>
            </w:tcBorders>
            <w:shd w:val="clear" w:color="auto" w:fill="auto"/>
            <w:noWrap/>
          </w:tcPr>
          <w:p w14:paraId="55332C82" w14:textId="2BD90ACC"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$2,895,378</w:t>
            </w:r>
          </w:p>
        </w:tc>
        <w:tc>
          <w:tcPr>
            <w:tcW w:w="0" w:type="dxa"/>
            <w:tcBorders>
              <w:top w:val="nil"/>
              <w:left w:val="nil"/>
              <w:bottom w:val="single" w:sz="4" w:space="0" w:color="000000"/>
              <w:right w:val="nil"/>
            </w:tcBorders>
            <w:shd w:val="clear" w:color="auto" w:fill="auto"/>
            <w:noWrap/>
          </w:tcPr>
          <w:p w14:paraId="273F6B38" w14:textId="407FEF27"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$43</w:t>
            </w:r>
          </w:p>
        </w:tc>
        <w:tc>
          <w:tcPr>
            <w:tcW w:w="0" w:type="dxa"/>
            <w:tcBorders>
              <w:top w:val="nil"/>
              <w:left w:val="nil"/>
              <w:bottom w:val="single" w:sz="4" w:space="0" w:color="000000"/>
              <w:right w:val="nil"/>
            </w:tcBorders>
            <w:shd w:val="clear" w:color="auto" w:fill="auto"/>
            <w:noWrap/>
          </w:tcPr>
          <w:p w14:paraId="4700FDB6" w14:textId="07068A1B"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0.3%</w:t>
            </w:r>
          </w:p>
        </w:tc>
        <w:tc>
          <w:tcPr>
            <w:tcW w:w="0" w:type="dxa"/>
            <w:tcBorders>
              <w:top w:val="nil"/>
              <w:left w:val="nil"/>
              <w:bottom w:val="single" w:sz="4" w:space="0" w:color="000000"/>
              <w:right w:val="nil"/>
            </w:tcBorders>
            <w:shd w:val="clear" w:color="auto" w:fill="auto"/>
          </w:tcPr>
          <w:p w14:paraId="0C121C11" w14:textId="20ECE69B" w:rsidR="00981BF0" w:rsidRPr="005B667B" w:rsidRDefault="00EE3602" w:rsidP="00981BF0">
            <w:pPr>
              <w:spacing w:after="0" w:line="240" w:lineRule="auto"/>
              <w:jc w:val="center"/>
              <w:rPr>
                <w:rFonts w:asciiTheme="minorHAnsi" w:hAnsiTheme="minorHAnsi" w:cs="Arial"/>
                <w:sz w:val="16"/>
                <w:szCs w:val="16"/>
              </w:rPr>
            </w:pPr>
            <w:r w:rsidRPr="00245F0F">
              <w:t>$688</w:t>
            </w:r>
          </w:p>
        </w:tc>
        <w:tc>
          <w:tcPr>
            <w:tcW w:w="0" w:type="dxa"/>
            <w:tcBorders>
              <w:top w:val="nil"/>
              <w:left w:val="nil"/>
              <w:bottom w:val="single" w:sz="4" w:space="0" w:color="000000"/>
              <w:right w:val="nil"/>
            </w:tcBorders>
            <w:shd w:val="clear" w:color="auto" w:fill="auto"/>
          </w:tcPr>
          <w:p w14:paraId="2DCB6FB3" w14:textId="3B579603" w:rsidR="00981BF0" w:rsidRPr="005B667B" w:rsidRDefault="00EE3602" w:rsidP="00981BF0">
            <w:pPr>
              <w:spacing w:after="0" w:line="240" w:lineRule="auto"/>
              <w:jc w:val="center"/>
              <w:rPr>
                <w:rFonts w:asciiTheme="minorHAnsi" w:hAnsiTheme="minorHAnsi" w:cs="Arial"/>
                <w:sz w:val="16"/>
                <w:szCs w:val="16"/>
              </w:rPr>
            </w:pPr>
            <w:r w:rsidRPr="00245F0F">
              <w:t>4.2%</w:t>
            </w:r>
          </w:p>
        </w:tc>
      </w:tr>
      <w:tr w:rsidR="00981BF0" w:rsidRPr="00B10DAE" w14:paraId="6FDC1C70" w14:textId="77777777" w:rsidTr="00416131">
        <w:trPr>
          <w:trHeight w:val="210"/>
        </w:trPr>
        <w:tc>
          <w:tcPr>
            <w:tcW w:w="0" w:type="dxa"/>
            <w:gridSpan w:val="2"/>
            <w:noWrap/>
            <w:hideMark/>
          </w:tcPr>
          <w:p w14:paraId="5079B417"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Mgmt&amp;Comm</w:t>
            </w:r>
          </w:p>
        </w:tc>
        <w:tc>
          <w:tcPr>
            <w:tcW w:w="0" w:type="dxa"/>
            <w:tcBorders>
              <w:top w:val="nil"/>
              <w:left w:val="nil"/>
              <w:bottom w:val="single" w:sz="4" w:space="0" w:color="000000"/>
              <w:right w:val="nil"/>
            </w:tcBorders>
            <w:shd w:val="clear" w:color="auto" w:fill="auto"/>
            <w:noWrap/>
          </w:tcPr>
          <w:p w14:paraId="67FEB8E2" w14:textId="2A22B26E"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$43,385,612</w:t>
            </w:r>
          </w:p>
        </w:tc>
        <w:tc>
          <w:tcPr>
            <w:tcW w:w="0" w:type="dxa"/>
            <w:tcBorders>
              <w:top w:val="nil"/>
              <w:left w:val="nil"/>
              <w:bottom w:val="single" w:sz="4" w:space="0" w:color="000000"/>
              <w:right w:val="nil"/>
            </w:tcBorders>
            <w:shd w:val="clear" w:color="auto" w:fill="auto"/>
            <w:noWrap/>
          </w:tcPr>
          <w:p w14:paraId="3207B0D6" w14:textId="1023E86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$312</w:t>
            </w:r>
          </w:p>
        </w:tc>
        <w:tc>
          <w:tcPr>
            <w:tcW w:w="0" w:type="dxa"/>
            <w:tcBorders>
              <w:top w:val="nil"/>
              <w:left w:val="nil"/>
              <w:bottom w:val="single" w:sz="4" w:space="0" w:color="000000"/>
              <w:right w:val="nil"/>
            </w:tcBorders>
            <w:shd w:val="clear" w:color="auto" w:fill="auto"/>
            <w:noWrap/>
          </w:tcPr>
          <w:p w14:paraId="6C17C972" w14:textId="4C98557E"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1.9%</w:t>
            </w:r>
          </w:p>
        </w:tc>
        <w:tc>
          <w:tcPr>
            <w:tcW w:w="0" w:type="dxa"/>
            <w:tcBorders>
              <w:top w:val="nil"/>
              <w:left w:val="nil"/>
              <w:bottom w:val="single" w:sz="4" w:space="0" w:color="000000"/>
              <w:right w:val="nil"/>
            </w:tcBorders>
            <w:shd w:val="clear" w:color="auto" w:fill="auto"/>
          </w:tcPr>
          <w:p w14:paraId="67981418" w14:textId="0B14AFF3" w:rsidR="00981BF0" w:rsidRPr="005B667B" w:rsidRDefault="00EE3602" w:rsidP="00981BF0">
            <w:pPr>
              <w:spacing w:after="0" w:line="240" w:lineRule="auto"/>
              <w:jc w:val="center"/>
              <w:rPr>
                <w:rFonts w:asciiTheme="minorHAnsi" w:hAnsiTheme="minorHAnsi" w:cs="Arial"/>
                <w:sz w:val="16"/>
                <w:szCs w:val="16"/>
              </w:rPr>
            </w:pPr>
            <w:r w:rsidRPr="00245F0F">
              <w:t>$2,563</w:t>
            </w:r>
          </w:p>
        </w:tc>
        <w:tc>
          <w:tcPr>
            <w:tcW w:w="0" w:type="dxa"/>
            <w:tcBorders>
              <w:top w:val="nil"/>
              <w:left w:val="nil"/>
              <w:bottom w:val="single" w:sz="4" w:space="0" w:color="000000"/>
              <w:right w:val="nil"/>
            </w:tcBorders>
            <w:shd w:val="clear" w:color="auto" w:fill="auto"/>
          </w:tcPr>
          <w:p w14:paraId="5047DC52" w14:textId="33AEA358" w:rsidR="00981BF0" w:rsidRPr="005B667B" w:rsidRDefault="00EE3602" w:rsidP="00981BF0">
            <w:pPr>
              <w:spacing w:after="0" w:line="240" w:lineRule="auto"/>
              <w:jc w:val="center"/>
              <w:rPr>
                <w:rFonts w:asciiTheme="minorHAnsi" w:hAnsiTheme="minorHAnsi" w:cs="Arial"/>
                <w:sz w:val="16"/>
                <w:szCs w:val="16"/>
              </w:rPr>
            </w:pPr>
            <w:r w:rsidRPr="00245F0F">
              <w:t>16.0%</w:t>
            </w:r>
          </w:p>
        </w:tc>
      </w:tr>
      <w:tr w:rsidR="00981BF0" w:rsidRPr="00B10DAE" w14:paraId="752EE95E" w14:textId="77777777" w:rsidTr="00416131">
        <w:trPr>
          <w:trHeight w:val="210"/>
        </w:trPr>
        <w:tc>
          <w:tcPr>
            <w:tcW w:w="0" w:type="dxa"/>
            <w:gridSpan w:val="2"/>
            <w:noWrap/>
            <w:hideMark/>
          </w:tcPr>
          <w:p w14:paraId="6A3BEF0B"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ForeignLang</w:t>
            </w:r>
          </w:p>
        </w:tc>
        <w:tc>
          <w:tcPr>
            <w:tcW w:w="0" w:type="dxa"/>
            <w:tcBorders>
              <w:top w:val="nil"/>
              <w:left w:val="nil"/>
              <w:bottom w:val="single" w:sz="4" w:space="0" w:color="000000"/>
              <w:right w:val="nil"/>
            </w:tcBorders>
            <w:shd w:val="clear" w:color="auto" w:fill="auto"/>
            <w:noWrap/>
          </w:tcPr>
          <w:p w14:paraId="184E6AAA" w14:textId="4DBD24EF"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$70,140</w:t>
            </w:r>
          </w:p>
        </w:tc>
        <w:tc>
          <w:tcPr>
            <w:tcW w:w="0" w:type="dxa"/>
            <w:tcBorders>
              <w:top w:val="nil"/>
              <w:left w:val="nil"/>
              <w:bottom w:val="single" w:sz="4" w:space="0" w:color="000000"/>
              <w:right w:val="nil"/>
            </w:tcBorders>
            <w:shd w:val="clear" w:color="auto" w:fill="auto"/>
            <w:noWrap/>
          </w:tcPr>
          <w:p w14:paraId="135EC44B" w14:textId="6C3EC6F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$8</w:t>
            </w:r>
          </w:p>
        </w:tc>
        <w:tc>
          <w:tcPr>
            <w:tcW w:w="0" w:type="dxa"/>
            <w:tcBorders>
              <w:top w:val="nil"/>
              <w:left w:val="nil"/>
              <w:bottom w:val="single" w:sz="4" w:space="0" w:color="000000"/>
              <w:right w:val="nil"/>
            </w:tcBorders>
            <w:shd w:val="clear" w:color="auto" w:fill="auto"/>
            <w:noWrap/>
          </w:tcPr>
          <w:p w14:paraId="359D1E21" w14:textId="3F64631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0.0%</w:t>
            </w:r>
          </w:p>
        </w:tc>
        <w:tc>
          <w:tcPr>
            <w:tcW w:w="0" w:type="dxa"/>
            <w:tcBorders>
              <w:top w:val="nil"/>
              <w:left w:val="nil"/>
              <w:bottom w:val="single" w:sz="4" w:space="0" w:color="000000"/>
              <w:right w:val="nil"/>
            </w:tcBorders>
            <w:shd w:val="clear" w:color="auto" w:fill="auto"/>
          </w:tcPr>
          <w:p w14:paraId="6799AA42" w14:textId="0939AC4B" w:rsidR="00981BF0" w:rsidRPr="005B667B" w:rsidRDefault="00EE3602" w:rsidP="00981BF0">
            <w:pPr>
              <w:spacing w:after="0" w:line="240" w:lineRule="auto"/>
              <w:jc w:val="center"/>
              <w:rPr>
                <w:rFonts w:asciiTheme="minorHAnsi" w:hAnsiTheme="minorHAnsi" w:cs="Arial"/>
                <w:sz w:val="16"/>
                <w:szCs w:val="16"/>
              </w:rPr>
            </w:pPr>
            <w:r w:rsidRPr="00245F0F">
              <w:t>$698</w:t>
            </w:r>
          </w:p>
        </w:tc>
        <w:tc>
          <w:tcPr>
            <w:tcW w:w="0" w:type="dxa"/>
            <w:tcBorders>
              <w:top w:val="nil"/>
              <w:left w:val="nil"/>
              <w:bottom w:val="single" w:sz="4" w:space="0" w:color="000000"/>
              <w:right w:val="nil"/>
            </w:tcBorders>
            <w:shd w:val="clear" w:color="auto" w:fill="auto"/>
          </w:tcPr>
          <w:p w14:paraId="0D2590C1" w14:textId="04936B4D" w:rsidR="00981BF0" w:rsidRPr="005B667B" w:rsidRDefault="00EE3602" w:rsidP="00981BF0">
            <w:pPr>
              <w:spacing w:after="0" w:line="240" w:lineRule="auto"/>
              <w:jc w:val="center"/>
              <w:rPr>
                <w:rFonts w:asciiTheme="minorHAnsi" w:hAnsiTheme="minorHAnsi" w:cs="Arial"/>
                <w:sz w:val="16"/>
                <w:szCs w:val="16"/>
              </w:rPr>
            </w:pPr>
            <w:r w:rsidRPr="00245F0F">
              <w:t>4.4%</w:t>
            </w:r>
          </w:p>
        </w:tc>
      </w:tr>
      <w:tr w:rsidR="00981BF0" w:rsidRPr="00B10DAE" w14:paraId="6623407C" w14:textId="77777777" w:rsidTr="00416131">
        <w:trPr>
          <w:trHeight w:val="210"/>
        </w:trPr>
        <w:tc>
          <w:tcPr>
            <w:tcW w:w="0" w:type="dxa"/>
            <w:gridSpan w:val="2"/>
            <w:noWrap/>
            <w:hideMark/>
          </w:tcPr>
          <w:p w14:paraId="23BBB043"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Psych</w:t>
            </w:r>
          </w:p>
        </w:tc>
        <w:tc>
          <w:tcPr>
            <w:tcW w:w="0" w:type="dxa"/>
            <w:tcBorders>
              <w:top w:val="nil"/>
              <w:left w:val="nil"/>
              <w:bottom w:val="single" w:sz="4" w:space="0" w:color="000000"/>
              <w:right w:val="nil"/>
            </w:tcBorders>
            <w:shd w:val="clear" w:color="auto" w:fill="auto"/>
            <w:noWrap/>
          </w:tcPr>
          <w:p w14:paraId="7265D094" w14:textId="26882957"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$199,334</w:t>
            </w:r>
          </w:p>
        </w:tc>
        <w:tc>
          <w:tcPr>
            <w:tcW w:w="0" w:type="dxa"/>
            <w:tcBorders>
              <w:top w:val="nil"/>
              <w:left w:val="nil"/>
              <w:bottom w:val="single" w:sz="4" w:space="0" w:color="000000"/>
              <w:right w:val="nil"/>
            </w:tcBorders>
            <w:shd w:val="clear" w:color="auto" w:fill="auto"/>
            <w:noWrap/>
          </w:tcPr>
          <w:p w14:paraId="46FFC097" w14:textId="50A6A334"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$7</w:t>
            </w:r>
          </w:p>
        </w:tc>
        <w:tc>
          <w:tcPr>
            <w:tcW w:w="0" w:type="dxa"/>
            <w:tcBorders>
              <w:top w:val="nil"/>
              <w:left w:val="nil"/>
              <w:bottom w:val="single" w:sz="4" w:space="0" w:color="000000"/>
              <w:right w:val="nil"/>
            </w:tcBorders>
            <w:shd w:val="clear" w:color="auto" w:fill="auto"/>
            <w:noWrap/>
          </w:tcPr>
          <w:p w14:paraId="5C8C4063" w14:textId="23CFEF5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0.0%</w:t>
            </w:r>
          </w:p>
        </w:tc>
        <w:tc>
          <w:tcPr>
            <w:tcW w:w="0" w:type="dxa"/>
            <w:tcBorders>
              <w:top w:val="nil"/>
              <w:left w:val="nil"/>
              <w:bottom w:val="single" w:sz="4" w:space="0" w:color="000000"/>
              <w:right w:val="nil"/>
            </w:tcBorders>
            <w:shd w:val="clear" w:color="auto" w:fill="auto"/>
          </w:tcPr>
          <w:p w14:paraId="0B8F0683" w14:textId="7B1E84B8" w:rsidR="00981BF0" w:rsidRPr="005B667B" w:rsidRDefault="00EE3602" w:rsidP="00981BF0">
            <w:pPr>
              <w:spacing w:after="0" w:line="240" w:lineRule="auto"/>
              <w:jc w:val="center"/>
              <w:rPr>
                <w:rFonts w:asciiTheme="minorHAnsi" w:hAnsiTheme="minorHAnsi" w:cs="Arial"/>
                <w:sz w:val="16"/>
                <w:szCs w:val="16"/>
              </w:rPr>
            </w:pPr>
            <w:r w:rsidRPr="00245F0F">
              <w:t>$185</w:t>
            </w:r>
          </w:p>
        </w:tc>
        <w:tc>
          <w:tcPr>
            <w:tcW w:w="0" w:type="dxa"/>
            <w:tcBorders>
              <w:top w:val="nil"/>
              <w:left w:val="nil"/>
              <w:bottom w:val="single" w:sz="4" w:space="0" w:color="000000"/>
              <w:right w:val="nil"/>
            </w:tcBorders>
            <w:shd w:val="clear" w:color="auto" w:fill="auto"/>
          </w:tcPr>
          <w:p w14:paraId="08F97C53" w14:textId="5CD6810D" w:rsidR="00981BF0" w:rsidRPr="005B667B" w:rsidRDefault="00EE3602" w:rsidP="00981BF0">
            <w:pPr>
              <w:spacing w:after="0" w:line="240" w:lineRule="auto"/>
              <w:jc w:val="center"/>
              <w:rPr>
                <w:rFonts w:asciiTheme="minorHAnsi" w:hAnsiTheme="minorHAnsi" w:cs="Arial"/>
                <w:sz w:val="16"/>
                <w:szCs w:val="16"/>
              </w:rPr>
            </w:pPr>
            <w:r w:rsidRPr="00245F0F">
              <w:t>1.1%</w:t>
            </w:r>
          </w:p>
        </w:tc>
      </w:tr>
      <w:tr w:rsidR="00981BF0" w:rsidRPr="00B10DAE" w14:paraId="360E6F0D" w14:textId="77777777" w:rsidTr="00416131">
        <w:trPr>
          <w:trHeight w:val="210"/>
        </w:trPr>
        <w:tc>
          <w:tcPr>
            <w:tcW w:w="0" w:type="dxa"/>
            <w:gridSpan w:val="2"/>
            <w:noWrap/>
            <w:hideMark/>
          </w:tcPr>
          <w:p w14:paraId="716DC80F"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OtherSoc&amp;Cult</w:t>
            </w:r>
          </w:p>
        </w:tc>
        <w:tc>
          <w:tcPr>
            <w:tcW w:w="0" w:type="dxa"/>
            <w:tcBorders>
              <w:top w:val="nil"/>
              <w:left w:val="nil"/>
              <w:bottom w:val="single" w:sz="4" w:space="0" w:color="000000"/>
              <w:right w:val="nil"/>
            </w:tcBorders>
            <w:shd w:val="clear" w:color="auto" w:fill="auto"/>
            <w:noWrap/>
          </w:tcPr>
          <w:p w14:paraId="1BA0E0B0" w14:textId="2C21B374"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$6,390,807</w:t>
            </w:r>
          </w:p>
        </w:tc>
        <w:tc>
          <w:tcPr>
            <w:tcW w:w="0" w:type="dxa"/>
            <w:tcBorders>
              <w:top w:val="nil"/>
              <w:left w:val="nil"/>
              <w:bottom w:val="single" w:sz="4" w:space="0" w:color="000000"/>
              <w:right w:val="nil"/>
            </w:tcBorders>
            <w:shd w:val="clear" w:color="auto" w:fill="auto"/>
            <w:noWrap/>
          </w:tcPr>
          <w:p w14:paraId="05D86F85" w14:textId="23EE39E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$38</w:t>
            </w:r>
          </w:p>
        </w:tc>
        <w:tc>
          <w:tcPr>
            <w:tcW w:w="0" w:type="dxa"/>
            <w:tcBorders>
              <w:top w:val="nil"/>
              <w:left w:val="nil"/>
              <w:bottom w:val="single" w:sz="4" w:space="0" w:color="000000"/>
              <w:right w:val="nil"/>
            </w:tcBorders>
            <w:shd w:val="clear" w:color="auto" w:fill="auto"/>
            <w:noWrap/>
          </w:tcPr>
          <w:p w14:paraId="5B3B01E7" w14:textId="05309882"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0.2%</w:t>
            </w:r>
          </w:p>
        </w:tc>
        <w:tc>
          <w:tcPr>
            <w:tcW w:w="0" w:type="dxa"/>
            <w:tcBorders>
              <w:top w:val="nil"/>
              <w:left w:val="nil"/>
              <w:bottom w:val="single" w:sz="4" w:space="0" w:color="000000"/>
              <w:right w:val="nil"/>
            </w:tcBorders>
            <w:shd w:val="clear" w:color="auto" w:fill="auto"/>
          </w:tcPr>
          <w:p w14:paraId="01C4EACA" w14:textId="3457662E" w:rsidR="00981BF0" w:rsidRPr="005B667B" w:rsidRDefault="00EE3602" w:rsidP="00981BF0">
            <w:pPr>
              <w:spacing w:after="0" w:line="240" w:lineRule="auto"/>
              <w:jc w:val="center"/>
              <w:rPr>
                <w:rFonts w:asciiTheme="minorHAnsi" w:hAnsiTheme="minorHAnsi" w:cs="Arial"/>
                <w:sz w:val="16"/>
                <w:szCs w:val="16"/>
              </w:rPr>
            </w:pPr>
            <w:r w:rsidRPr="00245F0F">
              <w:t>$338</w:t>
            </w:r>
          </w:p>
        </w:tc>
        <w:tc>
          <w:tcPr>
            <w:tcW w:w="0" w:type="dxa"/>
            <w:tcBorders>
              <w:top w:val="nil"/>
              <w:left w:val="nil"/>
              <w:bottom w:val="single" w:sz="4" w:space="0" w:color="000000"/>
              <w:right w:val="nil"/>
            </w:tcBorders>
            <w:shd w:val="clear" w:color="auto" w:fill="auto"/>
          </w:tcPr>
          <w:p w14:paraId="7A700220" w14:textId="17F7B9F8" w:rsidR="00981BF0" w:rsidRPr="005B667B" w:rsidRDefault="00EE3602" w:rsidP="00981BF0">
            <w:pPr>
              <w:spacing w:after="0" w:line="240" w:lineRule="auto"/>
              <w:jc w:val="center"/>
              <w:rPr>
                <w:rFonts w:asciiTheme="minorHAnsi" w:hAnsiTheme="minorHAnsi" w:cs="Arial"/>
                <w:sz w:val="16"/>
                <w:szCs w:val="16"/>
              </w:rPr>
            </w:pPr>
            <w:r w:rsidRPr="00245F0F">
              <w:t>2.2%</w:t>
            </w:r>
          </w:p>
        </w:tc>
      </w:tr>
      <w:tr w:rsidR="00981BF0" w:rsidRPr="00B10DAE" w14:paraId="19B2AA98" w14:textId="77777777" w:rsidTr="00416131">
        <w:trPr>
          <w:trHeight w:val="210"/>
        </w:trPr>
        <w:tc>
          <w:tcPr>
            <w:tcW w:w="0" w:type="dxa"/>
            <w:gridSpan w:val="2"/>
            <w:noWrap/>
            <w:hideMark/>
          </w:tcPr>
          <w:p w14:paraId="62C72601"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Comms&amp;Media</w:t>
            </w:r>
          </w:p>
        </w:tc>
        <w:tc>
          <w:tcPr>
            <w:tcW w:w="0" w:type="dxa"/>
            <w:tcBorders>
              <w:top w:val="nil"/>
              <w:left w:val="nil"/>
              <w:bottom w:val="single" w:sz="4" w:space="0" w:color="000000"/>
              <w:right w:val="nil"/>
            </w:tcBorders>
            <w:shd w:val="clear" w:color="auto" w:fill="auto"/>
            <w:noWrap/>
          </w:tcPr>
          <w:p w14:paraId="0D09DDDE" w14:textId="15A62EF8"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$1,595,759</w:t>
            </w:r>
          </w:p>
        </w:tc>
        <w:tc>
          <w:tcPr>
            <w:tcW w:w="0" w:type="dxa"/>
            <w:tcBorders>
              <w:top w:val="nil"/>
              <w:left w:val="nil"/>
              <w:bottom w:val="single" w:sz="4" w:space="0" w:color="000000"/>
              <w:right w:val="nil"/>
            </w:tcBorders>
            <w:shd w:val="clear" w:color="auto" w:fill="auto"/>
            <w:noWrap/>
          </w:tcPr>
          <w:p w14:paraId="4E913788" w14:textId="2364ABB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$50</w:t>
            </w:r>
          </w:p>
        </w:tc>
        <w:tc>
          <w:tcPr>
            <w:tcW w:w="0" w:type="dxa"/>
            <w:tcBorders>
              <w:top w:val="nil"/>
              <w:left w:val="nil"/>
              <w:bottom w:val="single" w:sz="4" w:space="0" w:color="000000"/>
              <w:right w:val="nil"/>
            </w:tcBorders>
            <w:shd w:val="clear" w:color="auto" w:fill="auto"/>
            <w:noWrap/>
          </w:tcPr>
          <w:p w14:paraId="340C4ADA" w14:textId="681BB011"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0.3%</w:t>
            </w:r>
          </w:p>
        </w:tc>
        <w:tc>
          <w:tcPr>
            <w:tcW w:w="0" w:type="dxa"/>
            <w:tcBorders>
              <w:top w:val="nil"/>
              <w:left w:val="nil"/>
              <w:bottom w:val="single" w:sz="4" w:space="0" w:color="000000"/>
              <w:right w:val="nil"/>
            </w:tcBorders>
            <w:shd w:val="clear" w:color="auto" w:fill="auto"/>
          </w:tcPr>
          <w:p w14:paraId="56A05CFE" w14:textId="093E654E" w:rsidR="00981BF0" w:rsidRPr="005B667B" w:rsidRDefault="00EE3602" w:rsidP="00981BF0">
            <w:pPr>
              <w:spacing w:after="0" w:line="240" w:lineRule="auto"/>
              <w:jc w:val="center"/>
              <w:rPr>
                <w:rFonts w:asciiTheme="minorHAnsi" w:hAnsiTheme="minorHAnsi" w:cs="Arial"/>
                <w:sz w:val="16"/>
                <w:szCs w:val="16"/>
              </w:rPr>
            </w:pPr>
            <w:r w:rsidRPr="00245F0F">
              <w:t>$448</w:t>
            </w:r>
          </w:p>
        </w:tc>
        <w:tc>
          <w:tcPr>
            <w:tcW w:w="0" w:type="dxa"/>
            <w:tcBorders>
              <w:top w:val="nil"/>
              <w:left w:val="nil"/>
              <w:bottom w:val="single" w:sz="4" w:space="0" w:color="000000"/>
              <w:right w:val="nil"/>
            </w:tcBorders>
            <w:shd w:val="clear" w:color="auto" w:fill="auto"/>
          </w:tcPr>
          <w:p w14:paraId="611C6745" w14:textId="39C10EBE" w:rsidR="00981BF0" w:rsidRPr="005B667B" w:rsidRDefault="00EE3602" w:rsidP="00981BF0">
            <w:pPr>
              <w:spacing w:after="0" w:line="240" w:lineRule="auto"/>
              <w:jc w:val="center"/>
              <w:rPr>
                <w:rFonts w:asciiTheme="minorHAnsi" w:hAnsiTheme="minorHAnsi" w:cs="Arial"/>
                <w:sz w:val="16"/>
                <w:szCs w:val="16"/>
              </w:rPr>
            </w:pPr>
            <w:r w:rsidRPr="00245F0F">
              <w:t>2.6%</w:t>
            </w:r>
          </w:p>
        </w:tc>
      </w:tr>
      <w:tr w:rsidR="00981BF0" w:rsidRPr="00B10DAE" w14:paraId="2E54CBBC" w14:textId="77777777" w:rsidTr="00416131">
        <w:trPr>
          <w:trHeight w:val="210"/>
        </w:trPr>
        <w:tc>
          <w:tcPr>
            <w:tcW w:w="0" w:type="dxa"/>
            <w:gridSpan w:val="2"/>
            <w:noWrap/>
            <w:hideMark/>
          </w:tcPr>
          <w:p w14:paraId="76474B9A"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OthCreative</w:t>
            </w:r>
          </w:p>
        </w:tc>
        <w:tc>
          <w:tcPr>
            <w:tcW w:w="0" w:type="dxa"/>
            <w:tcBorders>
              <w:top w:val="nil"/>
              <w:left w:val="nil"/>
              <w:bottom w:val="single" w:sz="4" w:space="0" w:color="000000"/>
              <w:right w:val="nil"/>
            </w:tcBorders>
            <w:shd w:val="clear" w:color="auto" w:fill="auto"/>
            <w:noWrap/>
          </w:tcPr>
          <w:p w14:paraId="282C509A" w14:textId="3E5F6BB6"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$1,049,928</w:t>
            </w:r>
          </w:p>
        </w:tc>
        <w:tc>
          <w:tcPr>
            <w:tcW w:w="0" w:type="dxa"/>
            <w:tcBorders>
              <w:top w:val="nil"/>
              <w:left w:val="nil"/>
              <w:bottom w:val="single" w:sz="4" w:space="0" w:color="000000"/>
              <w:right w:val="nil"/>
            </w:tcBorders>
            <w:shd w:val="clear" w:color="auto" w:fill="auto"/>
            <w:noWrap/>
          </w:tcPr>
          <w:p w14:paraId="471CEEF3" w14:textId="6DB3F30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$36</w:t>
            </w:r>
          </w:p>
        </w:tc>
        <w:tc>
          <w:tcPr>
            <w:tcW w:w="0" w:type="dxa"/>
            <w:tcBorders>
              <w:top w:val="nil"/>
              <w:left w:val="nil"/>
              <w:bottom w:val="single" w:sz="4" w:space="0" w:color="000000"/>
              <w:right w:val="nil"/>
            </w:tcBorders>
            <w:shd w:val="clear" w:color="auto" w:fill="auto"/>
            <w:noWrap/>
          </w:tcPr>
          <w:p w14:paraId="3C07B34C" w14:textId="2B7FC33D"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0.2%</w:t>
            </w:r>
          </w:p>
        </w:tc>
        <w:tc>
          <w:tcPr>
            <w:tcW w:w="0" w:type="dxa"/>
            <w:tcBorders>
              <w:top w:val="nil"/>
              <w:left w:val="nil"/>
              <w:bottom w:val="single" w:sz="4" w:space="0" w:color="000000"/>
              <w:right w:val="nil"/>
            </w:tcBorders>
            <w:shd w:val="clear" w:color="auto" w:fill="auto"/>
          </w:tcPr>
          <w:p w14:paraId="0E764E58" w14:textId="5F71D7B2" w:rsidR="00981BF0" w:rsidRPr="005B667B" w:rsidRDefault="00EE3602" w:rsidP="00981BF0">
            <w:pPr>
              <w:spacing w:after="0" w:line="240" w:lineRule="auto"/>
              <w:jc w:val="center"/>
              <w:rPr>
                <w:rFonts w:asciiTheme="minorHAnsi" w:hAnsiTheme="minorHAnsi" w:cs="Arial"/>
                <w:sz w:val="16"/>
                <w:szCs w:val="16"/>
              </w:rPr>
            </w:pPr>
            <w:r w:rsidRPr="00245F0F">
              <w:t>$783</w:t>
            </w:r>
          </w:p>
        </w:tc>
        <w:tc>
          <w:tcPr>
            <w:tcW w:w="0" w:type="dxa"/>
            <w:tcBorders>
              <w:top w:val="nil"/>
              <w:left w:val="nil"/>
              <w:bottom w:val="single" w:sz="4" w:space="0" w:color="000000"/>
              <w:right w:val="nil"/>
            </w:tcBorders>
            <w:shd w:val="clear" w:color="auto" w:fill="auto"/>
          </w:tcPr>
          <w:p w14:paraId="6BA83060" w14:textId="2D6CAE04" w:rsidR="00981BF0" w:rsidRPr="005B667B" w:rsidRDefault="00EE3602" w:rsidP="00981BF0">
            <w:pPr>
              <w:spacing w:after="0" w:line="240" w:lineRule="auto"/>
              <w:jc w:val="center"/>
              <w:rPr>
                <w:rFonts w:asciiTheme="minorHAnsi" w:hAnsiTheme="minorHAnsi" w:cs="Arial"/>
                <w:sz w:val="16"/>
                <w:szCs w:val="16"/>
              </w:rPr>
            </w:pPr>
            <w:r w:rsidRPr="00245F0F">
              <w:t>3.9%</w:t>
            </w:r>
          </w:p>
        </w:tc>
      </w:tr>
      <w:tr w:rsidR="00981BF0" w:rsidRPr="00B10DAE" w14:paraId="546987F0" w14:textId="77777777" w:rsidTr="00416131">
        <w:trPr>
          <w:trHeight w:val="210"/>
        </w:trPr>
        <w:tc>
          <w:tcPr>
            <w:tcW w:w="0" w:type="dxa"/>
            <w:gridSpan w:val="2"/>
            <w:noWrap/>
            <w:hideMark/>
          </w:tcPr>
          <w:p w14:paraId="0618C4B1"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FoodHosp&amp;Person</w:t>
            </w:r>
          </w:p>
        </w:tc>
        <w:tc>
          <w:tcPr>
            <w:tcW w:w="0" w:type="dxa"/>
            <w:tcBorders>
              <w:top w:val="nil"/>
              <w:left w:val="nil"/>
              <w:bottom w:val="single" w:sz="4" w:space="0" w:color="000000"/>
              <w:right w:val="nil"/>
            </w:tcBorders>
            <w:shd w:val="clear" w:color="auto" w:fill="auto"/>
            <w:noWrap/>
          </w:tcPr>
          <w:p w14:paraId="7F3E6229" w14:textId="3D5CADF0"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$106,136</w:t>
            </w:r>
          </w:p>
        </w:tc>
        <w:tc>
          <w:tcPr>
            <w:tcW w:w="0" w:type="dxa"/>
            <w:tcBorders>
              <w:top w:val="nil"/>
              <w:left w:val="nil"/>
              <w:bottom w:val="single" w:sz="4" w:space="0" w:color="000000"/>
              <w:right w:val="nil"/>
            </w:tcBorders>
            <w:shd w:val="clear" w:color="auto" w:fill="auto"/>
            <w:noWrap/>
          </w:tcPr>
          <w:p w14:paraId="1748B103" w14:textId="2789ABE7"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$2,621</w:t>
            </w:r>
          </w:p>
        </w:tc>
        <w:tc>
          <w:tcPr>
            <w:tcW w:w="0" w:type="dxa"/>
            <w:tcBorders>
              <w:top w:val="nil"/>
              <w:left w:val="nil"/>
              <w:bottom w:val="single" w:sz="4" w:space="0" w:color="000000"/>
              <w:right w:val="nil"/>
            </w:tcBorders>
            <w:shd w:val="clear" w:color="auto" w:fill="auto"/>
            <w:noWrap/>
          </w:tcPr>
          <w:p w14:paraId="5ABB8C24" w14:textId="67947CFB"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17.1%</w:t>
            </w:r>
          </w:p>
        </w:tc>
        <w:tc>
          <w:tcPr>
            <w:tcW w:w="0" w:type="dxa"/>
            <w:tcBorders>
              <w:top w:val="nil"/>
              <w:left w:val="nil"/>
              <w:bottom w:val="single" w:sz="4" w:space="0" w:color="000000"/>
              <w:right w:val="nil"/>
            </w:tcBorders>
            <w:shd w:val="clear" w:color="auto" w:fill="auto"/>
          </w:tcPr>
          <w:p w14:paraId="67FC28ED" w14:textId="468B8EA3" w:rsidR="00981BF0" w:rsidRPr="005B667B" w:rsidRDefault="00EE3602" w:rsidP="00981BF0">
            <w:pPr>
              <w:spacing w:after="0" w:line="240" w:lineRule="auto"/>
              <w:jc w:val="center"/>
              <w:rPr>
                <w:rFonts w:asciiTheme="minorHAnsi" w:hAnsiTheme="minorHAnsi" w:cs="Arial"/>
                <w:sz w:val="16"/>
                <w:szCs w:val="16"/>
              </w:rPr>
            </w:pPr>
            <w:r w:rsidRPr="00245F0F">
              <w:t>$3,860</w:t>
            </w:r>
          </w:p>
        </w:tc>
        <w:tc>
          <w:tcPr>
            <w:tcW w:w="0" w:type="dxa"/>
            <w:tcBorders>
              <w:top w:val="nil"/>
              <w:left w:val="nil"/>
              <w:bottom w:val="single" w:sz="4" w:space="0" w:color="000000"/>
              <w:right w:val="nil"/>
            </w:tcBorders>
            <w:shd w:val="clear" w:color="auto" w:fill="auto"/>
          </w:tcPr>
          <w:p w14:paraId="4FBB02DC" w14:textId="72EBDACE" w:rsidR="00981BF0" w:rsidRPr="005B667B" w:rsidRDefault="00EE3602" w:rsidP="00981BF0">
            <w:pPr>
              <w:spacing w:after="0" w:line="240" w:lineRule="auto"/>
              <w:jc w:val="center"/>
              <w:rPr>
                <w:rFonts w:asciiTheme="minorHAnsi" w:hAnsiTheme="minorHAnsi" w:cs="Arial"/>
                <w:sz w:val="16"/>
                <w:szCs w:val="16"/>
              </w:rPr>
            </w:pPr>
            <w:r w:rsidRPr="00245F0F">
              <w:t>30.8%</w:t>
            </w:r>
          </w:p>
        </w:tc>
      </w:tr>
      <w:tr w:rsidR="00981BF0" w:rsidRPr="00B10DAE" w14:paraId="0E5C0D11" w14:textId="77777777" w:rsidTr="00416131">
        <w:trPr>
          <w:trHeight w:val="210"/>
        </w:trPr>
        <w:tc>
          <w:tcPr>
            <w:tcW w:w="0" w:type="dxa"/>
            <w:gridSpan w:val="2"/>
            <w:noWrap/>
            <w:hideMark/>
          </w:tcPr>
          <w:p w14:paraId="6F90F01B" w14:textId="77777777" w:rsidR="00981BF0" w:rsidRPr="00BB165A" w:rsidRDefault="00981BF0" w:rsidP="00981BF0">
            <w:pPr>
              <w:spacing w:after="0" w:line="240" w:lineRule="auto"/>
              <w:rPr>
                <w:rFonts w:eastAsia="Times New Roman" w:cs="Arial"/>
                <w:sz w:val="16"/>
                <w:szCs w:val="14"/>
                <w:lang w:eastAsia="en-AU"/>
              </w:rPr>
            </w:pPr>
            <w:r w:rsidRPr="00BB165A">
              <w:rPr>
                <w:rFonts w:eastAsia="Times New Roman" w:cs="Arial"/>
                <w:sz w:val="16"/>
                <w:szCs w:val="14"/>
                <w:lang w:eastAsia="en-AU"/>
              </w:rPr>
              <w:t>MixedField</w:t>
            </w:r>
          </w:p>
        </w:tc>
        <w:tc>
          <w:tcPr>
            <w:tcW w:w="0" w:type="dxa"/>
            <w:tcBorders>
              <w:top w:val="nil"/>
              <w:left w:val="nil"/>
              <w:bottom w:val="single" w:sz="4" w:space="0" w:color="000000"/>
              <w:right w:val="nil"/>
            </w:tcBorders>
            <w:shd w:val="clear" w:color="auto" w:fill="auto"/>
            <w:noWrap/>
          </w:tcPr>
          <w:p w14:paraId="2658278F" w14:textId="5D35F7A3"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1EF25438" w14:textId="7A6A0A25"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noWrap/>
          </w:tcPr>
          <w:p w14:paraId="5195B5D2" w14:textId="511416CA" w:rsidR="00981BF0" w:rsidRPr="005B667B" w:rsidRDefault="00EE3602" w:rsidP="00981BF0">
            <w:pPr>
              <w:spacing w:after="0" w:line="240" w:lineRule="auto"/>
              <w:jc w:val="center"/>
              <w:rPr>
                <w:rFonts w:asciiTheme="minorHAnsi" w:eastAsia="Times New Roman" w:hAnsiTheme="minorHAnsi" w:cs="Arial"/>
                <w:sz w:val="16"/>
                <w:szCs w:val="16"/>
                <w:lang w:eastAsia="en-AU"/>
              </w:rPr>
            </w:pPr>
            <w:r w:rsidRPr="00633CF5">
              <w:t>-</w:t>
            </w:r>
          </w:p>
        </w:tc>
        <w:tc>
          <w:tcPr>
            <w:tcW w:w="0" w:type="dxa"/>
            <w:tcBorders>
              <w:top w:val="nil"/>
              <w:left w:val="nil"/>
              <w:bottom w:val="single" w:sz="4" w:space="0" w:color="000000"/>
              <w:right w:val="nil"/>
            </w:tcBorders>
            <w:shd w:val="clear" w:color="auto" w:fill="auto"/>
          </w:tcPr>
          <w:p w14:paraId="776D0C15" w14:textId="0ABB2C36" w:rsidR="00981BF0" w:rsidRPr="005B667B" w:rsidRDefault="00EE3602" w:rsidP="00981BF0">
            <w:pPr>
              <w:spacing w:after="0" w:line="240" w:lineRule="auto"/>
              <w:jc w:val="center"/>
              <w:rPr>
                <w:rFonts w:asciiTheme="minorHAnsi" w:hAnsiTheme="minorHAnsi" w:cs="Arial"/>
                <w:sz w:val="16"/>
                <w:szCs w:val="16"/>
              </w:rPr>
            </w:pPr>
            <w:r w:rsidRPr="00245F0F">
              <w:t>-</w:t>
            </w:r>
          </w:p>
        </w:tc>
        <w:tc>
          <w:tcPr>
            <w:tcW w:w="0" w:type="dxa"/>
            <w:tcBorders>
              <w:top w:val="nil"/>
              <w:left w:val="nil"/>
              <w:bottom w:val="single" w:sz="4" w:space="0" w:color="000000"/>
              <w:right w:val="nil"/>
            </w:tcBorders>
            <w:shd w:val="clear" w:color="auto" w:fill="auto"/>
          </w:tcPr>
          <w:p w14:paraId="2D7576D1" w14:textId="499BCB83" w:rsidR="00981BF0" w:rsidRPr="005B667B" w:rsidRDefault="00EE3602" w:rsidP="00981BF0">
            <w:pPr>
              <w:spacing w:after="0" w:line="240" w:lineRule="auto"/>
              <w:jc w:val="center"/>
              <w:rPr>
                <w:rFonts w:asciiTheme="minorHAnsi" w:hAnsiTheme="minorHAnsi" w:cs="Arial"/>
                <w:sz w:val="16"/>
                <w:szCs w:val="16"/>
              </w:rPr>
            </w:pPr>
            <w:r w:rsidRPr="00245F0F">
              <w:t>-</w:t>
            </w:r>
          </w:p>
        </w:tc>
      </w:tr>
      <w:tr w:rsidR="00981BF0" w:rsidRPr="00B10DAE" w14:paraId="21D5E658" w14:textId="77777777" w:rsidTr="00416131">
        <w:trPr>
          <w:trHeight w:val="210"/>
        </w:trPr>
        <w:tc>
          <w:tcPr>
            <w:tcW w:w="0" w:type="dxa"/>
            <w:gridSpan w:val="2"/>
            <w:noWrap/>
            <w:hideMark/>
          </w:tcPr>
          <w:p w14:paraId="7C6DF02E" w14:textId="77777777" w:rsidR="00981BF0" w:rsidRPr="00BB165A" w:rsidRDefault="00981BF0" w:rsidP="00981BF0">
            <w:pPr>
              <w:spacing w:after="0" w:line="240" w:lineRule="auto"/>
              <w:rPr>
                <w:rFonts w:eastAsia="Times New Roman" w:cs="Arial"/>
                <w:b/>
                <w:sz w:val="16"/>
                <w:szCs w:val="14"/>
                <w:lang w:eastAsia="en-AU"/>
              </w:rPr>
            </w:pPr>
            <w:r w:rsidRPr="00BB165A">
              <w:rPr>
                <w:rFonts w:eastAsia="Times New Roman" w:cs="Arial"/>
                <w:b/>
                <w:sz w:val="16"/>
                <w:szCs w:val="14"/>
                <w:lang w:eastAsia="en-AU"/>
              </w:rPr>
              <w:t>Total</w:t>
            </w:r>
          </w:p>
        </w:tc>
        <w:tc>
          <w:tcPr>
            <w:tcW w:w="0" w:type="dxa"/>
            <w:tcBorders>
              <w:top w:val="nil"/>
              <w:left w:val="nil"/>
              <w:bottom w:val="single" w:sz="4" w:space="0" w:color="auto"/>
              <w:right w:val="nil"/>
            </w:tcBorders>
            <w:shd w:val="clear" w:color="auto" w:fill="auto"/>
            <w:noWrap/>
          </w:tcPr>
          <w:p w14:paraId="20A41EF5" w14:textId="78DB4DC2" w:rsidR="00981BF0" w:rsidRPr="00883736" w:rsidRDefault="00EE3602" w:rsidP="00981BF0">
            <w:pPr>
              <w:spacing w:after="0" w:line="240" w:lineRule="auto"/>
              <w:jc w:val="center"/>
              <w:rPr>
                <w:rFonts w:asciiTheme="minorHAnsi" w:eastAsia="Times New Roman" w:hAnsiTheme="minorHAnsi" w:cs="Arial"/>
                <w:b/>
                <w:sz w:val="16"/>
                <w:szCs w:val="16"/>
                <w:lang w:eastAsia="en-AU"/>
              </w:rPr>
            </w:pPr>
            <w:r w:rsidRPr="00416131">
              <w:rPr>
                <w:b/>
                <w:bCs/>
              </w:rPr>
              <w:t>$89,941,125</w:t>
            </w:r>
          </w:p>
        </w:tc>
        <w:tc>
          <w:tcPr>
            <w:tcW w:w="0" w:type="dxa"/>
            <w:tcBorders>
              <w:top w:val="nil"/>
              <w:left w:val="nil"/>
              <w:bottom w:val="single" w:sz="4" w:space="0" w:color="auto"/>
              <w:right w:val="nil"/>
            </w:tcBorders>
            <w:shd w:val="clear" w:color="auto" w:fill="auto"/>
            <w:noWrap/>
          </w:tcPr>
          <w:p w14:paraId="5344556D" w14:textId="1042FE45" w:rsidR="00981BF0" w:rsidRPr="00883736" w:rsidRDefault="00EE3602" w:rsidP="00981BF0">
            <w:pPr>
              <w:spacing w:after="0" w:line="240" w:lineRule="auto"/>
              <w:jc w:val="center"/>
              <w:rPr>
                <w:rFonts w:asciiTheme="minorHAnsi" w:eastAsia="Times New Roman" w:hAnsiTheme="minorHAnsi" w:cs="Arial"/>
                <w:b/>
                <w:sz w:val="16"/>
                <w:szCs w:val="16"/>
                <w:lang w:eastAsia="en-AU"/>
              </w:rPr>
            </w:pPr>
            <w:r w:rsidRPr="00416131">
              <w:rPr>
                <w:b/>
                <w:bCs/>
              </w:rPr>
              <w:t>$99</w:t>
            </w:r>
          </w:p>
        </w:tc>
        <w:tc>
          <w:tcPr>
            <w:tcW w:w="0" w:type="dxa"/>
            <w:tcBorders>
              <w:top w:val="nil"/>
              <w:left w:val="nil"/>
              <w:bottom w:val="single" w:sz="4" w:space="0" w:color="auto"/>
              <w:right w:val="nil"/>
            </w:tcBorders>
            <w:shd w:val="clear" w:color="auto" w:fill="auto"/>
            <w:noWrap/>
          </w:tcPr>
          <w:p w14:paraId="7F8E07D1" w14:textId="75215B07" w:rsidR="00981BF0" w:rsidRPr="00883736" w:rsidRDefault="00EE3602" w:rsidP="00981BF0">
            <w:pPr>
              <w:spacing w:after="0" w:line="240" w:lineRule="auto"/>
              <w:jc w:val="center"/>
              <w:rPr>
                <w:rFonts w:asciiTheme="minorHAnsi" w:eastAsia="Times New Roman" w:hAnsiTheme="minorHAnsi" w:cs="Arial"/>
                <w:b/>
                <w:sz w:val="16"/>
                <w:szCs w:val="16"/>
                <w:lang w:eastAsia="en-AU"/>
              </w:rPr>
            </w:pPr>
            <w:r w:rsidRPr="00416131">
              <w:rPr>
                <w:b/>
                <w:bCs/>
              </w:rPr>
              <w:t>0.5%</w:t>
            </w:r>
          </w:p>
        </w:tc>
        <w:tc>
          <w:tcPr>
            <w:tcW w:w="0" w:type="dxa"/>
            <w:tcBorders>
              <w:top w:val="nil"/>
              <w:left w:val="nil"/>
              <w:bottom w:val="single" w:sz="4" w:space="0" w:color="auto"/>
              <w:right w:val="nil"/>
            </w:tcBorders>
            <w:shd w:val="clear" w:color="auto" w:fill="auto"/>
          </w:tcPr>
          <w:p w14:paraId="06CED93C" w14:textId="1BAE2411" w:rsidR="00981BF0" w:rsidRPr="00883736" w:rsidRDefault="00EE3602" w:rsidP="00981BF0">
            <w:pPr>
              <w:spacing w:after="0" w:line="240" w:lineRule="auto"/>
              <w:jc w:val="center"/>
              <w:rPr>
                <w:rFonts w:asciiTheme="minorHAnsi" w:hAnsiTheme="minorHAnsi" w:cs="Arial"/>
                <w:b/>
                <w:sz w:val="16"/>
                <w:szCs w:val="16"/>
              </w:rPr>
            </w:pPr>
            <w:r w:rsidRPr="00416131">
              <w:rPr>
                <w:b/>
                <w:bCs/>
              </w:rPr>
              <w:t>$813</w:t>
            </w:r>
          </w:p>
        </w:tc>
        <w:tc>
          <w:tcPr>
            <w:tcW w:w="0" w:type="dxa"/>
            <w:tcBorders>
              <w:top w:val="nil"/>
              <w:left w:val="nil"/>
              <w:bottom w:val="single" w:sz="4" w:space="0" w:color="auto"/>
              <w:right w:val="nil"/>
            </w:tcBorders>
            <w:shd w:val="clear" w:color="auto" w:fill="auto"/>
          </w:tcPr>
          <w:p w14:paraId="48709376" w14:textId="02AA51DB" w:rsidR="00981BF0" w:rsidRPr="00883736" w:rsidRDefault="00EE3602" w:rsidP="00981BF0">
            <w:pPr>
              <w:spacing w:after="0" w:line="240" w:lineRule="auto"/>
              <w:jc w:val="center"/>
              <w:rPr>
                <w:rFonts w:asciiTheme="minorHAnsi" w:hAnsiTheme="minorHAnsi" w:cs="Arial"/>
                <w:b/>
                <w:sz w:val="16"/>
                <w:szCs w:val="16"/>
              </w:rPr>
            </w:pPr>
            <w:r w:rsidRPr="00416131">
              <w:rPr>
                <w:b/>
                <w:bCs/>
              </w:rPr>
              <w:t>4.3%</w:t>
            </w:r>
          </w:p>
        </w:tc>
      </w:tr>
    </w:tbl>
    <w:p w14:paraId="291E86EF" w14:textId="77777777" w:rsidR="0045432E" w:rsidRPr="00BB165A" w:rsidRDefault="0045432E" w:rsidP="00416131">
      <w:pPr>
        <w:pStyle w:val="Heading3un-numbered"/>
        <w:spacing w:before="240"/>
      </w:pPr>
      <w:r w:rsidRPr="00BB165A">
        <w:t>Optional depreciation adjustment</w:t>
      </w:r>
    </w:p>
    <w:p w14:paraId="1525C36D" w14:textId="4E28C38F" w:rsidR="00852C0A" w:rsidRPr="00BB165A" w:rsidRDefault="00852C0A" w:rsidP="0045432E">
      <w:r w:rsidRPr="00BB165A">
        <w:t>Since the 2019 exercise</w:t>
      </w:r>
      <w:r w:rsidR="0045432E" w:rsidRPr="00BB165A">
        <w:t xml:space="preserve">, universities were permitted to include an optional depreciation adjustment to account for the use of fully depreciated assets or differences between book value and the fair value of their existing assets. An optional depreciation adjustment was included by </w:t>
      </w:r>
      <w:r w:rsidR="00C165BD" w:rsidRPr="00BB165A">
        <w:t>twelve</w:t>
      </w:r>
      <w:r w:rsidR="00BF6967" w:rsidRPr="00BB165A">
        <w:t xml:space="preserve"> </w:t>
      </w:r>
      <w:r w:rsidR="0045432E" w:rsidRPr="00BB165A">
        <w:t>universities</w:t>
      </w:r>
      <w:r w:rsidR="00C165BD" w:rsidRPr="00BB165A">
        <w:t xml:space="preserve"> in 2019 and </w:t>
      </w:r>
      <w:r w:rsidR="00926254" w:rsidRPr="00BB165A">
        <w:t xml:space="preserve">eleven in 2020. </w:t>
      </w:r>
    </w:p>
    <w:p w14:paraId="276E5E31" w14:textId="4AE8F92E" w:rsidR="005679A2" w:rsidRDefault="0045432E" w:rsidP="0045432E">
      <w:r w:rsidRPr="00BB165A">
        <w:t xml:space="preserve">As shown in </w:t>
      </w:r>
      <w:r w:rsidR="00926254" w:rsidRPr="00BB165A">
        <w:fldChar w:fldCharType="begin"/>
      </w:r>
      <w:r w:rsidR="00926254" w:rsidRPr="00BB165A">
        <w:instrText xml:space="preserve"> REF _Ref100057707 \r \h </w:instrText>
      </w:r>
      <w:r w:rsidR="00FE2B4B" w:rsidRPr="00BB165A">
        <w:instrText xml:space="preserve"> \* MERGEFORMAT </w:instrText>
      </w:r>
      <w:r w:rsidR="00926254" w:rsidRPr="00BB165A">
        <w:fldChar w:fldCharType="separate"/>
      </w:r>
      <w:r w:rsidR="00E83FB1">
        <w:t>Table 2.10</w:t>
      </w:r>
      <w:r w:rsidR="00926254" w:rsidRPr="00BB165A">
        <w:fldChar w:fldCharType="end"/>
      </w:r>
      <w:r w:rsidR="005D3D02">
        <w:t xml:space="preserve"> and </w:t>
      </w:r>
      <w:r w:rsidR="005D3D02">
        <w:fldChar w:fldCharType="begin"/>
      </w:r>
      <w:r w:rsidR="005D3D02">
        <w:instrText xml:space="preserve"> REF _Ref103332848 \r \h </w:instrText>
      </w:r>
      <w:r w:rsidR="005D3D02">
        <w:fldChar w:fldCharType="separate"/>
      </w:r>
      <w:r w:rsidR="00E83FB1">
        <w:t>Table 2.11</w:t>
      </w:r>
      <w:r w:rsidR="005D3D02">
        <w:fldChar w:fldCharType="end"/>
      </w:r>
      <w:r w:rsidR="005D3D02">
        <w:t xml:space="preserve"> </w:t>
      </w:r>
      <w:r w:rsidRPr="00BB165A">
        <w:t xml:space="preserve">below it added </w:t>
      </w:r>
      <w:r w:rsidR="00D27CB2" w:rsidRPr="00BB165A">
        <w:t xml:space="preserve">0.6% </w:t>
      </w:r>
      <w:r w:rsidRPr="00BB165A">
        <w:t xml:space="preserve">to average cost per EFTSL </w:t>
      </w:r>
      <w:r w:rsidR="00BF6967" w:rsidRPr="00BB165A">
        <w:t xml:space="preserve">for the </w:t>
      </w:r>
      <w:r w:rsidR="00D9579D" w:rsidRPr="00BB165A">
        <w:t xml:space="preserve">sector </w:t>
      </w:r>
      <w:r w:rsidR="00F87E17" w:rsidRPr="00BB165A">
        <w:t>in</w:t>
      </w:r>
      <w:r w:rsidR="00FE2B4B" w:rsidRPr="00BB165A">
        <w:t xml:space="preserve"> 2019</w:t>
      </w:r>
      <w:r w:rsidR="00D9579D" w:rsidRPr="00BB165A">
        <w:t xml:space="preserve"> </w:t>
      </w:r>
      <w:r w:rsidR="00770423" w:rsidRPr="00BB165A">
        <w:t xml:space="preserve">and 2020 </w:t>
      </w:r>
      <w:r w:rsidR="00D9579D" w:rsidRPr="00BB165A">
        <w:t>(both universities including and not including it)</w:t>
      </w:r>
      <w:r w:rsidR="005C7E6B" w:rsidRPr="00BB165A">
        <w:t xml:space="preserve">. </w:t>
      </w:r>
      <w:r w:rsidR="000C77D1" w:rsidRPr="00BB165A">
        <w:t>For those universities that reported the optional depreciation adjustment the impact on teaching and scholarship costs per EFTSL was 3.</w:t>
      </w:r>
      <w:r w:rsidR="002910C1">
        <w:t>1</w:t>
      </w:r>
      <w:r w:rsidR="000C77D1" w:rsidRPr="00BB165A">
        <w:t>% in 2019 and 3.</w:t>
      </w:r>
      <w:r w:rsidR="002910C1">
        <w:t>7</w:t>
      </w:r>
      <w:r w:rsidR="000C77D1" w:rsidRPr="00BB165A">
        <w:t>% in 2020.</w:t>
      </w:r>
      <w:r w:rsidR="000C77D1">
        <w:t xml:space="preserve"> </w:t>
      </w:r>
    </w:p>
    <w:p w14:paraId="55B12478" w14:textId="52F6E11D" w:rsidR="00FE2B4B" w:rsidRPr="00C275CB" w:rsidRDefault="00A25812" w:rsidP="0045432E">
      <w:r w:rsidRPr="00BB165A">
        <w:t xml:space="preserve">When looking at </w:t>
      </w:r>
      <w:r w:rsidR="00281366" w:rsidRPr="00BB165A">
        <w:t>the cost per EFTSL, the</w:t>
      </w:r>
      <w:r w:rsidR="0045432E" w:rsidRPr="00BB165A">
        <w:t xml:space="preserve"> impact was spread relatively evenly across FOE</w:t>
      </w:r>
      <w:r w:rsidR="00CC313B" w:rsidRPr="00BB165A">
        <w:t>s</w:t>
      </w:r>
      <w:r w:rsidR="00281366" w:rsidRPr="00BB165A">
        <w:t xml:space="preserve"> for both 2019 and 2020</w:t>
      </w:r>
      <w:r w:rsidRPr="00BB165A">
        <w:t xml:space="preserve">, </w:t>
      </w:r>
      <w:r w:rsidR="0045432E" w:rsidRPr="00BB165A">
        <w:t>consistent with capital costs being important for all FOEs.</w:t>
      </w:r>
      <w:r w:rsidR="0045432E">
        <w:t xml:space="preserve"> </w:t>
      </w:r>
    </w:p>
    <w:p w14:paraId="00994793" w14:textId="3DE9AE4B" w:rsidR="0045432E" w:rsidRPr="00BB165A" w:rsidRDefault="009A676B" w:rsidP="0045432E">
      <w:pPr>
        <w:pStyle w:val="CaptionTable"/>
      </w:pPr>
      <w:bookmarkStart w:id="650" w:name="_Toc105776718"/>
      <w:r>
        <w:t>:</w:t>
      </w:r>
      <w:r w:rsidR="0045432E">
        <w:t xml:space="preserve"> </w:t>
      </w:r>
      <w:bookmarkStart w:id="651" w:name="_Toc20245934"/>
      <w:bookmarkStart w:id="652" w:name="_Ref100057707"/>
      <w:r w:rsidR="0045432E" w:rsidRPr="00BB165A">
        <w:t>Impact of the optional depreciation adjustment on total teaching and scholarship costs</w:t>
      </w:r>
      <w:bookmarkEnd w:id="651"/>
      <w:bookmarkEnd w:id="652"/>
      <w:r w:rsidR="00926254" w:rsidRPr="00BB165A">
        <w:t xml:space="preserve"> </w:t>
      </w:r>
      <w:r w:rsidR="00395D59" w:rsidRPr="00BB165A">
        <w:t>(</w:t>
      </w:r>
      <w:r w:rsidR="00926254" w:rsidRPr="00BB165A">
        <w:t>2019</w:t>
      </w:r>
      <w:r w:rsidR="00395D59" w:rsidRPr="00BB165A">
        <w:t>)</w:t>
      </w:r>
      <w:bookmarkEnd w:id="650"/>
    </w:p>
    <w:tbl>
      <w:tblPr>
        <w:tblStyle w:val="Deloittetable"/>
        <w:tblW w:w="9072" w:type="dxa"/>
        <w:tblCellMar>
          <w:left w:w="57" w:type="dxa"/>
          <w:right w:w="57" w:type="dxa"/>
        </w:tblCellMar>
        <w:tblLook w:val="04A0" w:firstRow="1" w:lastRow="0" w:firstColumn="1" w:lastColumn="0" w:noHBand="0" w:noVBand="1"/>
      </w:tblPr>
      <w:tblGrid>
        <w:gridCol w:w="1661"/>
        <w:gridCol w:w="2406"/>
        <w:gridCol w:w="1339"/>
        <w:gridCol w:w="1293"/>
        <w:gridCol w:w="1229"/>
        <w:gridCol w:w="1144"/>
      </w:tblGrid>
      <w:tr w:rsidR="00D4620E" w:rsidRPr="00DE0596" w14:paraId="27B1890D" w14:textId="77777777" w:rsidTr="007E5AB1">
        <w:trPr>
          <w:cnfStyle w:val="100000000000" w:firstRow="1" w:lastRow="0" w:firstColumn="0" w:lastColumn="0" w:oddVBand="0" w:evenVBand="0" w:oddHBand="0" w:evenHBand="0" w:firstRowFirstColumn="0" w:firstRowLastColumn="0" w:lastRowFirstColumn="0" w:lastRowLastColumn="0"/>
          <w:trHeight w:val="446"/>
        </w:trPr>
        <w:tc>
          <w:tcPr>
            <w:tcW w:w="1661" w:type="dxa"/>
            <w:tcBorders>
              <w:left w:val="nil"/>
              <w:bottom w:val="single" w:sz="4" w:space="0" w:color="000000" w:themeColor="text1"/>
              <w:right w:val="nil"/>
            </w:tcBorders>
            <w:noWrap/>
            <w:hideMark/>
          </w:tcPr>
          <w:p w14:paraId="135B6FDA" w14:textId="2425EA35" w:rsidR="00D4620E" w:rsidRPr="00BB165A" w:rsidRDefault="00D4620E" w:rsidP="000B5B25">
            <w:pPr>
              <w:spacing w:after="0" w:line="240" w:lineRule="auto"/>
              <w:rPr>
                <w:rFonts w:eastAsia="Times New Roman" w:cs="Arial"/>
                <w:b/>
                <w:sz w:val="16"/>
                <w:szCs w:val="16"/>
                <w:lang w:eastAsia="en-AU"/>
              </w:rPr>
            </w:pPr>
            <w:r w:rsidRPr="00BB165A">
              <w:rPr>
                <w:rFonts w:eastAsia="Times New Roman" w:cs="Arial"/>
                <w:sz w:val="16"/>
                <w:szCs w:val="16"/>
                <w:lang w:eastAsia="en-AU"/>
              </w:rPr>
              <w:t> </w:t>
            </w:r>
            <w:r w:rsidR="00B70C2F">
              <w:rPr>
                <w:rFonts w:eastAsia="Times New Roman" w:cs="Arial"/>
                <w:b/>
                <w:sz w:val="16"/>
                <w:szCs w:val="16"/>
                <w:lang w:eastAsia="en-AU"/>
              </w:rPr>
              <w:t>FOE</w:t>
            </w:r>
          </w:p>
        </w:tc>
        <w:tc>
          <w:tcPr>
            <w:tcW w:w="2406" w:type="dxa"/>
            <w:tcBorders>
              <w:left w:val="nil"/>
              <w:bottom w:val="single" w:sz="4" w:space="0" w:color="000000" w:themeColor="text1"/>
              <w:right w:val="nil"/>
            </w:tcBorders>
            <w:noWrap/>
            <w:hideMark/>
          </w:tcPr>
          <w:p w14:paraId="35DEC06F" w14:textId="77777777" w:rsidR="00D4620E" w:rsidRPr="00BB165A" w:rsidRDefault="00D4620E"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total cost</w:t>
            </w:r>
          </w:p>
        </w:tc>
        <w:tc>
          <w:tcPr>
            <w:tcW w:w="1339" w:type="dxa"/>
            <w:tcBorders>
              <w:left w:val="nil"/>
              <w:bottom w:val="single" w:sz="4" w:space="0" w:color="000000" w:themeColor="text1"/>
              <w:right w:val="nil"/>
            </w:tcBorders>
            <w:noWrap/>
            <w:hideMark/>
          </w:tcPr>
          <w:p w14:paraId="3D89372E" w14:textId="77777777" w:rsidR="00D4620E" w:rsidRPr="00BB165A" w:rsidRDefault="00D4620E"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293" w:type="dxa"/>
            <w:tcBorders>
              <w:left w:val="nil"/>
              <w:bottom w:val="single" w:sz="4" w:space="0" w:color="000000" w:themeColor="text1"/>
              <w:right w:val="nil"/>
            </w:tcBorders>
            <w:hideMark/>
          </w:tcPr>
          <w:p w14:paraId="5416C191" w14:textId="77777777" w:rsidR="00D4620E" w:rsidRPr="00BB165A" w:rsidRDefault="00D4620E"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c>
          <w:tcPr>
            <w:tcW w:w="1255" w:type="dxa"/>
            <w:tcBorders>
              <w:left w:val="nil"/>
              <w:bottom w:val="single" w:sz="4" w:space="0" w:color="000000" w:themeColor="text1"/>
              <w:right w:val="nil"/>
            </w:tcBorders>
          </w:tcPr>
          <w:p w14:paraId="080CBA0F" w14:textId="77777777" w:rsidR="00D4620E" w:rsidRPr="00BB165A" w:rsidRDefault="00D4620E"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118" w:type="dxa"/>
            <w:tcBorders>
              <w:left w:val="nil"/>
              <w:bottom w:val="single" w:sz="4" w:space="0" w:color="000000" w:themeColor="text1"/>
              <w:right w:val="nil"/>
            </w:tcBorders>
          </w:tcPr>
          <w:p w14:paraId="6B4A97E1" w14:textId="77777777" w:rsidR="00D4620E" w:rsidRPr="00BB165A" w:rsidRDefault="00D4620E" w:rsidP="000B5B25">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r>
      <w:tr w:rsidR="007E5AB1" w:rsidRPr="00DE0596" w14:paraId="0876604E" w14:textId="77777777" w:rsidTr="007E5AB1">
        <w:trPr>
          <w:trHeight w:val="446"/>
        </w:trPr>
        <w:tc>
          <w:tcPr>
            <w:tcW w:w="1661" w:type="dxa"/>
            <w:tcBorders>
              <w:left w:val="nil"/>
              <w:bottom w:val="single" w:sz="4" w:space="0" w:color="000000" w:themeColor="text1"/>
              <w:right w:val="nil"/>
            </w:tcBorders>
            <w:noWrap/>
          </w:tcPr>
          <w:p w14:paraId="60E38A5E" w14:textId="77777777" w:rsidR="007E5AB1" w:rsidRPr="00BB165A" w:rsidRDefault="007E5AB1" w:rsidP="000B5B25">
            <w:pPr>
              <w:spacing w:after="0" w:line="240" w:lineRule="auto"/>
              <w:rPr>
                <w:rFonts w:eastAsia="Times New Roman" w:cs="Arial"/>
                <w:sz w:val="16"/>
                <w:szCs w:val="16"/>
                <w:lang w:eastAsia="en-AU"/>
              </w:rPr>
            </w:pPr>
          </w:p>
        </w:tc>
        <w:tc>
          <w:tcPr>
            <w:tcW w:w="5038" w:type="dxa"/>
            <w:gridSpan w:val="3"/>
            <w:tcBorders>
              <w:left w:val="nil"/>
              <w:bottom w:val="single" w:sz="4" w:space="0" w:color="000000" w:themeColor="text1"/>
              <w:right w:val="nil"/>
            </w:tcBorders>
            <w:noWrap/>
          </w:tcPr>
          <w:p w14:paraId="7B01716E" w14:textId="77777777" w:rsidR="007E5AB1" w:rsidRPr="00BB165A" w:rsidRDefault="007E5AB1" w:rsidP="000B5B2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2373" w:type="dxa"/>
            <w:gridSpan w:val="2"/>
            <w:tcBorders>
              <w:left w:val="nil"/>
              <w:bottom w:val="single" w:sz="4" w:space="0" w:color="000000" w:themeColor="text1"/>
              <w:right w:val="nil"/>
            </w:tcBorders>
          </w:tcPr>
          <w:p w14:paraId="01697FF4" w14:textId="77777777" w:rsidR="007E5AB1" w:rsidRPr="00BB165A" w:rsidRDefault="007E5AB1" w:rsidP="000B5B2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 xml:space="preserve">Universities who reported </w:t>
            </w:r>
          </w:p>
          <w:p w14:paraId="475E51D6" w14:textId="0C4F30AC" w:rsidR="007E5AB1" w:rsidRPr="00BB165A" w:rsidRDefault="007E5AB1" w:rsidP="000B5B25">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depreciation adjustment costs</w:t>
            </w:r>
          </w:p>
        </w:tc>
      </w:tr>
      <w:tr w:rsidR="007E5AB1" w:rsidRPr="00DE0596" w14:paraId="7B30D756"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40593BF2"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MathSci</w:t>
            </w:r>
          </w:p>
        </w:tc>
        <w:tc>
          <w:tcPr>
            <w:tcW w:w="2406" w:type="dxa"/>
            <w:tcBorders>
              <w:top w:val="single" w:sz="4" w:space="0" w:color="000000"/>
              <w:left w:val="nil"/>
              <w:bottom w:val="single" w:sz="4" w:space="0" w:color="000000"/>
              <w:right w:val="nil"/>
            </w:tcBorders>
            <w:shd w:val="clear" w:color="auto" w:fill="auto"/>
            <w:noWrap/>
          </w:tcPr>
          <w:p w14:paraId="3A5D81D0" w14:textId="26273B7F"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$3,232,340</w:t>
            </w:r>
          </w:p>
        </w:tc>
        <w:tc>
          <w:tcPr>
            <w:tcW w:w="1339" w:type="dxa"/>
            <w:tcBorders>
              <w:top w:val="single" w:sz="4" w:space="0" w:color="000000"/>
              <w:left w:val="nil"/>
              <w:bottom w:val="single" w:sz="4" w:space="0" w:color="000000"/>
              <w:right w:val="nil"/>
            </w:tcBorders>
            <w:shd w:val="clear" w:color="auto" w:fill="auto"/>
            <w:noWrap/>
          </w:tcPr>
          <w:p w14:paraId="3049ECAB" w14:textId="4A224C5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$103</w:t>
            </w:r>
          </w:p>
        </w:tc>
        <w:tc>
          <w:tcPr>
            <w:tcW w:w="1293" w:type="dxa"/>
            <w:tcBorders>
              <w:top w:val="single" w:sz="4" w:space="0" w:color="000000"/>
              <w:left w:val="nil"/>
              <w:bottom w:val="single" w:sz="4" w:space="0" w:color="000000"/>
              <w:right w:val="nil"/>
            </w:tcBorders>
            <w:shd w:val="clear" w:color="auto" w:fill="auto"/>
            <w:noWrap/>
          </w:tcPr>
          <w:p w14:paraId="1F092960" w14:textId="20D72083"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0.6%</w:t>
            </w:r>
          </w:p>
        </w:tc>
        <w:tc>
          <w:tcPr>
            <w:tcW w:w="1255" w:type="dxa"/>
            <w:tcBorders>
              <w:top w:val="single" w:sz="4" w:space="0" w:color="000000"/>
              <w:left w:val="nil"/>
              <w:bottom w:val="single" w:sz="4" w:space="0" w:color="000000"/>
              <w:right w:val="nil"/>
            </w:tcBorders>
            <w:shd w:val="clear" w:color="auto" w:fill="auto"/>
          </w:tcPr>
          <w:p w14:paraId="3D8505C4" w14:textId="78070DF0"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$609</w:t>
            </w:r>
          </w:p>
        </w:tc>
        <w:tc>
          <w:tcPr>
            <w:tcW w:w="1118" w:type="dxa"/>
            <w:tcBorders>
              <w:top w:val="single" w:sz="4" w:space="0" w:color="000000"/>
              <w:left w:val="nil"/>
              <w:bottom w:val="single" w:sz="4" w:space="0" w:color="000000"/>
              <w:right w:val="nil"/>
            </w:tcBorders>
            <w:shd w:val="clear" w:color="auto" w:fill="auto"/>
          </w:tcPr>
          <w:p w14:paraId="333B0B64" w14:textId="41AEB3E9"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2.2%</w:t>
            </w:r>
          </w:p>
        </w:tc>
      </w:tr>
      <w:tr w:rsidR="00D928FD" w:rsidRPr="00DE0596" w14:paraId="3D45D2E8"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1BC2008C"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MedicalSci</w:t>
            </w:r>
          </w:p>
        </w:tc>
        <w:tc>
          <w:tcPr>
            <w:tcW w:w="2406" w:type="dxa"/>
            <w:tcBorders>
              <w:top w:val="nil"/>
              <w:left w:val="nil"/>
              <w:bottom w:val="single" w:sz="4" w:space="0" w:color="000000"/>
              <w:right w:val="nil"/>
            </w:tcBorders>
            <w:shd w:val="clear" w:color="auto" w:fill="auto"/>
            <w:noWrap/>
          </w:tcPr>
          <w:p w14:paraId="7C9BA989" w14:textId="6638D812"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$1,330,319</w:t>
            </w:r>
          </w:p>
        </w:tc>
        <w:tc>
          <w:tcPr>
            <w:tcW w:w="1339" w:type="dxa"/>
            <w:tcBorders>
              <w:top w:val="nil"/>
              <w:left w:val="nil"/>
              <w:bottom w:val="single" w:sz="4" w:space="0" w:color="000000"/>
              <w:right w:val="nil"/>
            </w:tcBorders>
            <w:shd w:val="clear" w:color="auto" w:fill="auto"/>
            <w:noWrap/>
          </w:tcPr>
          <w:p w14:paraId="7AC3F330" w14:textId="2DC60FFE"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$214</w:t>
            </w:r>
          </w:p>
        </w:tc>
        <w:tc>
          <w:tcPr>
            <w:tcW w:w="1293" w:type="dxa"/>
            <w:tcBorders>
              <w:top w:val="nil"/>
              <w:left w:val="nil"/>
              <w:bottom w:val="single" w:sz="4" w:space="0" w:color="000000"/>
              <w:right w:val="nil"/>
            </w:tcBorders>
            <w:shd w:val="clear" w:color="auto" w:fill="auto"/>
            <w:noWrap/>
          </w:tcPr>
          <w:p w14:paraId="4A55738B" w14:textId="22605ADE"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0.9%</w:t>
            </w:r>
          </w:p>
        </w:tc>
        <w:tc>
          <w:tcPr>
            <w:tcW w:w="1255" w:type="dxa"/>
            <w:tcBorders>
              <w:top w:val="nil"/>
              <w:left w:val="nil"/>
              <w:bottom w:val="single" w:sz="4" w:space="0" w:color="000000"/>
              <w:right w:val="nil"/>
            </w:tcBorders>
            <w:shd w:val="clear" w:color="auto" w:fill="auto"/>
          </w:tcPr>
          <w:p w14:paraId="4B3E861E" w14:textId="658AB716"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$1,183</w:t>
            </w:r>
          </w:p>
        </w:tc>
        <w:tc>
          <w:tcPr>
            <w:tcW w:w="1118" w:type="dxa"/>
            <w:tcBorders>
              <w:top w:val="nil"/>
              <w:left w:val="nil"/>
              <w:bottom w:val="single" w:sz="4" w:space="0" w:color="000000"/>
              <w:right w:val="nil"/>
            </w:tcBorders>
            <w:shd w:val="clear" w:color="auto" w:fill="auto"/>
          </w:tcPr>
          <w:p w14:paraId="38AC18F2" w14:textId="159EA8E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4.8%</w:t>
            </w:r>
          </w:p>
        </w:tc>
      </w:tr>
      <w:tr w:rsidR="00D928FD" w:rsidRPr="00DE0596" w14:paraId="12CD9A3D"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3AB8E3B3"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OthNat-PhysSci</w:t>
            </w:r>
          </w:p>
        </w:tc>
        <w:tc>
          <w:tcPr>
            <w:tcW w:w="2406" w:type="dxa"/>
            <w:tcBorders>
              <w:top w:val="nil"/>
              <w:left w:val="nil"/>
              <w:bottom w:val="single" w:sz="4" w:space="0" w:color="000000"/>
              <w:right w:val="nil"/>
            </w:tcBorders>
            <w:shd w:val="clear" w:color="auto" w:fill="auto"/>
            <w:noWrap/>
          </w:tcPr>
          <w:p w14:paraId="62042690" w14:textId="02C34F16"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$14,735,354</w:t>
            </w:r>
          </w:p>
        </w:tc>
        <w:tc>
          <w:tcPr>
            <w:tcW w:w="1339" w:type="dxa"/>
            <w:tcBorders>
              <w:top w:val="nil"/>
              <w:left w:val="nil"/>
              <w:bottom w:val="single" w:sz="4" w:space="0" w:color="000000"/>
              <w:right w:val="nil"/>
            </w:tcBorders>
            <w:shd w:val="clear" w:color="auto" w:fill="auto"/>
            <w:noWrap/>
          </w:tcPr>
          <w:p w14:paraId="544848AA" w14:textId="19BDC14E"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$200</w:t>
            </w:r>
          </w:p>
        </w:tc>
        <w:tc>
          <w:tcPr>
            <w:tcW w:w="1293" w:type="dxa"/>
            <w:tcBorders>
              <w:top w:val="nil"/>
              <w:left w:val="nil"/>
              <w:bottom w:val="single" w:sz="4" w:space="0" w:color="000000"/>
              <w:right w:val="nil"/>
            </w:tcBorders>
            <w:shd w:val="clear" w:color="auto" w:fill="auto"/>
            <w:noWrap/>
          </w:tcPr>
          <w:p w14:paraId="7418803D" w14:textId="1FAD9DA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0.9%</w:t>
            </w:r>
          </w:p>
        </w:tc>
        <w:tc>
          <w:tcPr>
            <w:tcW w:w="1255" w:type="dxa"/>
            <w:tcBorders>
              <w:top w:val="nil"/>
              <w:left w:val="nil"/>
              <w:bottom w:val="single" w:sz="4" w:space="0" w:color="000000"/>
              <w:right w:val="nil"/>
            </w:tcBorders>
            <w:shd w:val="clear" w:color="auto" w:fill="auto"/>
          </w:tcPr>
          <w:p w14:paraId="6AFCA63C" w14:textId="62864272"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$1,097</w:t>
            </w:r>
          </w:p>
        </w:tc>
        <w:tc>
          <w:tcPr>
            <w:tcW w:w="1118" w:type="dxa"/>
            <w:tcBorders>
              <w:top w:val="nil"/>
              <w:left w:val="nil"/>
              <w:bottom w:val="single" w:sz="4" w:space="0" w:color="000000"/>
              <w:right w:val="nil"/>
            </w:tcBorders>
            <w:shd w:val="clear" w:color="auto" w:fill="auto"/>
          </w:tcPr>
          <w:p w14:paraId="79823238" w14:textId="53AFF863"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3.9%</w:t>
            </w:r>
          </w:p>
        </w:tc>
      </w:tr>
      <w:tr w:rsidR="00D928FD" w:rsidRPr="00DE0596" w14:paraId="4BB0C1A8"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74A2CE6E"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InfoTech</w:t>
            </w:r>
          </w:p>
        </w:tc>
        <w:tc>
          <w:tcPr>
            <w:tcW w:w="2406" w:type="dxa"/>
            <w:tcBorders>
              <w:top w:val="nil"/>
              <w:left w:val="nil"/>
              <w:bottom w:val="single" w:sz="4" w:space="0" w:color="000000"/>
              <w:right w:val="nil"/>
            </w:tcBorders>
            <w:shd w:val="clear" w:color="auto" w:fill="auto"/>
            <w:noWrap/>
          </w:tcPr>
          <w:p w14:paraId="24D63B9D" w14:textId="20D8DA2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$3,463,742</w:t>
            </w:r>
          </w:p>
        </w:tc>
        <w:tc>
          <w:tcPr>
            <w:tcW w:w="1339" w:type="dxa"/>
            <w:tcBorders>
              <w:top w:val="nil"/>
              <w:left w:val="nil"/>
              <w:bottom w:val="single" w:sz="4" w:space="0" w:color="000000"/>
              <w:right w:val="nil"/>
            </w:tcBorders>
            <w:shd w:val="clear" w:color="auto" w:fill="auto"/>
            <w:noWrap/>
          </w:tcPr>
          <w:p w14:paraId="49B9AE02" w14:textId="3A363BD3"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$51</w:t>
            </w:r>
          </w:p>
        </w:tc>
        <w:tc>
          <w:tcPr>
            <w:tcW w:w="1293" w:type="dxa"/>
            <w:tcBorders>
              <w:top w:val="nil"/>
              <w:left w:val="nil"/>
              <w:bottom w:val="single" w:sz="4" w:space="0" w:color="000000"/>
              <w:right w:val="nil"/>
            </w:tcBorders>
            <w:shd w:val="clear" w:color="auto" w:fill="auto"/>
            <w:noWrap/>
          </w:tcPr>
          <w:p w14:paraId="73555080" w14:textId="4DA1DAD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0.3%</w:t>
            </w:r>
          </w:p>
        </w:tc>
        <w:tc>
          <w:tcPr>
            <w:tcW w:w="1255" w:type="dxa"/>
            <w:tcBorders>
              <w:top w:val="nil"/>
              <w:left w:val="nil"/>
              <w:bottom w:val="single" w:sz="4" w:space="0" w:color="000000"/>
              <w:right w:val="nil"/>
            </w:tcBorders>
            <w:shd w:val="clear" w:color="auto" w:fill="auto"/>
          </w:tcPr>
          <w:p w14:paraId="2AFE2D2C" w14:textId="5554D44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$481</w:t>
            </w:r>
          </w:p>
        </w:tc>
        <w:tc>
          <w:tcPr>
            <w:tcW w:w="1118" w:type="dxa"/>
            <w:tcBorders>
              <w:top w:val="nil"/>
              <w:left w:val="nil"/>
              <w:bottom w:val="single" w:sz="4" w:space="0" w:color="000000"/>
              <w:right w:val="nil"/>
            </w:tcBorders>
            <w:shd w:val="clear" w:color="auto" w:fill="auto"/>
          </w:tcPr>
          <w:p w14:paraId="7417AF66" w14:textId="32616D48"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3.0%</w:t>
            </w:r>
          </w:p>
        </w:tc>
      </w:tr>
      <w:tr w:rsidR="00D928FD" w:rsidRPr="00DE0596" w14:paraId="3FADD11E"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57022F8F"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Eng&amp;Related</w:t>
            </w:r>
          </w:p>
        </w:tc>
        <w:tc>
          <w:tcPr>
            <w:tcW w:w="2406" w:type="dxa"/>
            <w:tcBorders>
              <w:top w:val="nil"/>
              <w:left w:val="nil"/>
              <w:bottom w:val="single" w:sz="4" w:space="0" w:color="000000"/>
              <w:right w:val="nil"/>
            </w:tcBorders>
            <w:shd w:val="clear" w:color="auto" w:fill="auto"/>
            <w:noWrap/>
          </w:tcPr>
          <w:p w14:paraId="09E75F83" w14:textId="5EAA3ECB"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$8,778,829</w:t>
            </w:r>
          </w:p>
        </w:tc>
        <w:tc>
          <w:tcPr>
            <w:tcW w:w="1339" w:type="dxa"/>
            <w:tcBorders>
              <w:top w:val="nil"/>
              <w:left w:val="nil"/>
              <w:bottom w:val="single" w:sz="4" w:space="0" w:color="000000"/>
              <w:right w:val="nil"/>
            </w:tcBorders>
            <w:shd w:val="clear" w:color="auto" w:fill="auto"/>
            <w:noWrap/>
          </w:tcPr>
          <w:p w14:paraId="0C47E0E9" w14:textId="4437D13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$132</w:t>
            </w:r>
          </w:p>
        </w:tc>
        <w:tc>
          <w:tcPr>
            <w:tcW w:w="1293" w:type="dxa"/>
            <w:tcBorders>
              <w:top w:val="nil"/>
              <w:left w:val="nil"/>
              <w:bottom w:val="single" w:sz="4" w:space="0" w:color="000000"/>
              <w:right w:val="nil"/>
            </w:tcBorders>
            <w:shd w:val="clear" w:color="auto" w:fill="auto"/>
            <w:noWrap/>
          </w:tcPr>
          <w:p w14:paraId="3C8C0696" w14:textId="2C61A177"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0.6%</w:t>
            </w:r>
          </w:p>
        </w:tc>
        <w:tc>
          <w:tcPr>
            <w:tcW w:w="1255" w:type="dxa"/>
            <w:tcBorders>
              <w:top w:val="nil"/>
              <w:left w:val="nil"/>
              <w:bottom w:val="single" w:sz="4" w:space="0" w:color="000000"/>
              <w:right w:val="nil"/>
            </w:tcBorders>
            <w:shd w:val="clear" w:color="auto" w:fill="auto"/>
          </w:tcPr>
          <w:p w14:paraId="62E58E51" w14:textId="387C2973"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$862</w:t>
            </w:r>
          </w:p>
        </w:tc>
        <w:tc>
          <w:tcPr>
            <w:tcW w:w="1118" w:type="dxa"/>
            <w:tcBorders>
              <w:top w:val="nil"/>
              <w:left w:val="nil"/>
              <w:bottom w:val="single" w:sz="4" w:space="0" w:color="000000"/>
              <w:right w:val="nil"/>
            </w:tcBorders>
            <w:shd w:val="clear" w:color="auto" w:fill="auto"/>
          </w:tcPr>
          <w:p w14:paraId="1B91B3DC" w14:textId="0E4EE4BE"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2.5%</w:t>
            </w:r>
          </w:p>
        </w:tc>
      </w:tr>
      <w:tr w:rsidR="00D928FD" w:rsidRPr="00DE0596" w14:paraId="6D583C51"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0A3C4FB5"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Archi&amp;Build</w:t>
            </w:r>
          </w:p>
        </w:tc>
        <w:tc>
          <w:tcPr>
            <w:tcW w:w="2406" w:type="dxa"/>
            <w:tcBorders>
              <w:top w:val="nil"/>
              <w:left w:val="nil"/>
              <w:bottom w:val="single" w:sz="4" w:space="0" w:color="000000"/>
              <w:right w:val="nil"/>
            </w:tcBorders>
            <w:shd w:val="clear" w:color="auto" w:fill="auto"/>
            <w:noWrap/>
          </w:tcPr>
          <w:p w14:paraId="46CA8422" w14:textId="03A9F6D6"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$3,579,877</w:t>
            </w:r>
          </w:p>
        </w:tc>
        <w:tc>
          <w:tcPr>
            <w:tcW w:w="1339" w:type="dxa"/>
            <w:tcBorders>
              <w:top w:val="nil"/>
              <w:left w:val="nil"/>
              <w:bottom w:val="single" w:sz="4" w:space="0" w:color="000000"/>
              <w:right w:val="nil"/>
            </w:tcBorders>
            <w:shd w:val="clear" w:color="auto" w:fill="auto"/>
            <w:noWrap/>
          </w:tcPr>
          <w:p w14:paraId="623BDABA" w14:textId="2A6F30DB"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$152</w:t>
            </w:r>
          </w:p>
        </w:tc>
        <w:tc>
          <w:tcPr>
            <w:tcW w:w="1293" w:type="dxa"/>
            <w:tcBorders>
              <w:top w:val="nil"/>
              <w:left w:val="nil"/>
              <w:bottom w:val="single" w:sz="4" w:space="0" w:color="000000"/>
              <w:right w:val="nil"/>
            </w:tcBorders>
            <w:shd w:val="clear" w:color="auto" w:fill="auto"/>
            <w:noWrap/>
          </w:tcPr>
          <w:p w14:paraId="2D42EB43" w14:textId="06B2157B"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0.8%</w:t>
            </w:r>
          </w:p>
        </w:tc>
        <w:tc>
          <w:tcPr>
            <w:tcW w:w="1255" w:type="dxa"/>
            <w:tcBorders>
              <w:top w:val="nil"/>
              <w:left w:val="nil"/>
              <w:bottom w:val="single" w:sz="4" w:space="0" w:color="000000"/>
              <w:right w:val="nil"/>
            </w:tcBorders>
            <w:shd w:val="clear" w:color="auto" w:fill="auto"/>
          </w:tcPr>
          <w:p w14:paraId="7B482D12" w14:textId="78EED3F1"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$876</w:t>
            </w:r>
          </w:p>
        </w:tc>
        <w:tc>
          <w:tcPr>
            <w:tcW w:w="1118" w:type="dxa"/>
            <w:tcBorders>
              <w:top w:val="nil"/>
              <w:left w:val="nil"/>
              <w:bottom w:val="single" w:sz="4" w:space="0" w:color="000000"/>
              <w:right w:val="nil"/>
            </w:tcBorders>
            <w:shd w:val="clear" w:color="auto" w:fill="auto"/>
          </w:tcPr>
          <w:p w14:paraId="1AF61389" w14:textId="7D45B098"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5.0%</w:t>
            </w:r>
          </w:p>
        </w:tc>
      </w:tr>
      <w:tr w:rsidR="00D928FD" w:rsidRPr="00DE0596" w14:paraId="4D8B963D"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6D0EEF8D"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Environment</w:t>
            </w:r>
          </w:p>
        </w:tc>
        <w:tc>
          <w:tcPr>
            <w:tcW w:w="2406" w:type="dxa"/>
            <w:tcBorders>
              <w:top w:val="nil"/>
              <w:left w:val="nil"/>
              <w:bottom w:val="single" w:sz="4" w:space="0" w:color="000000"/>
              <w:right w:val="nil"/>
            </w:tcBorders>
            <w:shd w:val="clear" w:color="auto" w:fill="auto"/>
            <w:noWrap/>
          </w:tcPr>
          <w:p w14:paraId="7108E570" w14:textId="7594B4B8"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$813,849</w:t>
            </w:r>
          </w:p>
        </w:tc>
        <w:tc>
          <w:tcPr>
            <w:tcW w:w="1339" w:type="dxa"/>
            <w:tcBorders>
              <w:top w:val="nil"/>
              <w:left w:val="nil"/>
              <w:bottom w:val="single" w:sz="4" w:space="0" w:color="000000"/>
              <w:right w:val="nil"/>
            </w:tcBorders>
            <w:shd w:val="clear" w:color="auto" w:fill="auto"/>
            <w:noWrap/>
          </w:tcPr>
          <w:p w14:paraId="7D56E535" w14:textId="64E600A3"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$122</w:t>
            </w:r>
          </w:p>
        </w:tc>
        <w:tc>
          <w:tcPr>
            <w:tcW w:w="1293" w:type="dxa"/>
            <w:tcBorders>
              <w:top w:val="nil"/>
              <w:left w:val="nil"/>
              <w:bottom w:val="single" w:sz="4" w:space="0" w:color="000000"/>
              <w:right w:val="nil"/>
            </w:tcBorders>
            <w:shd w:val="clear" w:color="auto" w:fill="auto"/>
            <w:noWrap/>
          </w:tcPr>
          <w:p w14:paraId="09A41546" w14:textId="66B3488D"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0.5%</w:t>
            </w:r>
          </w:p>
        </w:tc>
        <w:tc>
          <w:tcPr>
            <w:tcW w:w="1255" w:type="dxa"/>
            <w:tcBorders>
              <w:top w:val="nil"/>
              <w:left w:val="nil"/>
              <w:bottom w:val="single" w:sz="4" w:space="0" w:color="000000"/>
              <w:right w:val="nil"/>
            </w:tcBorders>
            <w:shd w:val="clear" w:color="auto" w:fill="auto"/>
          </w:tcPr>
          <w:p w14:paraId="76D0CB02" w14:textId="06F3332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$902</w:t>
            </w:r>
          </w:p>
        </w:tc>
        <w:tc>
          <w:tcPr>
            <w:tcW w:w="1118" w:type="dxa"/>
            <w:tcBorders>
              <w:top w:val="nil"/>
              <w:left w:val="nil"/>
              <w:bottom w:val="single" w:sz="4" w:space="0" w:color="000000"/>
              <w:right w:val="nil"/>
            </w:tcBorders>
            <w:shd w:val="clear" w:color="auto" w:fill="auto"/>
          </w:tcPr>
          <w:p w14:paraId="43090EDA" w14:textId="3AFEF2AE"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3.6%</w:t>
            </w:r>
          </w:p>
        </w:tc>
      </w:tr>
      <w:tr w:rsidR="00D928FD" w:rsidRPr="00DE0596" w14:paraId="03714870"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7F0F8237"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OthAg&amp;Enviro</w:t>
            </w:r>
          </w:p>
        </w:tc>
        <w:tc>
          <w:tcPr>
            <w:tcW w:w="2406" w:type="dxa"/>
            <w:tcBorders>
              <w:top w:val="nil"/>
              <w:left w:val="nil"/>
              <w:bottom w:val="single" w:sz="4" w:space="0" w:color="000000"/>
              <w:right w:val="nil"/>
            </w:tcBorders>
            <w:shd w:val="clear" w:color="auto" w:fill="auto"/>
            <w:noWrap/>
          </w:tcPr>
          <w:p w14:paraId="110372F1" w14:textId="61B0D2ED"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$649,844</w:t>
            </w:r>
          </w:p>
        </w:tc>
        <w:tc>
          <w:tcPr>
            <w:tcW w:w="1339" w:type="dxa"/>
            <w:tcBorders>
              <w:top w:val="nil"/>
              <w:left w:val="nil"/>
              <w:bottom w:val="single" w:sz="4" w:space="0" w:color="000000"/>
              <w:right w:val="nil"/>
            </w:tcBorders>
            <w:shd w:val="clear" w:color="auto" w:fill="auto"/>
            <w:noWrap/>
          </w:tcPr>
          <w:p w14:paraId="4C5D3DE0" w14:textId="5798C682"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$132</w:t>
            </w:r>
          </w:p>
        </w:tc>
        <w:tc>
          <w:tcPr>
            <w:tcW w:w="1293" w:type="dxa"/>
            <w:tcBorders>
              <w:top w:val="nil"/>
              <w:left w:val="nil"/>
              <w:bottom w:val="single" w:sz="4" w:space="0" w:color="000000"/>
              <w:right w:val="nil"/>
            </w:tcBorders>
            <w:shd w:val="clear" w:color="auto" w:fill="auto"/>
            <w:noWrap/>
          </w:tcPr>
          <w:p w14:paraId="301B884D" w14:textId="1B043F19"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0.4%</w:t>
            </w:r>
          </w:p>
        </w:tc>
        <w:tc>
          <w:tcPr>
            <w:tcW w:w="1255" w:type="dxa"/>
            <w:tcBorders>
              <w:top w:val="nil"/>
              <w:left w:val="nil"/>
              <w:bottom w:val="single" w:sz="4" w:space="0" w:color="000000"/>
              <w:right w:val="nil"/>
            </w:tcBorders>
            <w:shd w:val="clear" w:color="auto" w:fill="auto"/>
          </w:tcPr>
          <w:p w14:paraId="2B48C837" w14:textId="0CF55BB5"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$1,550</w:t>
            </w:r>
          </w:p>
        </w:tc>
        <w:tc>
          <w:tcPr>
            <w:tcW w:w="1118" w:type="dxa"/>
            <w:tcBorders>
              <w:top w:val="nil"/>
              <w:left w:val="nil"/>
              <w:bottom w:val="single" w:sz="4" w:space="0" w:color="000000"/>
              <w:right w:val="nil"/>
            </w:tcBorders>
            <w:shd w:val="clear" w:color="auto" w:fill="auto"/>
          </w:tcPr>
          <w:p w14:paraId="2235C272" w14:textId="3BCBD604"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4.7%</w:t>
            </w:r>
          </w:p>
        </w:tc>
      </w:tr>
      <w:tr w:rsidR="00D928FD" w:rsidRPr="00DE0596" w14:paraId="3E67026C"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2BF4ACEE"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MedicalStudies</w:t>
            </w:r>
          </w:p>
        </w:tc>
        <w:tc>
          <w:tcPr>
            <w:tcW w:w="2406" w:type="dxa"/>
            <w:tcBorders>
              <w:top w:val="nil"/>
              <w:left w:val="nil"/>
              <w:bottom w:val="single" w:sz="4" w:space="0" w:color="000000"/>
              <w:right w:val="nil"/>
            </w:tcBorders>
            <w:shd w:val="clear" w:color="auto" w:fill="auto"/>
            <w:noWrap/>
          </w:tcPr>
          <w:p w14:paraId="649B01CC" w14:textId="15DE3830"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$7,145,718</w:t>
            </w:r>
          </w:p>
        </w:tc>
        <w:tc>
          <w:tcPr>
            <w:tcW w:w="1339" w:type="dxa"/>
            <w:tcBorders>
              <w:top w:val="nil"/>
              <w:left w:val="nil"/>
              <w:bottom w:val="single" w:sz="4" w:space="0" w:color="000000"/>
              <w:right w:val="nil"/>
            </w:tcBorders>
            <w:shd w:val="clear" w:color="auto" w:fill="auto"/>
            <w:noWrap/>
          </w:tcPr>
          <w:p w14:paraId="29A0D90F" w14:textId="091E5006"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$319</w:t>
            </w:r>
          </w:p>
        </w:tc>
        <w:tc>
          <w:tcPr>
            <w:tcW w:w="1293" w:type="dxa"/>
            <w:tcBorders>
              <w:top w:val="nil"/>
              <w:left w:val="nil"/>
              <w:bottom w:val="single" w:sz="4" w:space="0" w:color="000000"/>
              <w:right w:val="nil"/>
            </w:tcBorders>
            <w:shd w:val="clear" w:color="auto" w:fill="auto"/>
            <w:noWrap/>
          </w:tcPr>
          <w:p w14:paraId="1AB3E826" w14:textId="6AF0ADB3"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1.0%</w:t>
            </w:r>
          </w:p>
        </w:tc>
        <w:tc>
          <w:tcPr>
            <w:tcW w:w="1255" w:type="dxa"/>
            <w:tcBorders>
              <w:top w:val="nil"/>
              <w:left w:val="nil"/>
              <w:bottom w:val="single" w:sz="4" w:space="0" w:color="000000"/>
              <w:right w:val="nil"/>
            </w:tcBorders>
            <w:shd w:val="clear" w:color="auto" w:fill="auto"/>
          </w:tcPr>
          <w:p w14:paraId="02DDA92A" w14:textId="2E449CB9"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$1,073</w:t>
            </w:r>
          </w:p>
        </w:tc>
        <w:tc>
          <w:tcPr>
            <w:tcW w:w="1118" w:type="dxa"/>
            <w:tcBorders>
              <w:top w:val="nil"/>
              <w:left w:val="nil"/>
              <w:bottom w:val="single" w:sz="4" w:space="0" w:color="000000"/>
              <w:right w:val="nil"/>
            </w:tcBorders>
            <w:shd w:val="clear" w:color="auto" w:fill="auto"/>
          </w:tcPr>
          <w:p w14:paraId="0CAF5BF2" w14:textId="193D1FE1"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3.4%</w:t>
            </w:r>
          </w:p>
        </w:tc>
      </w:tr>
      <w:tr w:rsidR="00D928FD" w:rsidRPr="00DE0596" w14:paraId="4031ED14"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10D4B9DA"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Nursing</w:t>
            </w:r>
          </w:p>
        </w:tc>
        <w:tc>
          <w:tcPr>
            <w:tcW w:w="2406" w:type="dxa"/>
            <w:tcBorders>
              <w:top w:val="nil"/>
              <w:left w:val="nil"/>
              <w:bottom w:val="single" w:sz="4" w:space="0" w:color="000000"/>
              <w:right w:val="nil"/>
            </w:tcBorders>
            <w:shd w:val="clear" w:color="auto" w:fill="auto"/>
            <w:noWrap/>
          </w:tcPr>
          <w:p w14:paraId="4BEA9578" w14:textId="58FCB6D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$2,326,627</w:t>
            </w:r>
          </w:p>
        </w:tc>
        <w:tc>
          <w:tcPr>
            <w:tcW w:w="1339" w:type="dxa"/>
            <w:tcBorders>
              <w:top w:val="nil"/>
              <w:left w:val="nil"/>
              <w:bottom w:val="single" w:sz="4" w:space="0" w:color="000000"/>
              <w:right w:val="nil"/>
            </w:tcBorders>
            <w:shd w:val="clear" w:color="auto" w:fill="auto"/>
            <w:noWrap/>
          </w:tcPr>
          <w:p w14:paraId="0174FC0E" w14:textId="71FED6C7"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$41</w:t>
            </w:r>
          </w:p>
        </w:tc>
        <w:tc>
          <w:tcPr>
            <w:tcW w:w="1293" w:type="dxa"/>
            <w:tcBorders>
              <w:top w:val="nil"/>
              <w:left w:val="nil"/>
              <w:bottom w:val="single" w:sz="4" w:space="0" w:color="000000"/>
              <w:right w:val="nil"/>
            </w:tcBorders>
            <w:shd w:val="clear" w:color="auto" w:fill="auto"/>
            <w:noWrap/>
          </w:tcPr>
          <w:p w14:paraId="7FF6684B" w14:textId="5882827C"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0.2%</w:t>
            </w:r>
          </w:p>
        </w:tc>
        <w:tc>
          <w:tcPr>
            <w:tcW w:w="1255" w:type="dxa"/>
            <w:tcBorders>
              <w:top w:val="nil"/>
              <w:left w:val="nil"/>
              <w:bottom w:val="single" w:sz="4" w:space="0" w:color="000000"/>
              <w:right w:val="nil"/>
            </w:tcBorders>
            <w:shd w:val="clear" w:color="auto" w:fill="auto"/>
          </w:tcPr>
          <w:p w14:paraId="2B0C02D4" w14:textId="21D4A1FF"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$418</w:t>
            </w:r>
          </w:p>
        </w:tc>
        <w:tc>
          <w:tcPr>
            <w:tcW w:w="1118" w:type="dxa"/>
            <w:tcBorders>
              <w:top w:val="nil"/>
              <w:left w:val="nil"/>
              <w:bottom w:val="single" w:sz="4" w:space="0" w:color="000000"/>
              <w:right w:val="nil"/>
            </w:tcBorders>
            <w:shd w:val="clear" w:color="auto" w:fill="auto"/>
          </w:tcPr>
          <w:p w14:paraId="06D54E85" w14:textId="75576A08"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2.4%</w:t>
            </w:r>
          </w:p>
        </w:tc>
      </w:tr>
      <w:tr w:rsidR="00D928FD" w:rsidRPr="00DE0596" w14:paraId="043F8E0F"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5660EAE9"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Dental</w:t>
            </w:r>
          </w:p>
        </w:tc>
        <w:tc>
          <w:tcPr>
            <w:tcW w:w="2406" w:type="dxa"/>
            <w:tcBorders>
              <w:top w:val="nil"/>
              <w:left w:val="nil"/>
              <w:bottom w:val="single" w:sz="4" w:space="0" w:color="000000"/>
              <w:right w:val="nil"/>
            </w:tcBorders>
            <w:shd w:val="clear" w:color="auto" w:fill="auto"/>
            <w:noWrap/>
          </w:tcPr>
          <w:p w14:paraId="5F20D3E5" w14:textId="358BB02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$1,473,288</w:t>
            </w:r>
          </w:p>
        </w:tc>
        <w:tc>
          <w:tcPr>
            <w:tcW w:w="1339" w:type="dxa"/>
            <w:tcBorders>
              <w:top w:val="nil"/>
              <w:left w:val="nil"/>
              <w:bottom w:val="single" w:sz="4" w:space="0" w:color="000000"/>
              <w:right w:val="nil"/>
            </w:tcBorders>
            <w:shd w:val="clear" w:color="auto" w:fill="auto"/>
            <w:noWrap/>
          </w:tcPr>
          <w:p w14:paraId="096DDD93" w14:textId="4AF20D7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$389</w:t>
            </w:r>
          </w:p>
        </w:tc>
        <w:tc>
          <w:tcPr>
            <w:tcW w:w="1293" w:type="dxa"/>
            <w:tcBorders>
              <w:top w:val="nil"/>
              <w:left w:val="nil"/>
              <w:bottom w:val="single" w:sz="4" w:space="0" w:color="000000"/>
              <w:right w:val="nil"/>
            </w:tcBorders>
            <w:shd w:val="clear" w:color="auto" w:fill="auto"/>
            <w:noWrap/>
          </w:tcPr>
          <w:p w14:paraId="56D9FAA9" w14:textId="42FAFEF2"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0.9%</w:t>
            </w:r>
          </w:p>
        </w:tc>
        <w:tc>
          <w:tcPr>
            <w:tcW w:w="1255" w:type="dxa"/>
            <w:tcBorders>
              <w:top w:val="nil"/>
              <w:left w:val="nil"/>
              <w:bottom w:val="single" w:sz="4" w:space="0" w:color="000000"/>
              <w:right w:val="nil"/>
            </w:tcBorders>
            <w:shd w:val="clear" w:color="auto" w:fill="auto"/>
          </w:tcPr>
          <w:p w14:paraId="03721052" w14:textId="321361A8"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$892</w:t>
            </w:r>
          </w:p>
        </w:tc>
        <w:tc>
          <w:tcPr>
            <w:tcW w:w="1118" w:type="dxa"/>
            <w:tcBorders>
              <w:top w:val="nil"/>
              <w:left w:val="nil"/>
              <w:bottom w:val="single" w:sz="4" w:space="0" w:color="000000"/>
              <w:right w:val="nil"/>
            </w:tcBorders>
            <w:shd w:val="clear" w:color="auto" w:fill="auto"/>
          </w:tcPr>
          <w:p w14:paraId="49E8D4FB" w14:textId="2C963868"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1.8%</w:t>
            </w:r>
          </w:p>
        </w:tc>
      </w:tr>
      <w:tr w:rsidR="00D928FD" w:rsidRPr="00DE0596" w14:paraId="2AF01B42"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15398601"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Veterinary</w:t>
            </w:r>
          </w:p>
        </w:tc>
        <w:tc>
          <w:tcPr>
            <w:tcW w:w="2406" w:type="dxa"/>
            <w:tcBorders>
              <w:top w:val="nil"/>
              <w:left w:val="nil"/>
              <w:bottom w:val="single" w:sz="4" w:space="0" w:color="000000"/>
              <w:right w:val="nil"/>
            </w:tcBorders>
            <w:shd w:val="clear" w:color="auto" w:fill="auto"/>
            <w:noWrap/>
          </w:tcPr>
          <w:p w14:paraId="5AD6A2D0" w14:textId="19FEC779"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$1,710,854</w:t>
            </w:r>
          </w:p>
        </w:tc>
        <w:tc>
          <w:tcPr>
            <w:tcW w:w="1339" w:type="dxa"/>
            <w:tcBorders>
              <w:top w:val="nil"/>
              <w:left w:val="nil"/>
              <w:bottom w:val="single" w:sz="4" w:space="0" w:color="000000"/>
              <w:right w:val="nil"/>
            </w:tcBorders>
            <w:shd w:val="clear" w:color="auto" w:fill="auto"/>
            <w:noWrap/>
          </w:tcPr>
          <w:p w14:paraId="7730E638" w14:textId="5E3730B1"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$454</w:t>
            </w:r>
          </w:p>
        </w:tc>
        <w:tc>
          <w:tcPr>
            <w:tcW w:w="1293" w:type="dxa"/>
            <w:tcBorders>
              <w:top w:val="nil"/>
              <w:left w:val="nil"/>
              <w:bottom w:val="single" w:sz="4" w:space="0" w:color="000000"/>
              <w:right w:val="nil"/>
            </w:tcBorders>
            <w:shd w:val="clear" w:color="auto" w:fill="auto"/>
            <w:noWrap/>
          </w:tcPr>
          <w:p w14:paraId="29FCD853" w14:textId="0653D7F0"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0.9%</w:t>
            </w:r>
          </w:p>
        </w:tc>
        <w:tc>
          <w:tcPr>
            <w:tcW w:w="1255" w:type="dxa"/>
            <w:tcBorders>
              <w:top w:val="nil"/>
              <w:left w:val="nil"/>
              <w:bottom w:val="single" w:sz="4" w:space="0" w:color="000000"/>
              <w:right w:val="nil"/>
            </w:tcBorders>
            <w:shd w:val="clear" w:color="auto" w:fill="auto"/>
          </w:tcPr>
          <w:p w14:paraId="6403A3DE" w14:textId="598FB94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$1,322</w:t>
            </w:r>
          </w:p>
        </w:tc>
        <w:tc>
          <w:tcPr>
            <w:tcW w:w="1118" w:type="dxa"/>
            <w:tcBorders>
              <w:top w:val="nil"/>
              <w:left w:val="nil"/>
              <w:bottom w:val="single" w:sz="4" w:space="0" w:color="000000"/>
              <w:right w:val="nil"/>
            </w:tcBorders>
            <w:shd w:val="clear" w:color="auto" w:fill="auto"/>
          </w:tcPr>
          <w:p w14:paraId="7AB272EE" w14:textId="79C491C4"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2.5%</w:t>
            </w:r>
          </w:p>
        </w:tc>
      </w:tr>
      <w:tr w:rsidR="00D928FD" w:rsidRPr="00DE0596" w14:paraId="50C6D6F1"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5852841F"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OthHealth</w:t>
            </w:r>
          </w:p>
        </w:tc>
        <w:tc>
          <w:tcPr>
            <w:tcW w:w="2406" w:type="dxa"/>
            <w:tcBorders>
              <w:top w:val="nil"/>
              <w:left w:val="nil"/>
              <w:bottom w:val="single" w:sz="4" w:space="0" w:color="000000"/>
              <w:right w:val="nil"/>
            </w:tcBorders>
            <w:shd w:val="clear" w:color="auto" w:fill="auto"/>
            <w:noWrap/>
          </w:tcPr>
          <w:p w14:paraId="70A38E99" w14:textId="05190165"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$11,908,208</w:t>
            </w:r>
          </w:p>
        </w:tc>
        <w:tc>
          <w:tcPr>
            <w:tcW w:w="1339" w:type="dxa"/>
            <w:tcBorders>
              <w:top w:val="nil"/>
              <w:left w:val="nil"/>
              <w:bottom w:val="single" w:sz="4" w:space="0" w:color="000000"/>
              <w:right w:val="nil"/>
            </w:tcBorders>
            <w:shd w:val="clear" w:color="auto" w:fill="auto"/>
            <w:noWrap/>
          </w:tcPr>
          <w:p w14:paraId="4DA26EA7" w14:textId="2B573677"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$197</w:t>
            </w:r>
          </w:p>
        </w:tc>
        <w:tc>
          <w:tcPr>
            <w:tcW w:w="1293" w:type="dxa"/>
            <w:tcBorders>
              <w:top w:val="nil"/>
              <w:left w:val="nil"/>
              <w:bottom w:val="single" w:sz="4" w:space="0" w:color="000000"/>
              <w:right w:val="nil"/>
            </w:tcBorders>
            <w:shd w:val="clear" w:color="auto" w:fill="auto"/>
            <w:noWrap/>
          </w:tcPr>
          <w:p w14:paraId="6B7BEC3C" w14:textId="4BD1449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1.0%</w:t>
            </w:r>
          </w:p>
        </w:tc>
        <w:tc>
          <w:tcPr>
            <w:tcW w:w="1255" w:type="dxa"/>
            <w:tcBorders>
              <w:top w:val="nil"/>
              <w:left w:val="nil"/>
              <w:bottom w:val="single" w:sz="4" w:space="0" w:color="000000"/>
              <w:right w:val="nil"/>
            </w:tcBorders>
            <w:shd w:val="clear" w:color="auto" w:fill="auto"/>
          </w:tcPr>
          <w:p w14:paraId="0C22A566" w14:textId="3641ABD3"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$1,039</w:t>
            </w:r>
          </w:p>
        </w:tc>
        <w:tc>
          <w:tcPr>
            <w:tcW w:w="1118" w:type="dxa"/>
            <w:tcBorders>
              <w:top w:val="nil"/>
              <w:left w:val="nil"/>
              <w:bottom w:val="single" w:sz="4" w:space="0" w:color="000000"/>
              <w:right w:val="nil"/>
            </w:tcBorders>
            <w:shd w:val="clear" w:color="auto" w:fill="auto"/>
          </w:tcPr>
          <w:p w14:paraId="282FE73D" w14:textId="10699C5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4.5%</w:t>
            </w:r>
          </w:p>
        </w:tc>
      </w:tr>
      <w:tr w:rsidR="00D928FD" w:rsidRPr="00DE0596" w14:paraId="32695FE2"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7730B5D6"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Education</w:t>
            </w:r>
          </w:p>
        </w:tc>
        <w:tc>
          <w:tcPr>
            <w:tcW w:w="2406" w:type="dxa"/>
            <w:tcBorders>
              <w:top w:val="nil"/>
              <w:left w:val="nil"/>
              <w:bottom w:val="single" w:sz="4" w:space="0" w:color="000000"/>
              <w:right w:val="nil"/>
            </w:tcBorders>
            <w:shd w:val="clear" w:color="auto" w:fill="auto"/>
            <w:noWrap/>
          </w:tcPr>
          <w:p w14:paraId="22BCCE3A" w14:textId="3EA0660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$5,324,860</w:t>
            </w:r>
          </w:p>
        </w:tc>
        <w:tc>
          <w:tcPr>
            <w:tcW w:w="1339" w:type="dxa"/>
            <w:tcBorders>
              <w:top w:val="nil"/>
              <w:left w:val="nil"/>
              <w:bottom w:val="single" w:sz="4" w:space="0" w:color="000000"/>
              <w:right w:val="nil"/>
            </w:tcBorders>
            <w:shd w:val="clear" w:color="auto" w:fill="auto"/>
            <w:noWrap/>
          </w:tcPr>
          <w:p w14:paraId="404047BC" w14:textId="2A7767B3"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$81</w:t>
            </w:r>
          </w:p>
        </w:tc>
        <w:tc>
          <w:tcPr>
            <w:tcW w:w="1293" w:type="dxa"/>
            <w:tcBorders>
              <w:top w:val="nil"/>
              <w:left w:val="nil"/>
              <w:bottom w:val="single" w:sz="4" w:space="0" w:color="000000"/>
              <w:right w:val="nil"/>
            </w:tcBorders>
            <w:shd w:val="clear" w:color="auto" w:fill="auto"/>
            <w:noWrap/>
          </w:tcPr>
          <w:p w14:paraId="7D0CC7C4" w14:textId="41D1FE3E"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0.5%</w:t>
            </w:r>
          </w:p>
        </w:tc>
        <w:tc>
          <w:tcPr>
            <w:tcW w:w="1255" w:type="dxa"/>
            <w:tcBorders>
              <w:top w:val="nil"/>
              <w:left w:val="nil"/>
              <w:bottom w:val="single" w:sz="4" w:space="0" w:color="000000"/>
              <w:right w:val="nil"/>
            </w:tcBorders>
            <w:shd w:val="clear" w:color="auto" w:fill="auto"/>
          </w:tcPr>
          <w:p w14:paraId="6E58AD8D" w14:textId="30135D8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$586</w:t>
            </w:r>
          </w:p>
        </w:tc>
        <w:tc>
          <w:tcPr>
            <w:tcW w:w="1118" w:type="dxa"/>
            <w:tcBorders>
              <w:top w:val="nil"/>
              <w:left w:val="nil"/>
              <w:bottom w:val="single" w:sz="4" w:space="0" w:color="000000"/>
              <w:right w:val="nil"/>
            </w:tcBorders>
            <w:shd w:val="clear" w:color="auto" w:fill="auto"/>
          </w:tcPr>
          <w:p w14:paraId="5B06E418" w14:textId="71F8B992"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3.6%</w:t>
            </w:r>
          </w:p>
        </w:tc>
      </w:tr>
      <w:tr w:rsidR="00D928FD" w:rsidRPr="00DE0596" w14:paraId="428B6825"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0F9041EA"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Mgmt&amp;Comm</w:t>
            </w:r>
          </w:p>
        </w:tc>
        <w:tc>
          <w:tcPr>
            <w:tcW w:w="2406" w:type="dxa"/>
            <w:tcBorders>
              <w:top w:val="nil"/>
              <w:left w:val="nil"/>
              <w:bottom w:val="single" w:sz="4" w:space="0" w:color="000000"/>
              <w:right w:val="nil"/>
            </w:tcBorders>
            <w:shd w:val="clear" w:color="auto" w:fill="auto"/>
            <w:noWrap/>
          </w:tcPr>
          <w:p w14:paraId="2C3D5532" w14:textId="6DF3FD96"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$9,597,700</w:t>
            </w:r>
          </w:p>
        </w:tc>
        <w:tc>
          <w:tcPr>
            <w:tcW w:w="1339" w:type="dxa"/>
            <w:tcBorders>
              <w:top w:val="nil"/>
              <w:left w:val="nil"/>
              <w:bottom w:val="single" w:sz="4" w:space="0" w:color="000000"/>
              <w:right w:val="nil"/>
            </w:tcBorders>
            <w:shd w:val="clear" w:color="auto" w:fill="auto"/>
            <w:noWrap/>
          </w:tcPr>
          <w:p w14:paraId="47FA38EE" w14:textId="445464E5"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$63</w:t>
            </w:r>
          </w:p>
        </w:tc>
        <w:tc>
          <w:tcPr>
            <w:tcW w:w="1293" w:type="dxa"/>
            <w:tcBorders>
              <w:top w:val="nil"/>
              <w:left w:val="nil"/>
              <w:bottom w:val="single" w:sz="4" w:space="0" w:color="000000"/>
              <w:right w:val="nil"/>
            </w:tcBorders>
            <w:shd w:val="clear" w:color="auto" w:fill="auto"/>
            <w:noWrap/>
          </w:tcPr>
          <w:p w14:paraId="6566CD2A" w14:textId="74AF7357"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0.4%</w:t>
            </w:r>
          </w:p>
        </w:tc>
        <w:tc>
          <w:tcPr>
            <w:tcW w:w="1255" w:type="dxa"/>
            <w:tcBorders>
              <w:top w:val="nil"/>
              <w:left w:val="nil"/>
              <w:bottom w:val="single" w:sz="4" w:space="0" w:color="000000"/>
              <w:right w:val="nil"/>
            </w:tcBorders>
            <w:shd w:val="clear" w:color="auto" w:fill="auto"/>
          </w:tcPr>
          <w:p w14:paraId="33D9A1C5" w14:textId="09E8BBC2"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$379</w:t>
            </w:r>
          </w:p>
        </w:tc>
        <w:tc>
          <w:tcPr>
            <w:tcW w:w="1118" w:type="dxa"/>
            <w:tcBorders>
              <w:top w:val="nil"/>
              <w:left w:val="nil"/>
              <w:bottom w:val="single" w:sz="4" w:space="0" w:color="000000"/>
              <w:right w:val="nil"/>
            </w:tcBorders>
            <w:shd w:val="clear" w:color="auto" w:fill="auto"/>
          </w:tcPr>
          <w:p w14:paraId="3F1FD06B" w14:textId="4077AB5D"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2.4%</w:t>
            </w:r>
          </w:p>
        </w:tc>
      </w:tr>
      <w:tr w:rsidR="00D928FD" w:rsidRPr="00DE0596" w14:paraId="0470D262"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79273405"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ForeignLang</w:t>
            </w:r>
          </w:p>
        </w:tc>
        <w:tc>
          <w:tcPr>
            <w:tcW w:w="2406" w:type="dxa"/>
            <w:tcBorders>
              <w:top w:val="nil"/>
              <w:left w:val="nil"/>
              <w:bottom w:val="single" w:sz="4" w:space="0" w:color="000000"/>
              <w:right w:val="nil"/>
            </w:tcBorders>
            <w:shd w:val="clear" w:color="auto" w:fill="auto"/>
            <w:noWrap/>
          </w:tcPr>
          <w:p w14:paraId="7003A930" w14:textId="49F5D6DE"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$951,680</w:t>
            </w:r>
          </w:p>
        </w:tc>
        <w:tc>
          <w:tcPr>
            <w:tcW w:w="1339" w:type="dxa"/>
            <w:tcBorders>
              <w:top w:val="nil"/>
              <w:left w:val="nil"/>
              <w:bottom w:val="single" w:sz="4" w:space="0" w:color="000000"/>
              <w:right w:val="nil"/>
            </w:tcBorders>
            <w:shd w:val="clear" w:color="auto" w:fill="auto"/>
            <w:noWrap/>
          </w:tcPr>
          <w:p w14:paraId="577E7C90" w14:textId="7740D272"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$88</w:t>
            </w:r>
          </w:p>
        </w:tc>
        <w:tc>
          <w:tcPr>
            <w:tcW w:w="1293" w:type="dxa"/>
            <w:tcBorders>
              <w:top w:val="nil"/>
              <w:left w:val="nil"/>
              <w:bottom w:val="single" w:sz="4" w:space="0" w:color="000000"/>
              <w:right w:val="nil"/>
            </w:tcBorders>
            <w:shd w:val="clear" w:color="auto" w:fill="auto"/>
            <w:noWrap/>
          </w:tcPr>
          <w:p w14:paraId="2A7D9055" w14:textId="0CD64A6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0.5%</w:t>
            </w:r>
          </w:p>
        </w:tc>
        <w:tc>
          <w:tcPr>
            <w:tcW w:w="1255" w:type="dxa"/>
            <w:tcBorders>
              <w:top w:val="nil"/>
              <w:left w:val="nil"/>
              <w:bottom w:val="single" w:sz="4" w:space="0" w:color="000000"/>
              <w:right w:val="nil"/>
            </w:tcBorders>
            <w:shd w:val="clear" w:color="auto" w:fill="auto"/>
          </w:tcPr>
          <w:p w14:paraId="2E16D590" w14:textId="13F186AC"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$476</w:t>
            </w:r>
          </w:p>
        </w:tc>
        <w:tc>
          <w:tcPr>
            <w:tcW w:w="1118" w:type="dxa"/>
            <w:tcBorders>
              <w:top w:val="nil"/>
              <w:left w:val="nil"/>
              <w:bottom w:val="single" w:sz="4" w:space="0" w:color="000000"/>
              <w:right w:val="nil"/>
            </w:tcBorders>
            <w:shd w:val="clear" w:color="auto" w:fill="auto"/>
          </w:tcPr>
          <w:p w14:paraId="3D0BB022" w14:textId="33C836DF"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3.1%</w:t>
            </w:r>
          </w:p>
        </w:tc>
      </w:tr>
      <w:tr w:rsidR="00D928FD" w:rsidRPr="00DE0596" w14:paraId="31225298"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7743BEC2"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Psych</w:t>
            </w:r>
          </w:p>
        </w:tc>
        <w:tc>
          <w:tcPr>
            <w:tcW w:w="2406" w:type="dxa"/>
            <w:tcBorders>
              <w:top w:val="nil"/>
              <w:left w:val="nil"/>
              <w:bottom w:val="single" w:sz="4" w:space="0" w:color="000000"/>
              <w:right w:val="nil"/>
            </w:tcBorders>
            <w:shd w:val="clear" w:color="auto" w:fill="auto"/>
            <w:noWrap/>
          </w:tcPr>
          <w:p w14:paraId="7CFA0B6A" w14:textId="22EDE04E"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$2,911,461</w:t>
            </w:r>
          </w:p>
        </w:tc>
        <w:tc>
          <w:tcPr>
            <w:tcW w:w="1339" w:type="dxa"/>
            <w:tcBorders>
              <w:top w:val="nil"/>
              <w:left w:val="nil"/>
              <w:bottom w:val="single" w:sz="4" w:space="0" w:color="000000"/>
              <w:right w:val="nil"/>
            </w:tcBorders>
            <w:shd w:val="clear" w:color="auto" w:fill="auto"/>
            <w:noWrap/>
          </w:tcPr>
          <w:p w14:paraId="1F94D3ED" w14:textId="1AC2DB4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$99</w:t>
            </w:r>
          </w:p>
        </w:tc>
        <w:tc>
          <w:tcPr>
            <w:tcW w:w="1293" w:type="dxa"/>
            <w:tcBorders>
              <w:top w:val="nil"/>
              <w:left w:val="nil"/>
              <w:bottom w:val="single" w:sz="4" w:space="0" w:color="000000"/>
              <w:right w:val="nil"/>
            </w:tcBorders>
            <w:shd w:val="clear" w:color="auto" w:fill="auto"/>
            <w:noWrap/>
          </w:tcPr>
          <w:p w14:paraId="2B92ECA9" w14:textId="40628BC1"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0.6%</w:t>
            </w:r>
          </w:p>
        </w:tc>
        <w:tc>
          <w:tcPr>
            <w:tcW w:w="1255" w:type="dxa"/>
            <w:tcBorders>
              <w:top w:val="nil"/>
              <w:left w:val="nil"/>
              <w:bottom w:val="single" w:sz="4" w:space="0" w:color="000000"/>
              <w:right w:val="nil"/>
            </w:tcBorders>
            <w:shd w:val="clear" w:color="auto" w:fill="auto"/>
          </w:tcPr>
          <w:p w14:paraId="3E8DE6C3" w14:textId="1F9852F7"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$623</w:t>
            </w:r>
          </w:p>
        </w:tc>
        <w:tc>
          <w:tcPr>
            <w:tcW w:w="1118" w:type="dxa"/>
            <w:tcBorders>
              <w:top w:val="nil"/>
              <w:left w:val="nil"/>
              <w:bottom w:val="single" w:sz="4" w:space="0" w:color="000000"/>
              <w:right w:val="nil"/>
            </w:tcBorders>
            <w:shd w:val="clear" w:color="auto" w:fill="auto"/>
          </w:tcPr>
          <w:p w14:paraId="64DA98BC" w14:textId="31B39E21"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3.6%</w:t>
            </w:r>
          </w:p>
        </w:tc>
      </w:tr>
      <w:tr w:rsidR="00D928FD" w:rsidRPr="00DE0596" w14:paraId="2B237B49"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0CC75316"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OtherSoc&amp;Cult</w:t>
            </w:r>
          </w:p>
        </w:tc>
        <w:tc>
          <w:tcPr>
            <w:tcW w:w="2406" w:type="dxa"/>
            <w:tcBorders>
              <w:top w:val="nil"/>
              <w:left w:val="nil"/>
              <w:bottom w:val="single" w:sz="4" w:space="0" w:color="000000"/>
              <w:right w:val="nil"/>
            </w:tcBorders>
            <w:shd w:val="clear" w:color="auto" w:fill="auto"/>
            <w:noWrap/>
          </w:tcPr>
          <w:p w14:paraId="55CB1981" w14:textId="52C62E01"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$9,448,495</w:t>
            </w:r>
          </w:p>
        </w:tc>
        <w:tc>
          <w:tcPr>
            <w:tcW w:w="1339" w:type="dxa"/>
            <w:tcBorders>
              <w:top w:val="nil"/>
              <w:left w:val="nil"/>
              <w:bottom w:val="single" w:sz="4" w:space="0" w:color="000000"/>
              <w:right w:val="nil"/>
            </w:tcBorders>
            <w:shd w:val="clear" w:color="auto" w:fill="auto"/>
            <w:noWrap/>
          </w:tcPr>
          <w:p w14:paraId="6B9E51A3" w14:textId="17DFCA49"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$56</w:t>
            </w:r>
          </w:p>
        </w:tc>
        <w:tc>
          <w:tcPr>
            <w:tcW w:w="1293" w:type="dxa"/>
            <w:tcBorders>
              <w:top w:val="nil"/>
              <w:left w:val="nil"/>
              <w:bottom w:val="single" w:sz="4" w:space="0" w:color="000000"/>
              <w:right w:val="nil"/>
            </w:tcBorders>
            <w:shd w:val="clear" w:color="auto" w:fill="auto"/>
            <w:noWrap/>
          </w:tcPr>
          <w:p w14:paraId="33AECA02" w14:textId="7F6017E6"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0.4%</w:t>
            </w:r>
          </w:p>
        </w:tc>
        <w:tc>
          <w:tcPr>
            <w:tcW w:w="1255" w:type="dxa"/>
            <w:tcBorders>
              <w:top w:val="nil"/>
              <w:left w:val="nil"/>
              <w:bottom w:val="single" w:sz="4" w:space="0" w:color="000000"/>
              <w:right w:val="nil"/>
            </w:tcBorders>
            <w:shd w:val="clear" w:color="auto" w:fill="auto"/>
          </w:tcPr>
          <w:p w14:paraId="538888DD" w14:textId="2481DA67"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$334</w:t>
            </w:r>
          </w:p>
        </w:tc>
        <w:tc>
          <w:tcPr>
            <w:tcW w:w="1118" w:type="dxa"/>
            <w:tcBorders>
              <w:top w:val="nil"/>
              <w:left w:val="nil"/>
              <w:bottom w:val="single" w:sz="4" w:space="0" w:color="000000"/>
              <w:right w:val="nil"/>
            </w:tcBorders>
            <w:shd w:val="clear" w:color="auto" w:fill="auto"/>
          </w:tcPr>
          <w:p w14:paraId="37F773D5" w14:textId="24A46109"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1.8%</w:t>
            </w:r>
          </w:p>
        </w:tc>
      </w:tr>
      <w:tr w:rsidR="00D928FD" w:rsidRPr="00DE0596" w14:paraId="2C494D61"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0B3D6F3F"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Comms&amp;Media</w:t>
            </w:r>
          </w:p>
        </w:tc>
        <w:tc>
          <w:tcPr>
            <w:tcW w:w="2406" w:type="dxa"/>
            <w:tcBorders>
              <w:top w:val="nil"/>
              <w:left w:val="nil"/>
              <w:bottom w:val="single" w:sz="4" w:space="0" w:color="000000"/>
              <w:right w:val="nil"/>
            </w:tcBorders>
            <w:shd w:val="clear" w:color="auto" w:fill="auto"/>
            <w:noWrap/>
          </w:tcPr>
          <w:p w14:paraId="4EE1818D" w14:textId="512B51E9"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$2,599,240</w:t>
            </w:r>
          </w:p>
        </w:tc>
        <w:tc>
          <w:tcPr>
            <w:tcW w:w="1339" w:type="dxa"/>
            <w:tcBorders>
              <w:top w:val="nil"/>
              <w:left w:val="nil"/>
              <w:bottom w:val="single" w:sz="4" w:space="0" w:color="000000"/>
              <w:right w:val="nil"/>
            </w:tcBorders>
            <w:shd w:val="clear" w:color="auto" w:fill="auto"/>
            <w:noWrap/>
          </w:tcPr>
          <w:p w14:paraId="3C33EADF" w14:textId="05F247F7"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$79</w:t>
            </w:r>
          </w:p>
        </w:tc>
        <w:tc>
          <w:tcPr>
            <w:tcW w:w="1293" w:type="dxa"/>
            <w:tcBorders>
              <w:top w:val="nil"/>
              <w:left w:val="nil"/>
              <w:bottom w:val="single" w:sz="4" w:space="0" w:color="000000"/>
              <w:right w:val="nil"/>
            </w:tcBorders>
            <w:shd w:val="clear" w:color="auto" w:fill="auto"/>
            <w:noWrap/>
          </w:tcPr>
          <w:p w14:paraId="2EC62F06" w14:textId="3ABF8CEC"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0.5%</w:t>
            </w:r>
          </w:p>
        </w:tc>
        <w:tc>
          <w:tcPr>
            <w:tcW w:w="1255" w:type="dxa"/>
            <w:tcBorders>
              <w:top w:val="nil"/>
              <w:left w:val="nil"/>
              <w:bottom w:val="single" w:sz="4" w:space="0" w:color="000000"/>
              <w:right w:val="nil"/>
            </w:tcBorders>
            <w:shd w:val="clear" w:color="auto" w:fill="auto"/>
          </w:tcPr>
          <w:p w14:paraId="0406D3FF" w14:textId="618E0A6E"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$473</w:t>
            </w:r>
          </w:p>
        </w:tc>
        <w:tc>
          <w:tcPr>
            <w:tcW w:w="1118" w:type="dxa"/>
            <w:tcBorders>
              <w:top w:val="nil"/>
              <w:left w:val="nil"/>
              <w:bottom w:val="single" w:sz="4" w:space="0" w:color="000000"/>
              <w:right w:val="nil"/>
            </w:tcBorders>
            <w:shd w:val="clear" w:color="auto" w:fill="auto"/>
          </w:tcPr>
          <w:p w14:paraId="14FF96CF" w14:textId="21330FDB"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2.8%</w:t>
            </w:r>
          </w:p>
        </w:tc>
      </w:tr>
      <w:tr w:rsidR="00D928FD" w:rsidRPr="00DE0596" w14:paraId="536E6BF3"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132A5556"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OthCreative</w:t>
            </w:r>
          </w:p>
        </w:tc>
        <w:tc>
          <w:tcPr>
            <w:tcW w:w="2406" w:type="dxa"/>
            <w:tcBorders>
              <w:top w:val="nil"/>
              <w:left w:val="nil"/>
              <w:bottom w:val="single" w:sz="4" w:space="0" w:color="000000"/>
              <w:right w:val="nil"/>
            </w:tcBorders>
            <w:shd w:val="clear" w:color="auto" w:fill="auto"/>
            <w:noWrap/>
          </w:tcPr>
          <w:p w14:paraId="5A188893" w14:textId="3EF3FBA2"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$4,682,350</w:t>
            </w:r>
          </w:p>
        </w:tc>
        <w:tc>
          <w:tcPr>
            <w:tcW w:w="1339" w:type="dxa"/>
            <w:tcBorders>
              <w:top w:val="nil"/>
              <w:left w:val="nil"/>
              <w:bottom w:val="single" w:sz="4" w:space="0" w:color="000000"/>
              <w:right w:val="nil"/>
            </w:tcBorders>
            <w:shd w:val="clear" w:color="auto" w:fill="auto"/>
            <w:noWrap/>
          </w:tcPr>
          <w:p w14:paraId="7A3C626A" w14:textId="31093CBC"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$152</w:t>
            </w:r>
          </w:p>
        </w:tc>
        <w:tc>
          <w:tcPr>
            <w:tcW w:w="1293" w:type="dxa"/>
            <w:tcBorders>
              <w:top w:val="nil"/>
              <w:left w:val="nil"/>
              <w:bottom w:val="single" w:sz="4" w:space="0" w:color="000000"/>
              <w:right w:val="nil"/>
            </w:tcBorders>
            <w:shd w:val="clear" w:color="auto" w:fill="auto"/>
            <w:noWrap/>
          </w:tcPr>
          <w:p w14:paraId="799875BD" w14:textId="4A6BCBB1"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0.7%</w:t>
            </w:r>
          </w:p>
        </w:tc>
        <w:tc>
          <w:tcPr>
            <w:tcW w:w="1255" w:type="dxa"/>
            <w:tcBorders>
              <w:top w:val="nil"/>
              <w:left w:val="nil"/>
              <w:bottom w:val="single" w:sz="4" w:space="0" w:color="000000"/>
              <w:right w:val="nil"/>
            </w:tcBorders>
            <w:shd w:val="clear" w:color="auto" w:fill="auto"/>
          </w:tcPr>
          <w:p w14:paraId="68E9CFF7" w14:textId="24722583"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$790</w:t>
            </w:r>
          </w:p>
        </w:tc>
        <w:tc>
          <w:tcPr>
            <w:tcW w:w="1118" w:type="dxa"/>
            <w:tcBorders>
              <w:top w:val="nil"/>
              <w:left w:val="nil"/>
              <w:bottom w:val="single" w:sz="4" w:space="0" w:color="000000"/>
              <w:right w:val="nil"/>
            </w:tcBorders>
            <w:shd w:val="clear" w:color="auto" w:fill="auto"/>
          </w:tcPr>
          <w:p w14:paraId="6CDC1DC1" w14:textId="4A15CEC2"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3.9%</w:t>
            </w:r>
          </w:p>
        </w:tc>
      </w:tr>
      <w:tr w:rsidR="00D928FD" w:rsidRPr="00DE0596" w14:paraId="3AEDA92F"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4E30266A"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FoodHosp&amp;Person</w:t>
            </w:r>
          </w:p>
        </w:tc>
        <w:tc>
          <w:tcPr>
            <w:tcW w:w="2406" w:type="dxa"/>
            <w:tcBorders>
              <w:top w:val="nil"/>
              <w:left w:val="nil"/>
              <w:bottom w:val="single" w:sz="4" w:space="0" w:color="000000"/>
              <w:right w:val="nil"/>
            </w:tcBorders>
            <w:shd w:val="clear" w:color="auto" w:fill="auto"/>
            <w:noWrap/>
          </w:tcPr>
          <w:p w14:paraId="283E81E2" w14:textId="41A9BCD9"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$7,350</w:t>
            </w:r>
          </w:p>
        </w:tc>
        <w:tc>
          <w:tcPr>
            <w:tcW w:w="1339" w:type="dxa"/>
            <w:tcBorders>
              <w:top w:val="nil"/>
              <w:left w:val="nil"/>
              <w:bottom w:val="single" w:sz="4" w:space="0" w:color="000000"/>
              <w:right w:val="nil"/>
            </w:tcBorders>
            <w:shd w:val="clear" w:color="auto" w:fill="auto"/>
            <w:noWrap/>
          </w:tcPr>
          <w:p w14:paraId="0109789F" w14:textId="27BE988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$123</w:t>
            </w:r>
          </w:p>
        </w:tc>
        <w:tc>
          <w:tcPr>
            <w:tcW w:w="1293" w:type="dxa"/>
            <w:tcBorders>
              <w:top w:val="nil"/>
              <w:left w:val="nil"/>
              <w:bottom w:val="single" w:sz="4" w:space="0" w:color="000000"/>
              <w:right w:val="nil"/>
            </w:tcBorders>
            <w:shd w:val="clear" w:color="auto" w:fill="auto"/>
            <w:noWrap/>
          </w:tcPr>
          <w:p w14:paraId="6365241B" w14:textId="55EEB974"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0.7%</w:t>
            </w:r>
          </w:p>
        </w:tc>
        <w:tc>
          <w:tcPr>
            <w:tcW w:w="1255" w:type="dxa"/>
            <w:tcBorders>
              <w:top w:val="nil"/>
              <w:left w:val="nil"/>
              <w:bottom w:val="single" w:sz="4" w:space="0" w:color="000000"/>
              <w:right w:val="nil"/>
            </w:tcBorders>
            <w:shd w:val="clear" w:color="auto" w:fill="auto"/>
          </w:tcPr>
          <w:p w14:paraId="3A27106D" w14:textId="424D7061"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$1,336</w:t>
            </w:r>
          </w:p>
        </w:tc>
        <w:tc>
          <w:tcPr>
            <w:tcW w:w="1118" w:type="dxa"/>
            <w:tcBorders>
              <w:top w:val="nil"/>
              <w:left w:val="nil"/>
              <w:bottom w:val="single" w:sz="4" w:space="0" w:color="000000"/>
              <w:right w:val="nil"/>
            </w:tcBorders>
            <w:shd w:val="clear" w:color="auto" w:fill="auto"/>
          </w:tcPr>
          <w:p w14:paraId="07AE0B21" w14:textId="2FDD1FE4"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8.6%</w:t>
            </w:r>
          </w:p>
        </w:tc>
      </w:tr>
      <w:tr w:rsidR="00D928FD" w:rsidRPr="00DE0596" w14:paraId="488DD232"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4A8052C1" w14:textId="77777777" w:rsidR="00362F6E" w:rsidRPr="00BB165A" w:rsidRDefault="00362F6E" w:rsidP="00362F6E">
            <w:pPr>
              <w:spacing w:after="0" w:line="240" w:lineRule="auto"/>
              <w:rPr>
                <w:rFonts w:eastAsia="Times New Roman" w:cs="Arial"/>
                <w:sz w:val="16"/>
                <w:szCs w:val="14"/>
                <w:lang w:eastAsia="en-AU"/>
              </w:rPr>
            </w:pPr>
            <w:r w:rsidRPr="00BB165A">
              <w:rPr>
                <w:rFonts w:eastAsia="Times New Roman" w:cs="Arial"/>
                <w:sz w:val="16"/>
                <w:szCs w:val="14"/>
                <w:lang w:eastAsia="en-AU"/>
              </w:rPr>
              <w:t>MixedField</w:t>
            </w:r>
          </w:p>
        </w:tc>
        <w:tc>
          <w:tcPr>
            <w:tcW w:w="2406" w:type="dxa"/>
            <w:tcBorders>
              <w:top w:val="nil"/>
              <w:left w:val="nil"/>
              <w:bottom w:val="single" w:sz="4" w:space="0" w:color="000000"/>
              <w:right w:val="nil"/>
            </w:tcBorders>
            <w:shd w:val="clear" w:color="auto" w:fill="auto"/>
            <w:noWrap/>
          </w:tcPr>
          <w:p w14:paraId="37F3986C" w14:textId="511D41D2"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$61,909</w:t>
            </w:r>
          </w:p>
        </w:tc>
        <w:tc>
          <w:tcPr>
            <w:tcW w:w="1339" w:type="dxa"/>
            <w:tcBorders>
              <w:top w:val="nil"/>
              <w:left w:val="nil"/>
              <w:bottom w:val="single" w:sz="4" w:space="0" w:color="000000"/>
              <w:right w:val="nil"/>
            </w:tcBorders>
            <w:shd w:val="clear" w:color="auto" w:fill="auto"/>
            <w:noWrap/>
          </w:tcPr>
          <w:p w14:paraId="172B26B4" w14:textId="6A7306E1"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$50</w:t>
            </w:r>
          </w:p>
        </w:tc>
        <w:tc>
          <w:tcPr>
            <w:tcW w:w="1293" w:type="dxa"/>
            <w:tcBorders>
              <w:top w:val="nil"/>
              <w:left w:val="nil"/>
              <w:bottom w:val="single" w:sz="4" w:space="0" w:color="000000"/>
              <w:right w:val="nil"/>
            </w:tcBorders>
            <w:shd w:val="clear" w:color="auto" w:fill="auto"/>
            <w:noWrap/>
          </w:tcPr>
          <w:p w14:paraId="6D787518" w14:textId="59DBCDAA" w:rsidR="00362F6E" w:rsidRPr="00E12A10" w:rsidRDefault="00EE3602" w:rsidP="00362F6E">
            <w:pPr>
              <w:spacing w:after="0" w:line="240" w:lineRule="auto"/>
              <w:jc w:val="center"/>
              <w:rPr>
                <w:rFonts w:asciiTheme="minorHAnsi" w:eastAsia="Times New Roman" w:hAnsiTheme="minorHAnsi" w:cs="Arial"/>
                <w:sz w:val="16"/>
                <w:szCs w:val="16"/>
                <w:lang w:eastAsia="en-AU"/>
              </w:rPr>
            </w:pPr>
            <w:r w:rsidRPr="00A44B17">
              <w:t>0.3%</w:t>
            </w:r>
          </w:p>
        </w:tc>
        <w:tc>
          <w:tcPr>
            <w:tcW w:w="1255" w:type="dxa"/>
            <w:tcBorders>
              <w:top w:val="nil"/>
              <w:left w:val="nil"/>
              <w:bottom w:val="single" w:sz="4" w:space="0" w:color="000000"/>
              <w:right w:val="nil"/>
            </w:tcBorders>
            <w:shd w:val="clear" w:color="auto" w:fill="auto"/>
          </w:tcPr>
          <w:p w14:paraId="41311247" w14:textId="606DCA1F"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$1,415</w:t>
            </w:r>
          </w:p>
        </w:tc>
        <w:tc>
          <w:tcPr>
            <w:tcW w:w="1118" w:type="dxa"/>
            <w:tcBorders>
              <w:top w:val="nil"/>
              <w:left w:val="nil"/>
              <w:bottom w:val="single" w:sz="4" w:space="0" w:color="000000"/>
              <w:right w:val="nil"/>
            </w:tcBorders>
            <w:shd w:val="clear" w:color="auto" w:fill="auto"/>
          </w:tcPr>
          <w:p w14:paraId="129711AD" w14:textId="6EEFFF85" w:rsidR="00362F6E" w:rsidRPr="00E12A10" w:rsidRDefault="00563135" w:rsidP="00362F6E">
            <w:pPr>
              <w:spacing w:after="0" w:line="240" w:lineRule="auto"/>
              <w:jc w:val="center"/>
              <w:rPr>
                <w:rFonts w:asciiTheme="minorHAnsi" w:eastAsia="Times New Roman" w:hAnsiTheme="minorHAnsi" w:cs="Arial"/>
                <w:sz w:val="16"/>
                <w:szCs w:val="16"/>
                <w:lang w:eastAsia="en-AU"/>
              </w:rPr>
            </w:pPr>
            <w:r w:rsidRPr="003314BC">
              <w:t>8.0%</w:t>
            </w:r>
          </w:p>
        </w:tc>
      </w:tr>
      <w:tr w:rsidR="00D928FD" w:rsidRPr="008B3BBC" w14:paraId="13698A38" w14:textId="77777777" w:rsidTr="007E5AB1">
        <w:trPr>
          <w:trHeight w:val="210"/>
        </w:trPr>
        <w:tc>
          <w:tcPr>
            <w:tcW w:w="1661" w:type="dxa"/>
            <w:tcBorders>
              <w:top w:val="single" w:sz="4" w:space="0" w:color="000000" w:themeColor="text1"/>
              <w:left w:val="nil"/>
              <w:bottom w:val="single" w:sz="4" w:space="0" w:color="000000" w:themeColor="text1"/>
              <w:right w:val="nil"/>
            </w:tcBorders>
            <w:noWrap/>
            <w:hideMark/>
          </w:tcPr>
          <w:p w14:paraId="03C5926C" w14:textId="77777777" w:rsidR="00362F6E" w:rsidRPr="00BB165A" w:rsidRDefault="00362F6E" w:rsidP="00362F6E">
            <w:pPr>
              <w:spacing w:after="0" w:line="240" w:lineRule="auto"/>
              <w:rPr>
                <w:rFonts w:eastAsia="Times New Roman" w:cs="Arial"/>
                <w:b/>
                <w:sz w:val="16"/>
                <w:szCs w:val="14"/>
                <w:lang w:eastAsia="en-AU"/>
              </w:rPr>
            </w:pPr>
            <w:r w:rsidRPr="00BB165A">
              <w:rPr>
                <w:rFonts w:eastAsia="Times New Roman" w:cs="Arial"/>
                <w:b/>
                <w:sz w:val="16"/>
                <w:szCs w:val="14"/>
                <w:lang w:eastAsia="en-AU"/>
              </w:rPr>
              <w:t>Total</w:t>
            </w:r>
          </w:p>
        </w:tc>
        <w:tc>
          <w:tcPr>
            <w:tcW w:w="2406" w:type="dxa"/>
            <w:tcBorders>
              <w:top w:val="nil"/>
              <w:left w:val="nil"/>
              <w:bottom w:val="single" w:sz="4" w:space="0" w:color="auto"/>
              <w:right w:val="nil"/>
            </w:tcBorders>
            <w:shd w:val="clear" w:color="auto" w:fill="auto"/>
            <w:noWrap/>
          </w:tcPr>
          <w:p w14:paraId="4D8EECEF" w14:textId="082A7F9D" w:rsidR="00362F6E" w:rsidRPr="00883736" w:rsidRDefault="00EE3602" w:rsidP="00362F6E">
            <w:pPr>
              <w:spacing w:after="0" w:line="240" w:lineRule="auto"/>
              <w:jc w:val="center"/>
              <w:rPr>
                <w:rFonts w:asciiTheme="minorHAnsi" w:eastAsia="Times New Roman" w:hAnsiTheme="minorHAnsi" w:cs="Arial"/>
                <w:b/>
                <w:sz w:val="16"/>
                <w:szCs w:val="16"/>
                <w:lang w:eastAsia="en-AU"/>
              </w:rPr>
            </w:pPr>
            <w:r w:rsidRPr="00416131">
              <w:rPr>
                <w:b/>
              </w:rPr>
              <w:t>$96,733,895</w:t>
            </w:r>
          </w:p>
        </w:tc>
        <w:tc>
          <w:tcPr>
            <w:tcW w:w="1339" w:type="dxa"/>
            <w:tcBorders>
              <w:top w:val="nil"/>
              <w:left w:val="nil"/>
              <w:bottom w:val="single" w:sz="4" w:space="0" w:color="auto"/>
              <w:right w:val="nil"/>
            </w:tcBorders>
            <w:shd w:val="clear" w:color="auto" w:fill="auto"/>
            <w:noWrap/>
          </w:tcPr>
          <w:p w14:paraId="7F247366" w14:textId="616E6BE5" w:rsidR="00362F6E" w:rsidRPr="00883736" w:rsidRDefault="00EE3602" w:rsidP="00362F6E">
            <w:pPr>
              <w:spacing w:after="0" w:line="240" w:lineRule="auto"/>
              <w:jc w:val="center"/>
              <w:rPr>
                <w:rFonts w:asciiTheme="minorHAnsi" w:eastAsia="Times New Roman" w:hAnsiTheme="minorHAnsi" w:cs="Arial"/>
                <w:b/>
                <w:sz w:val="16"/>
                <w:szCs w:val="16"/>
                <w:lang w:eastAsia="en-AU"/>
              </w:rPr>
            </w:pPr>
            <w:r w:rsidRPr="00416131">
              <w:rPr>
                <w:b/>
              </w:rPr>
              <w:t>$105</w:t>
            </w:r>
          </w:p>
        </w:tc>
        <w:tc>
          <w:tcPr>
            <w:tcW w:w="1293" w:type="dxa"/>
            <w:tcBorders>
              <w:top w:val="nil"/>
              <w:left w:val="nil"/>
              <w:bottom w:val="single" w:sz="4" w:space="0" w:color="auto"/>
              <w:right w:val="nil"/>
            </w:tcBorders>
            <w:shd w:val="clear" w:color="auto" w:fill="auto"/>
            <w:noWrap/>
          </w:tcPr>
          <w:p w14:paraId="346C0372" w14:textId="642E236E" w:rsidR="00362F6E" w:rsidRPr="00883736" w:rsidRDefault="00EE3602" w:rsidP="00362F6E">
            <w:pPr>
              <w:spacing w:after="0" w:line="240" w:lineRule="auto"/>
              <w:jc w:val="center"/>
              <w:rPr>
                <w:rFonts w:asciiTheme="minorHAnsi" w:eastAsia="Times New Roman" w:hAnsiTheme="minorHAnsi" w:cs="Arial"/>
                <w:b/>
                <w:sz w:val="16"/>
                <w:szCs w:val="16"/>
                <w:lang w:eastAsia="en-AU"/>
              </w:rPr>
            </w:pPr>
            <w:r w:rsidRPr="00416131">
              <w:rPr>
                <w:b/>
              </w:rPr>
              <w:t>0.6%</w:t>
            </w:r>
          </w:p>
        </w:tc>
        <w:tc>
          <w:tcPr>
            <w:tcW w:w="1255" w:type="dxa"/>
            <w:tcBorders>
              <w:top w:val="nil"/>
              <w:left w:val="nil"/>
              <w:bottom w:val="single" w:sz="4" w:space="0" w:color="auto"/>
              <w:right w:val="nil"/>
            </w:tcBorders>
            <w:shd w:val="clear" w:color="auto" w:fill="auto"/>
          </w:tcPr>
          <w:p w14:paraId="2ECCFBC4" w14:textId="59121ABC" w:rsidR="00362F6E" w:rsidRPr="00883736" w:rsidRDefault="00563135" w:rsidP="00362F6E">
            <w:pPr>
              <w:spacing w:after="0" w:line="240" w:lineRule="auto"/>
              <w:jc w:val="center"/>
              <w:rPr>
                <w:rFonts w:asciiTheme="minorHAnsi" w:eastAsia="Times New Roman" w:hAnsiTheme="minorHAnsi" w:cs="Arial"/>
                <w:b/>
                <w:sz w:val="16"/>
                <w:szCs w:val="16"/>
                <w:lang w:eastAsia="en-AU"/>
              </w:rPr>
            </w:pPr>
            <w:r w:rsidRPr="00416131">
              <w:rPr>
                <w:b/>
                <w:bCs/>
              </w:rPr>
              <w:t>$644</w:t>
            </w:r>
          </w:p>
        </w:tc>
        <w:tc>
          <w:tcPr>
            <w:tcW w:w="1118" w:type="dxa"/>
            <w:tcBorders>
              <w:top w:val="nil"/>
              <w:left w:val="nil"/>
              <w:bottom w:val="single" w:sz="4" w:space="0" w:color="auto"/>
              <w:right w:val="nil"/>
            </w:tcBorders>
            <w:shd w:val="clear" w:color="auto" w:fill="auto"/>
          </w:tcPr>
          <w:p w14:paraId="08E34F65" w14:textId="26988E17" w:rsidR="00362F6E" w:rsidRPr="00883736" w:rsidRDefault="00563135" w:rsidP="00362F6E">
            <w:pPr>
              <w:spacing w:after="0" w:line="240" w:lineRule="auto"/>
              <w:jc w:val="center"/>
              <w:rPr>
                <w:rFonts w:asciiTheme="minorHAnsi" w:eastAsia="Times New Roman" w:hAnsiTheme="minorHAnsi" w:cs="Arial"/>
                <w:b/>
                <w:sz w:val="16"/>
                <w:szCs w:val="16"/>
                <w:lang w:eastAsia="en-AU"/>
              </w:rPr>
            </w:pPr>
            <w:r w:rsidRPr="00416131">
              <w:rPr>
                <w:b/>
                <w:bCs/>
              </w:rPr>
              <w:t>3.1%</w:t>
            </w:r>
          </w:p>
        </w:tc>
      </w:tr>
    </w:tbl>
    <w:p w14:paraId="053B3EEF" w14:textId="77777777" w:rsidR="00C275CB" w:rsidRPr="00BB165A" w:rsidRDefault="00C275CB">
      <w:pPr>
        <w:spacing w:after="0"/>
        <w:rPr>
          <w:color w:val="75787B" w:themeColor="accent6"/>
          <w:sz w:val="14"/>
        </w:rPr>
      </w:pPr>
      <w:r w:rsidRPr="00BB165A">
        <w:rPr>
          <w:sz w:val="14"/>
        </w:rPr>
        <w:br w:type="page"/>
      </w:r>
    </w:p>
    <w:p w14:paraId="7AE8D1F6" w14:textId="5F828C2C" w:rsidR="00FE2B4B" w:rsidRPr="00BB165A" w:rsidRDefault="00087BA9" w:rsidP="00FE2B4B">
      <w:pPr>
        <w:pStyle w:val="CaptionTable"/>
      </w:pPr>
      <w:bookmarkStart w:id="653" w:name="_Ref103332848"/>
      <w:bookmarkStart w:id="654" w:name="_Toc105776719"/>
      <w:r w:rsidRPr="00BB165A">
        <w:t xml:space="preserve">: </w:t>
      </w:r>
      <w:r w:rsidR="00FE2B4B" w:rsidRPr="00BB165A">
        <w:t xml:space="preserve">Impact of the optional depreciation adjustment on total teaching and scholarship costs </w:t>
      </w:r>
      <w:r w:rsidR="009875D0">
        <w:t>(</w:t>
      </w:r>
      <w:r w:rsidR="007A1C6B" w:rsidRPr="00BB165A">
        <w:t>2020</w:t>
      </w:r>
      <w:bookmarkEnd w:id="653"/>
      <w:r w:rsidR="009875D0">
        <w:t>)</w:t>
      </w:r>
      <w:bookmarkEnd w:id="654"/>
    </w:p>
    <w:tbl>
      <w:tblPr>
        <w:tblStyle w:val="Deloittetable"/>
        <w:tblW w:w="9072" w:type="dxa"/>
        <w:tblCellMar>
          <w:left w:w="57" w:type="dxa"/>
          <w:right w:w="57" w:type="dxa"/>
        </w:tblCellMar>
        <w:tblLook w:val="04A0" w:firstRow="1" w:lastRow="0" w:firstColumn="1" w:lastColumn="0" w:noHBand="0" w:noVBand="1"/>
      </w:tblPr>
      <w:tblGrid>
        <w:gridCol w:w="1619"/>
        <w:gridCol w:w="2568"/>
        <w:gridCol w:w="1306"/>
        <w:gridCol w:w="1262"/>
        <w:gridCol w:w="1173"/>
        <w:gridCol w:w="1144"/>
      </w:tblGrid>
      <w:tr w:rsidR="00FE2B4B" w:rsidRPr="00324BD5" w14:paraId="5D7C5068" w14:textId="77777777" w:rsidTr="009D0866">
        <w:trPr>
          <w:cnfStyle w:val="100000000000" w:firstRow="1" w:lastRow="0" w:firstColumn="0" w:lastColumn="0" w:oddVBand="0" w:evenVBand="0" w:oddHBand="0" w:evenHBand="0" w:firstRowFirstColumn="0" w:firstRowLastColumn="0" w:lastRowFirstColumn="0" w:lastRowLastColumn="0"/>
          <w:trHeight w:val="446"/>
        </w:trPr>
        <w:tc>
          <w:tcPr>
            <w:tcW w:w="1619" w:type="dxa"/>
            <w:tcBorders>
              <w:left w:val="nil"/>
              <w:bottom w:val="single" w:sz="4" w:space="0" w:color="000000" w:themeColor="text1"/>
              <w:right w:val="nil"/>
            </w:tcBorders>
            <w:noWrap/>
            <w:hideMark/>
          </w:tcPr>
          <w:p w14:paraId="50CBB643" w14:textId="20EBAE87" w:rsidR="00FE2B4B" w:rsidRPr="00BB165A" w:rsidRDefault="00FE2B4B" w:rsidP="00274741">
            <w:pPr>
              <w:spacing w:after="0" w:line="240" w:lineRule="auto"/>
              <w:rPr>
                <w:rFonts w:eastAsia="Times New Roman" w:cs="Arial"/>
                <w:b/>
                <w:sz w:val="16"/>
                <w:szCs w:val="16"/>
                <w:lang w:eastAsia="en-AU"/>
              </w:rPr>
            </w:pPr>
            <w:r w:rsidRPr="00BB165A">
              <w:rPr>
                <w:rFonts w:eastAsia="Times New Roman" w:cs="Arial"/>
                <w:sz w:val="16"/>
                <w:szCs w:val="16"/>
                <w:lang w:eastAsia="en-AU"/>
              </w:rPr>
              <w:t> </w:t>
            </w:r>
            <w:r w:rsidR="00B70C2F">
              <w:rPr>
                <w:rFonts w:eastAsia="Times New Roman" w:cs="Arial"/>
                <w:b/>
                <w:sz w:val="16"/>
                <w:szCs w:val="16"/>
                <w:lang w:eastAsia="en-AU"/>
              </w:rPr>
              <w:t>FOE</w:t>
            </w:r>
          </w:p>
        </w:tc>
        <w:tc>
          <w:tcPr>
            <w:tcW w:w="2568" w:type="dxa"/>
            <w:tcBorders>
              <w:left w:val="nil"/>
              <w:bottom w:val="single" w:sz="4" w:space="0" w:color="000000" w:themeColor="text1"/>
              <w:right w:val="nil"/>
            </w:tcBorders>
            <w:noWrap/>
            <w:hideMark/>
          </w:tcPr>
          <w:p w14:paraId="321C17C2" w14:textId="77777777" w:rsidR="00FE2B4B" w:rsidRPr="00BB165A" w:rsidRDefault="00FE2B4B"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total cost</w:t>
            </w:r>
          </w:p>
        </w:tc>
        <w:tc>
          <w:tcPr>
            <w:tcW w:w="1306" w:type="dxa"/>
            <w:tcBorders>
              <w:left w:val="nil"/>
              <w:bottom w:val="single" w:sz="4" w:space="0" w:color="000000" w:themeColor="text1"/>
              <w:right w:val="nil"/>
            </w:tcBorders>
            <w:noWrap/>
            <w:hideMark/>
          </w:tcPr>
          <w:p w14:paraId="7AC84B22" w14:textId="77777777" w:rsidR="00FE2B4B" w:rsidRPr="00BB165A" w:rsidRDefault="00FE2B4B"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262" w:type="dxa"/>
            <w:tcBorders>
              <w:left w:val="nil"/>
              <w:bottom w:val="single" w:sz="4" w:space="0" w:color="000000" w:themeColor="text1"/>
              <w:right w:val="nil"/>
            </w:tcBorders>
            <w:hideMark/>
          </w:tcPr>
          <w:p w14:paraId="70F75980" w14:textId="77777777" w:rsidR="00FE2B4B" w:rsidRPr="00BB165A" w:rsidRDefault="00FE2B4B"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c>
          <w:tcPr>
            <w:tcW w:w="1225" w:type="dxa"/>
            <w:tcBorders>
              <w:left w:val="nil"/>
              <w:bottom w:val="single" w:sz="4" w:space="0" w:color="000000" w:themeColor="text1"/>
              <w:right w:val="nil"/>
            </w:tcBorders>
          </w:tcPr>
          <w:p w14:paraId="5C3170F8" w14:textId="77777777" w:rsidR="00FE2B4B" w:rsidRPr="00BB165A" w:rsidRDefault="00FE2B4B"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Impact on cost per EFTSL</w:t>
            </w:r>
          </w:p>
        </w:tc>
        <w:tc>
          <w:tcPr>
            <w:tcW w:w="1092" w:type="dxa"/>
            <w:tcBorders>
              <w:left w:val="nil"/>
              <w:bottom w:val="single" w:sz="4" w:space="0" w:color="000000" w:themeColor="text1"/>
              <w:right w:val="nil"/>
            </w:tcBorders>
          </w:tcPr>
          <w:p w14:paraId="6FC7C277" w14:textId="77777777" w:rsidR="00FE2B4B" w:rsidRPr="00BB165A" w:rsidRDefault="00FE2B4B" w:rsidP="00274741">
            <w:pPr>
              <w:spacing w:after="0" w:line="240" w:lineRule="auto"/>
              <w:jc w:val="center"/>
              <w:rPr>
                <w:rFonts w:eastAsia="Times New Roman" w:cs="Arial"/>
                <w:b/>
                <w:i/>
                <w:sz w:val="16"/>
                <w:szCs w:val="16"/>
                <w:lang w:eastAsia="en-AU"/>
              </w:rPr>
            </w:pPr>
            <w:r w:rsidRPr="00BB165A">
              <w:rPr>
                <w:rFonts w:eastAsia="Times New Roman" w:cs="Arial"/>
                <w:b/>
                <w:i/>
                <w:sz w:val="16"/>
                <w:szCs w:val="16"/>
                <w:lang w:eastAsia="en-AU"/>
              </w:rPr>
              <w:t>% impact on total teaching and scholarship costs per EFTSL</w:t>
            </w:r>
          </w:p>
        </w:tc>
      </w:tr>
      <w:tr w:rsidR="009D0866" w:rsidRPr="00324BD5" w14:paraId="4639BC18" w14:textId="77777777" w:rsidTr="009D0866">
        <w:trPr>
          <w:trHeight w:val="446"/>
        </w:trPr>
        <w:tc>
          <w:tcPr>
            <w:tcW w:w="1619" w:type="dxa"/>
            <w:tcBorders>
              <w:left w:val="nil"/>
              <w:bottom w:val="single" w:sz="4" w:space="0" w:color="000000" w:themeColor="text1"/>
              <w:right w:val="nil"/>
            </w:tcBorders>
            <w:noWrap/>
          </w:tcPr>
          <w:p w14:paraId="05258552" w14:textId="77777777" w:rsidR="009D0866" w:rsidRPr="00BB165A" w:rsidRDefault="009D0866" w:rsidP="00274741">
            <w:pPr>
              <w:spacing w:after="0" w:line="240" w:lineRule="auto"/>
              <w:rPr>
                <w:rFonts w:eastAsia="Times New Roman" w:cs="Arial"/>
                <w:sz w:val="16"/>
                <w:szCs w:val="16"/>
                <w:lang w:eastAsia="en-AU"/>
              </w:rPr>
            </w:pPr>
          </w:p>
        </w:tc>
        <w:tc>
          <w:tcPr>
            <w:tcW w:w="5136" w:type="dxa"/>
            <w:gridSpan w:val="3"/>
            <w:tcBorders>
              <w:left w:val="nil"/>
              <w:bottom w:val="single" w:sz="4" w:space="0" w:color="000000" w:themeColor="text1"/>
              <w:right w:val="nil"/>
            </w:tcBorders>
            <w:noWrap/>
          </w:tcPr>
          <w:p w14:paraId="1F069368" w14:textId="77777777" w:rsidR="009D0866" w:rsidRPr="00BB165A" w:rsidRDefault="009D0866"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All universities</w:t>
            </w:r>
          </w:p>
        </w:tc>
        <w:tc>
          <w:tcPr>
            <w:tcW w:w="2317" w:type="dxa"/>
            <w:gridSpan w:val="2"/>
            <w:tcBorders>
              <w:left w:val="nil"/>
              <w:bottom w:val="single" w:sz="4" w:space="0" w:color="000000" w:themeColor="text1"/>
              <w:right w:val="nil"/>
            </w:tcBorders>
          </w:tcPr>
          <w:p w14:paraId="5A51C11D" w14:textId="77777777" w:rsidR="009D0866" w:rsidRPr="00BB165A" w:rsidRDefault="009D0866"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 xml:space="preserve">Universities who reported </w:t>
            </w:r>
          </w:p>
          <w:p w14:paraId="0D6A688E" w14:textId="0C656875" w:rsidR="009D0866" w:rsidRPr="00BB165A" w:rsidRDefault="009D0866" w:rsidP="00274741">
            <w:pPr>
              <w:spacing w:after="0" w:line="240" w:lineRule="auto"/>
              <w:jc w:val="center"/>
              <w:rPr>
                <w:rFonts w:eastAsia="Times New Roman" w:cs="Arial"/>
                <w:i/>
                <w:sz w:val="16"/>
                <w:szCs w:val="16"/>
                <w:lang w:eastAsia="en-AU"/>
              </w:rPr>
            </w:pPr>
            <w:r w:rsidRPr="00BB165A">
              <w:rPr>
                <w:rFonts w:eastAsia="Times New Roman" w:cs="Arial"/>
                <w:i/>
                <w:sz w:val="16"/>
                <w:szCs w:val="16"/>
                <w:lang w:eastAsia="en-AU"/>
              </w:rPr>
              <w:t>depreciation adjustment costs</w:t>
            </w:r>
          </w:p>
        </w:tc>
      </w:tr>
      <w:tr w:rsidR="009D0866" w:rsidRPr="00324BD5" w14:paraId="432D4BDF"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2FF1BA83"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MathSci</w:t>
            </w:r>
          </w:p>
        </w:tc>
        <w:tc>
          <w:tcPr>
            <w:tcW w:w="2568" w:type="dxa"/>
            <w:tcBorders>
              <w:top w:val="single" w:sz="4" w:space="0" w:color="000000"/>
              <w:left w:val="nil"/>
              <w:bottom w:val="single" w:sz="4" w:space="0" w:color="000000"/>
              <w:right w:val="nil"/>
            </w:tcBorders>
            <w:shd w:val="clear" w:color="auto" w:fill="auto"/>
            <w:noWrap/>
          </w:tcPr>
          <w:p w14:paraId="678D0C9A" w14:textId="6F1AF76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$3,750,873</w:t>
            </w:r>
          </w:p>
        </w:tc>
        <w:tc>
          <w:tcPr>
            <w:tcW w:w="1306" w:type="dxa"/>
            <w:tcBorders>
              <w:top w:val="single" w:sz="4" w:space="0" w:color="000000"/>
              <w:left w:val="nil"/>
              <w:bottom w:val="single" w:sz="4" w:space="0" w:color="000000"/>
              <w:right w:val="nil"/>
            </w:tcBorders>
            <w:shd w:val="clear" w:color="auto" w:fill="auto"/>
            <w:noWrap/>
          </w:tcPr>
          <w:p w14:paraId="2929680F" w14:textId="789174FE"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$118</w:t>
            </w:r>
          </w:p>
        </w:tc>
        <w:tc>
          <w:tcPr>
            <w:tcW w:w="1262" w:type="dxa"/>
            <w:tcBorders>
              <w:top w:val="single" w:sz="4" w:space="0" w:color="000000"/>
              <w:left w:val="nil"/>
              <w:bottom w:val="single" w:sz="4" w:space="0" w:color="000000"/>
              <w:right w:val="nil"/>
            </w:tcBorders>
            <w:shd w:val="clear" w:color="auto" w:fill="auto"/>
            <w:noWrap/>
          </w:tcPr>
          <w:p w14:paraId="3489C172" w14:textId="7F4220FE"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0.7%</w:t>
            </w:r>
          </w:p>
        </w:tc>
        <w:tc>
          <w:tcPr>
            <w:tcW w:w="1225" w:type="dxa"/>
            <w:tcBorders>
              <w:top w:val="single" w:sz="4" w:space="0" w:color="000000"/>
              <w:left w:val="nil"/>
              <w:bottom w:val="single" w:sz="4" w:space="0" w:color="000000"/>
              <w:right w:val="nil"/>
            </w:tcBorders>
            <w:shd w:val="clear" w:color="auto" w:fill="auto"/>
          </w:tcPr>
          <w:p w14:paraId="23CEFC85" w14:textId="26F89FB2"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$659</w:t>
            </w:r>
          </w:p>
        </w:tc>
        <w:tc>
          <w:tcPr>
            <w:tcW w:w="1092" w:type="dxa"/>
            <w:tcBorders>
              <w:top w:val="single" w:sz="4" w:space="0" w:color="000000"/>
              <w:left w:val="nil"/>
              <w:bottom w:val="single" w:sz="4" w:space="0" w:color="000000"/>
              <w:right w:val="nil"/>
            </w:tcBorders>
            <w:shd w:val="clear" w:color="auto" w:fill="auto"/>
          </w:tcPr>
          <w:p w14:paraId="56BA4671" w14:textId="2B13270A"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4.1%</w:t>
            </w:r>
          </w:p>
        </w:tc>
      </w:tr>
      <w:tr w:rsidR="00D928FD" w:rsidRPr="00324BD5" w14:paraId="632DA4DF"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3BC4764A"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MedicalSci</w:t>
            </w:r>
          </w:p>
        </w:tc>
        <w:tc>
          <w:tcPr>
            <w:tcW w:w="2568" w:type="dxa"/>
            <w:tcBorders>
              <w:top w:val="nil"/>
              <w:left w:val="nil"/>
              <w:bottom w:val="single" w:sz="4" w:space="0" w:color="000000"/>
              <w:right w:val="nil"/>
            </w:tcBorders>
            <w:shd w:val="clear" w:color="auto" w:fill="auto"/>
            <w:noWrap/>
          </w:tcPr>
          <w:p w14:paraId="7AFACB46" w14:textId="18CD6707"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$1,297,919</w:t>
            </w:r>
          </w:p>
        </w:tc>
        <w:tc>
          <w:tcPr>
            <w:tcW w:w="1306" w:type="dxa"/>
            <w:tcBorders>
              <w:top w:val="nil"/>
              <w:left w:val="nil"/>
              <w:bottom w:val="single" w:sz="4" w:space="0" w:color="000000"/>
              <w:right w:val="nil"/>
            </w:tcBorders>
            <w:shd w:val="clear" w:color="auto" w:fill="auto"/>
            <w:noWrap/>
          </w:tcPr>
          <w:p w14:paraId="025526D5" w14:textId="1AF63A75"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$187</w:t>
            </w:r>
          </w:p>
        </w:tc>
        <w:tc>
          <w:tcPr>
            <w:tcW w:w="1262" w:type="dxa"/>
            <w:tcBorders>
              <w:top w:val="nil"/>
              <w:left w:val="nil"/>
              <w:bottom w:val="single" w:sz="4" w:space="0" w:color="000000"/>
              <w:right w:val="nil"/>
            </w:tcBorders>
            <w:shd w:val="clear" w:color="auto" w:fill="auto"/>
            <w:noWrap/>
          </w:tcPr>
          <w:p w14:paraId="17BF6A29" w14:textId="732D55D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0.8%</w:t>
            </w:r>
          </w:p>
        </w:tc>
        <w:tc>
          <w:tcPr>
            <w:tcW w:w="1225" w:type="dxa"/>
            <w:tcBorders>
              <w:top w:val="nil"/>
              <w:left w:val="nil"/>
              <w:bottom w:val="single" w:sz="4" w:space="0" w:color="000000"/>
              <w:right w:val="nil"/>
            </w:tcBorders>
            <w:shd w:val="clear" w:color="auto" w:fill="auto"/>
          </w:tcPr>
          <w:p w14:paraId="255863E4" w14:textId="2D433A47"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$1,124</w:t>
            </w:r>
          </w:p>
        </w:tc>
        <w:tc>
          <w:tcPr>
            <w:tcW w:w="1092" w:type="dxa"/>
            <w:tcBorders>
              <w:top w:val="nil"/>
              <w:left w:val="nil"/>
              <w:bottom w:val="single" w:sz="4" w:space="0" w:color="000000"/>
              <w:right w:val="nil"/>
            </w:tcBorders>
            <w:shd w:val="clear" w:color="auto" w:fill="auto"/>
          </w:tcPr>
          <w:p w14:paraId="4AFCE6C3" w14:textId="071F848C"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4.7%</w:t>
            </w:r>
          </w:p>
        </w:tc>
      </w:tr>
      <w:tr w:rsidR="00D928FD" w:rsidRPr="00324BD5" w14:paraId="31B1E173"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691AFDA3"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OthNat-PhysSci</w:t>
            </w:r>
          </w:p>
        </w:tc>
        <w:tc>
          <w:tcPr>
            <w:tcW w:w="2568" w:type="dxa"/>
            <w:tcBorders>
              <w:top w:val="nil"/>
              <w:left w:val="nil"/>
              <w:bottom w:val="single" w:sz="4" w:space="0" w:color="000000"/>
              <w:right w:val="nil"/>
            </w:tcBorders>
            <w:shd w:val="clear" w:color="auto" w:fill="auto"/>
            <w:noWrap/>
          </w:tcPr>
          <w:p w14:paraId="4B81555E" w14:textId="5F2C9EA9"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$16,108,753</w:t>
            </w:r>
          </w:p>
        </w:tc>
        <w:tc>
          <w:tcPr>
            <w:tcW w:w="1306" w:type="dxa"/>
            <w:tcBorders>
              <w:top w:val="nil"/>
              <w:left w:val="nil"/>
              <w:bottom w:val="single" w:sz="4" w:space="0" w:color="000000"/>
              <w:right w:val="nil"/>
            </w:tcBorders>
            <w:shd w:val="clear" w:color="auto" w:fill="auto"/>
            <w:noWrap/>
          </w:tcPr>
          <w:p w14:paraId="3BB4DA5B" w14:textId="4DCFB540"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$218</w:t>
            </w:r>
          </w:p>
        </w:tc>
        <w:tc>
          <w:tcPr>
            <w:tcW w:w="1262" w:type="dxa"/>
            <w:tcBorders>
              <w:top w:val="nil"/>
              <w:left w:val="nil"/>
              <w:bottom w:val="single" w:sz="4" w:space="0" w:color="000000"/>
              <w:right w:val="nil"/>
            </w:tcBorders>
            <w:shd w:val="clear" w:color="auto" w:fill="auto"/>
            <w:noWrap/>
          </w:tcPr>
          <w:p w14:paraId="24299B6B" w14:textId="34693BC1"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1.0%</w:t>
            </w:r>
          </w:p>
        </w:tc>
        <w:tc>
          <w:tcPr>
            <w:tcW w:w="1225" w:type="dxa"/>
            <w:tcBorders>
              <w:top w:val="nil"/>
              <w:left w:val="nil"/>
              <w:bottom w:val="single" w:sz="4" w:space="0" w:color="000000"/>
              <w:right w:val="nil"/>
            </w:tcBorders>
            <w:shd w:val="clear" w:color="auto" w:fill="auto"/>
          </w:tcPr>
          <w:p w14:paraId="6B3C20D9" w14:textId="44263D58"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$1,218</w:t>
            </w:r>
          </w:p>
        </w:tc>
        <w:tc>
          <w:tcPr>
            <w:tcW w:w="1092" w:type="dxa"/>
            <w:tcBorders>
              <w:top w:val="nil"/>
              <w:left w:val="nil"/>
              <w:bottom w:val="single" w:sz="4" w:space="0" w:color="000000"/>
              <w:right w:val="nil"/>
            </w:tcBorders>
            <w:shd w:val="clear" w:color="auto" w:fill="auto"/>
          </w:tcPr>
          <w:p w14:paraId="7CC521E2" w14:textId="0A0C37D5"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5.3%</w:t>
            </w:r>
          </w:p>
        </w:tc>
      </w:tr>
      <w:tr w:rsidR="00D928FD" w:rsidRPr="00324BD5" w14:paraId="7B4E60A6"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1022C67B"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InfoTech</w:t>
            </w:r>
          </w:p>
        </w:tc>
        <w:tc>
          <w:tcPr>
            <w:tcW w:w="2568" w:type="dxa"/>
            <w:tcBorders>
              <w:top w:val="nil"/>
              <w:left w:val="nil"/>
              <w:bottom w:val="single" w:sz="4" w:space="0" w:color="000000"/>
              <w:right w:val="nil"/>
            </w:tcBorders>
            <w:shd w:val="clear" w:color="auto" w:fill="auto"/>
            <w:noWrap/>
          </w:tcPr>
          <w:p w14:paraId="21251E06" w14:textId="11C69836"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$3,690,055</w:t>
            </w:r>
          </w:p>
        </w:tc>
        <w:tc>
          <w:tcPr>
            <w:tcW w:w="1306" w:type="dxa"/>
            <w:tcBorders>
              <w:top w:val="nil"/>
              <w:left w:val="nil"/>
              <w:bottom w:val="single" w:sz="4" w:space="0" w:color="000000"/>
              <w:right w:val="nil"/>
            </w:tcBorders>
            <w:shd w:val="clear" w:color="auto" w:fill="auto"/>
            <w:noWrap/>
          </w:tcPr>
          <w:p w14:paraId="27FD8EA5" w14:textId="0AC9FB14"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$56</w:t>
            </w:r>
          </w:p>
        </w:tc>
        <w:tc>
          <w:tcPr>
            <w:tcW w:w="1262" w:type="dxa"/>
            <w:tcBorders>
              <w:top w:val="nil"/>
              <w:left w:val="nil"/>
              <w:bottom w:val="single" w:sz="4" w:space="0" w:color="000000"/>
              <w:right w:val="nil"/>
            </w:tcBorders>
            <w:shd w:val="clear" w:color="auto" w:fill="auto"/>
            <w:noWrap/>
          </w:tcPr>
          <w:p w14:paraId="455607D7" w14:textId="01B1EF3C"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0.3%</w:t>
            </w:r>
          </w:p>
        </w:tc>
        <w:tc>
          <w:tcPr>
            <w:tcW w:w="1225" w:type="dxa"/>
            <w:tcBorders>
              <w:top w:val="nil"/>
              <w:left w:val="nil"/>
              <w:bottom w:val="single" w:sz="4" w:space="0" w:color="000000"/>
              <w:right w:val="nil"/>
            </w:tcBorders>
            <w:shd w:val="clear" w:color="auto" w:fill="auto"/>
          </w:tcPr>
          <w:p w14:paraId="107789EA" w14:textId="2233706B"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$486</w:t>
            </w:r>
          </w:p>
        </w:tc>
        <w:tc>
          <w:tcPr>
            <w:tcW w:w="1092" w:type="dxa"/>
            <w:tcBorders>
              <w:top w:val="nil"/>
              <w:left w:val="nil"/>
              <w:bottom w:val="single" w:sz="4" w:space="0" w:color="000000"/>
              <w:right w:val="nil"/>
            </w:tcBorders>
            <w:shd w:val="clear" w:color="auto" w:fill="auto"/>
          </w:tcPr>
          <w:p w14:paraId="54F2A26F" w14:textId="2A6C8560"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3.0%</w:t>
            </w:r>
          </w:p>
        </w:tc>
      </w:tr>
      <w:tr w:rsidR="00D928FD" w:rsidRPr="00324BD5" w14:paraId="10534BE7"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08DEC8D4"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Eng&amp;Related</w:t>
            </w:r>
          </w:p>
        </w:tc>
        <w:tc>
          <w:tcPr>
            <w:tcW w:w="2568" w:type="dxa"/>
            <w:tcBorders>
              <w:top w:val="nil"/>
              <w:left w:val="nil"/>
              <w:bottom w:val="single" w:sz="4" w:space="0" w:color="000000"/>
              <w:right w:val="nil"/>
            </w:tcBorders>
            <w:shd w:val="clear" w:color="auto" w:fill="auto"/>
            <w:noWrap/>
          </w:tcPr>
          <w:p w14:paraId="65CB1EB1" w14:textId="20458FD0"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$11,355,099</w:t>
            </w:r>
          </w:p>
        </w:tc>
        <w:tc>
          <w:tcPr>
            <w:tcW w:w="1306" w:type="dxa"/>
            <w:tcBorders>
              <w:top w:val="nil"/>
              <w:left w:val="nil"/>
              <w:bottom w:val="single" w:sz="4" w:space="0" w:color="000000"/>
              <w:right w:val="nil"/>
            </w:tcBorders>
            <w:shd w:val="clear" w:color="auto" w:fill="auto"/>
            <w:noWrap/>
          </w:tcPr>
          <w:p w14:paraId="3C65568D" w14:textId="27AAF38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$177</w:t>
            </w:r>
          </w:p>
        </w:tc>
        <w:tc>
          <w:tcPr>
            <w:tcW w:w="1262" w:type="dxa"/>
            <w:tcBorders>
              <w:top w:val="nil"/>
              <w:left w:val="nil"/>
              <w:bottom w:val="single" w:sz="4" w:space="0" w:color="000000"/>
              <w:right w:val="nil"/>
            </w:tcBorders>
            <w:shd w:val="clear" w:color="auto" w:fill="auto"/>
            <w:noWrap/>
          </w:tcPr>
          <w:p w14:paraId="16B6286E" w14:textId="644D817E"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0.8%</w:t>
            </w:r>
          </w:p>
        </w:tc>
        <w:tc>
          <w:tcPr>
            <w:tcW w:w="1225" w:type="dxa"/>
            <w:tcBorders>
              <w:top w:val="nil"/>
              <w:left w:val="nil"/>
              <w:bottom w:val="single" w:sz="4" w:space="0" w:color="000000"/>
              <w:right w:val="nil"/>
            </w:tcBorders>
            <w:shd w:val="clear" w:color="auto" w:fill="auto"/>
          </w:tcPr>
          <w:p w14:paraId="6539C931" w14:textId="0C6DBDDB"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$1,145</w:t>
            </w:r>
          </w:p>
        </w:tc>
        <w:tc>
          <w:tcPr>
            <w:tcW w:w="1092" w:type="dxa"/>
            <w:tcBorders>
              <w:top w:val="nil"/>
              <w:left w:val="nil"/>
              <w:bottom w:val="single" w:sz="4" w:space="0" w:color="000000"/>
              <w:right w:val="nil"/>
            </w:tcBorders>
            <w:shd w:val="clear" w:color="auto" w:fill="auto"/>
          </w:tcPr>
          <w:p w14:paraId="74E856B5" w14:textId="6919306E"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4.9%</w:t>
            </w:r>
          </w:p>
        </w:tc>
      </w:tr>
      <w:tr w:rsidR="00D928FD" w:rsidRPr="00324BD5" w14:paraId="6EB01336"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669390FE"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Archi&amp;Build</w:t>
            </w:r>
          </w:p>
        </w:tc>
        <w:tc>
          <w:tcPr>
            <w:tcW w:w="2568" w:type="dxa"/>
            <w:tcBorders>
              <w:top w:val="nil"/>
              <w:left w:val="nil"/>
              <w:bottom w:val="single" w:sz="4" w:space="0" w:color="000000"/>
              <w:right w:val="nil"/>
            </w:tcBorders>
            <w:shd w:val="clear" w:color="auto" w:fill="auto"/>
            <w:noWrap/>
          </w:tcPr>
          <w:p w14:paraId="462E4354" w14:textId="0663DCC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$4,040,348</w:t>
            </w:r>
          </w:p>
        </w:tc>
        <w:tc>
          <w:tcPr>
            <w:tcW w:w="1306" w:type="dxa"/>
            <w:tcBorders>
              <w:top w:val="nil"/>
              <w:left w:val="nil"/>
              <w:bottom w:val="single" w:sz="4" w:space="0" w:color="000000"/>
              <w:right w:val="nil"/>
            </w:tcBorders>
            <w:shd w:val="clear" w:color="auto" w:fill="auto"/>
            <w:noWrap/>
          </w:tcPr>
          <w:p w14:paraId="77D9CC4C" w14:textId="401A9371"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$180</w:t>
            </w:r>
          </w:p>
        </w:tc>
        <w:tc>
          <w:tcPr>
            <w:tcW w:w="1262" w:type="dxa"/>
            <w:tcBorders>
              <w:top w:val="nil"/>
              <w:left w:val="nil"/>
              <w:bottom w:val="single" w:sz="4" w:space="0" w:color="000000"/>
              <w:right w:val="nil"/>
            </w:tcBorders>
            <w:shd w:val="clear" w:color="auto" w:fill="auto"/>
            <w:noWrap/>
          </w:tcPr>
          <w:p w14:paraId="797F7731" w14:textId="5697304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0.9%</w:t>
            </w:r>
          </w:p>
        </w:tc>
        <w:tc>
          <w:tcPr>
            <w:tcW w:w="1225" w:type="dxa"/>
            <w:tcBorders>
              <w:top w:val="nil"/>
              <w:left w:val="nil"/>
              <w:bottom w:val="single" w:sz="4" w:space="0" w:color="000000"/>
              <w:right w:val="nil"/>
            </w:tcBorders>
            <w:shd w:val="clear" w:color="auto" w:fill="auto"/>
          </w:tcPr>
          <w:p w14:paraId="2A0C8F1C" w14:textId="01236EDC"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$1,000</w:t>
            </w:r>
          </w:p>
        </w:tc>
        <w:tc>
          <w:tcPr>
            <w:tcW w:w="1092" w:type="dxa"/>
            <w:tcBorders>
              <w:top w:val="nil"/>
              <w:left w:val="nil"/>
              <w:bottom w:val="single" w:sz="4" w:space="0" w:color="000000"/>
              <w:right w:val="nil"/>
            </w:tcBorders>
            <w:shd w:val="clear" w:color="auto" w:fill="auto"/>
          </w:tcPr>
          <w:p w14:paraId="3EDAE5D6" w14:textId="47608C58"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5.6%</w:t>
            </w:r>
          </w:p>
        </w:tc>
      </w:tr>
      <w:tr w:rsidR="00D928FD" w:rsidRPr="00324BD5" w14:paraId="17142B85"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73DE01F7"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Environment</w:t>
            </w:r>
          </w:p>
        </w:tc>
        <w:tc>
          <w:tcPr>
            <w:tcW w:w="2568" w:type="dxa"/>
            <w:tcBorders>
              <w:top w:val="nil"/>
              <w:left w:val="nil"/>
              <w:bottom w:val="single" w:sz="4" w:space="0" w:color="000000"/>
              <w:right w:val="nil"/>
            </w:tcBorders>
            <w:shd w:val="clear" w:color="auto" w:fill="auto"/>
            <w:noWrap/>
          </w:tcPr>
          <w:p w14:paraId="26FE4A9B" w14:textId="5DF4DC11"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$874,986</w:t>
            </w:r>
          </w:p>
        </w:tc>
        <w:tc>
          <w:tcPr>
            <w:tcW w:w="1306" w:type="dxa"/>
            <w:tcBorders>
              <w:top w:val="nil"/>
              <w:left w:val="nil"/>
              <w:bottom w:val="single" w:sz="4" w:space="0" w:color="000000"/>
              <w:right w:val="nil"/>
            </w:tcBorders>
            <w:shd w:val="clear" w:color="auto" w:fill="auto"/>
            <w:noWrap/>
          </w:tcPr>
          <w:p w14:paraId="0480E91D" w14:textId="15AB6426"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$118</w:t>
            </w:r>
          </w:p>
        </w:tc>
        <w:tc>
          <w:tcPr>
            <w:tcW w:w="1262" w:type="dxa"/>
            <w:tcBorders>
              <w:top w:val="nil"/>
              <w:left w:val="nil"/>
              <w:bottom w:val="single" w:sz="4" w:space="0" w:color="000000"/>
              <w:right w:val="nil"/>
            </w:tcBorders>
            <w:shd w:val="clear" w:color="auto" w:fill="auto"/>
            <w:noWrap/>
          </w:tcPr>
          <w:p w14:paraId="607BB7FA" w14:textId="6B2DD5D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0.5%</w:t>
            </w:r>
          </w:p>
        </w:tc>
        <w:tc>
          <w:tcPr>
            <w:tcW w:w="1225" w:type="dxa"/>
            <w:tcBorders>
              <w:top w:val="nil"/>
              <w:left w:val="nil"/>
              <w:bottom w:val="single" w:sz="4" w:space="0" w:color="000000"/>
              <w:right w:val="nil"/>
            </w:tcBorders>
            <w:shd w:val="clear" w:color="auto" w:fill="auto"/>
          </w:tcPr>
          <w:p w14:paraId="054DE5BD" w14:textId="5870FF8E"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$959</w:t>
            </w:r>
          </w:p>
        </w:tc>
        <w:tc>
          <w:tcPr>
            <w:tcW w:w="1092" w:type="dxa"/>
            <w:tcBorders>
              <w:top w:val="nil"/>
              <w:left w:val="nil"/>
              <w:bottom w:val="single" w:sz="4" w:space="0" w:color="000000"/>
              <w:right w:val="nil"/>
            </w:tcBorders>
            <w:shd w:val="clear" w:color="auto" w:fill="auto"/>
          </w:tcPr>
          <w:p w14:paraId="18733710" w14:textId="0208C6D4"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4.1%</w:t>
            </w:r>
          </w:p>
        </w:tc>
      </w:tr>
      <w:tr w:rsidR="00D928FD" w:rsidRPr="00324BD5" w14:paraId="5B74EB01"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7BD64476"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OthAg&amp;Enviro</w:t>
            </w:r>
          </w:p>
        </w:tc>
        <w:tc>
          <w:tcPr>
            <w:tcW w:w="2568" w:type="dxa"/>
            <w:tcBorders>
              <w:top w:val="nil"/>
              <w:left w:val="nil"/>
              <w:bottom w:val="single" w:sz="4" w:space="0" w:color="000000"/>
              <w:right w:val="nil"/>
            </w:tcBorders>
            <w:shd w:val="clear" w:color="auto" w:fill="auto"/>
            <w:noWrap/>
          </w:tcPr>
          <w:p w14:paraId="660D5714" w14:textId="25C05722"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$758,112</w:t>
            </w:r>
          </w:p>
        </w:tc>
        <w:tc>
          <w:tcPr>
            <w:tcW w:w="1306" w:type="dxa"/>
            <w:tcBorders>
              <w:top w:val="nil"/>
              <w:left w:val="nil"/>
              <w:bottom w:val="single" w:sz="4" w:space="0" w:color="000000"/>
              <w:right w:val="nil"/>
            </w:tcBorders>
            <w:shd w:val="clear" w:color="auto" w:fill="auto"/>
            <w:noWrap/>
          </w:tcPr>
          <w:p w14:paraId="28D28FFB" w14:textId="5EDB7BF5"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$170</w:t>
            </w:r>
          </w:p>
        </w:tc>
        <w:tc>
          <w:tcPr>
            <w:tcW w:w="1262" w:type="dxa"/>
            <w:tcBorders>
              <w:top w:val="nil"/>
              <w:left w:val="nil"/>
              <w:bottom w:val="single" w:sz="4" w:space="0" w:color="000000"/>
              <w:right w:val="nil"/>
            </w:tcBorders>
            <w:shd w:val="clear" w:color="auto" w:fill="auto"/>
            <w:noWrap/>
          </w:tcPr>
          <w:p w14:paraId="30EA515F" w14:textId="252F5739"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0.5%</w:t>
            </w:r>
          </w:p>
        </w:tc>
        <w:tc>
          <w:tcPr>
            <w:tcW w:w="1225" w:type="dxa"/>
            <w:tcBorders>
              <w:top w:val="nil"/>
              <w:left w:val="nil"/>
              <w:bottom w:val="single" w:sz="4" w:space="0" w:color="000000"/>
              <w:right w:val="nil"/>
            </w:tcBorders>
            <w:shd w:val="clear" w:color="auto" w:fill="auto"/>
          </w:tcPr>
          <w:p w14:paraId="28408467" w14:textId="2431EACB"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$1,649</w:t>
            </w:r>
          </w:p>
        </w:tc>
        <w:tc>
          <w:tcPr>
            <w:tcW w:w="1092" w:type="dxa"/>
            <w:tcBorders>
              <w:top w:val="nil"/>
              <w:left w:val="nil"/>
              <w:bottom w:val="single" w:sz="4" w:space="0" w:color="000000"/>
              <w:right w:val="nil"/>
            </w:tcBorders>
            <w:shd w:val="clear" w:color="auto" w:fill="auto"/>
          </w:tcPr>
          <w:p w14:paraId="4E24238E" w14:textId="2A09335B"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4.4%</w:t>
            </w:r>
          </w:p>
        </w:tc>
      </w:tr>
      <w:tr w:rsidR="00D928FD" w:rsidRPr="00324BD5" w14:paraId="4BFF1647"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2F687F33"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MedicalStudies</w:t>
            </w:r>
          </w:p>
        </w:tc>
        <w:tc>
          <w:tcPr>
            <w:tcW w:w="2568" w:type="dxa"/>
            <w:tcBorders>
              <w:top w:val="nil"/>
              <w:left w:val="nil"/>
              <w:bottom w:val="single" w:sz="4" w:space="0" w:color="000000"/>
              <w:right w:val="nil"/>
            </w:tcBorders>
            <w:shd w:val="clear" w:color="auto" w:fill="auto"/>
            <w:noWrap/>
          </w:tcPr>
          <w:p w14:paraId="56E48857" w14:textId="3E03FA15"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$7,562,284</w:t>
            </w:r>
          </w:p>
        </w:tc>
        <w:tc>
          <w:tcPr>
            <w:tcW w:w="1306" w:type="dxa"/>
            <w:tcBorders>
              <w:top w:val="nil"/>
              <w:left w:val="nil"/>
              <w:bottom w:val="single" w:sz="4" w:space="0" w:color="000000"/>
              <w:right w:val="nil"/>
            </w:tcBorders>
            <w:shd w:val="clear" w:color="auto" w:fill="auto"/>
            <w:noWrap/>
          </w:tcPr>
          <w:p w14:paraId="184F5005" w14:textId="399DD12B"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$334</w:t>
            </w:r>
          </w:p>
        </w:tc>
        <w:tc>
          <w:tcPr>
            <w:tcW w:w="1262" w:type="dxa"/>
            <w:tcBorders>
              <w:top w:val="nil"/>
              <w:left w:val="nil"/>
              <w:bottom w:val="single" w:sz="4" w:space="0" w:color="000000"/>
              <w:right w:val="nil"/>
            </w:tcBorders>
            <w:shd w:val="clear" w:color="auto" w:fill="auto"/>
            <w:noWrap/>
          </w:tcPr>
          <w:p w14:paraId="35BD7E33" w14:textId="766E3AC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1.1%</w:t>
            </w:r>
          </w:p>
        </w:tc>
        <w:tc>
          <w:tcPr>
            <w:tcW w:w="1225" w:type="dxa"/>
            <w:tcBorders>
              <w:top w:val="nil"/>
              <w:left w:val="nil"/>
              <w:bottom w:val="single" w:sz="4" w:space="0" w:color="000000"/>
              <w:right w:val="nil"/>
            </w:tcBorders>
            <w:shd w:val="clear" w:color="auto" w:fill="auto"/>
          </w:tcPr>
          <w:p w14:paraId="419F2EB6" w14:textId="7DD1F487"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$1,117</w:t>
            </w:r>
          </w:p>
        </w:tc>
        <w:tc>
          <w:tcPr>
            <w:tcW w:w="1092" w:type="dxa"/>
            <w:tcBorders>
              <w:top w:val="nil"/>
              <w:left w:val="nil"/>
              <w:bottom w:val="single" w:sz="4" w:space="0" w:color="000000"/>
              <w:right w:val="nil"/>
            </w:tcBorders>
            <w:shd w:val="clear" w:color="auto" w:fill="auto"/>
          </w:tcPr>
          <w:p w14:paraId="12CFE133" w14:textId="7A9ED234"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3.7%</w:t>
            </w:r>
          </w:p>
        </w:tc>
      </w:tr>
      <w:tr w:rsidR="00D928FD" w:rsidRPr="00324BD5" w14:paraId="72E5910C"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140676D7"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Nursing</w:t>
            </w:r>
          </w:p>
        </w:tc>
        <w:tc>
          <w:tcPr>
            <w:tcW w:w="2568" w:type="dxa"/>
            <w:tcBorders>
              <w:top w:val="nil"/>
              <w:left w:val="nil"/>
              <w:bottom w:val="single" w:sz="4" w:space="0" w:color="000000"/>
              <w:right w:val="nil"/>
            </w:tcBorders>
            <w:shd w:val="clear" w:color="auto" w:fill="auto"/>
            <w:noWrap/>
          </w:tcPr>
          <w:p w14:paraId="5709CFCD" w14:textId="39F31C2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$2,373,233</w:t>
            </w:r>
          </w:p>
        </w:tc>
        <w:tc>
          <w:tcPr>
            <w:tcW w:w="1306" w:type="dxa"/>
            <w:tcBorders>
              <w:top w:val="nil"/>
              <w:left w:val="nil"/>
              <w:bottom w:val="single" w:sz="4" w:space="0" w:color="000000"/>
              <w:right w:val="nil"/>
            </w:tcBorders>
            <w:shd w:val="clear" w:color="auto" w:fill="auto"/>
            <w:noWrap/>
          </w:tcPr>
          <w:p w14:paraId="2E75C011" w14:textId="3E8B3F4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$40</w:t>
            </w:r>
          </w:p>
        </w:tc>
        <w:tc>
          <w:tcPr>
            <w:tcW w:w="1262" w:type="dxa"/>
            <w:tcBorders>
              <w:top w:val="nil"/>
              <w:left w:val="nil"/>
              <w:bottom w:val="single" w:sz="4" w:space="0" w:color="000000"/>
              <w:right w:val="nil"/>
            </w:tcBorders>
            <w:shd w:val="clear" w:color="auto" w:fill="auto"/>
            <w:noWrap/>
          </w:tcPr>
          <w:p w14:paraId="765628C9" w14:textId="7F08964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0.2%</w:t>
            </w:r>
          </w:p>
        </w:tc>
        <w:tc>
          <w:tcPr>
            <w:tcW w:w="1225" w:type="dxa"/>
            <w:tcBorders>
              <w:top w:val="nil"/>
              <w:left w:val="nil"/>
              <w:bottom w:val="single" w:sz="4" w:space="0" w:color="000000"/>
              <w:right w:val="nil"/>
            </w:tcBorders>
            <w:shd w:val="clear" w:color="auto" w:fill="auto"/>
          </w:tcPr>
          <w:p w14:paraId="62679457" w14:textId="077B4206"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$430</w:t>
            </w:r>
          </w:p>
        </w:tc>
        <w:tc>
          <w:tcPr>
            <w:tcW w:w="1092" w:type="dxa"/>
            <w:tcBorders>
              <w:top w:val="nil"/>
              <w:left w:val="nil"/>
              <w:bottom w:val="single" w:sz="4" w:space="0" w:color="000000"/>
              <w:right w:val="nil"/>
            </w:tcBorders>
            <w:shd w:val="clear" w:color="auto" w:fill="auto"/>
          </w:tcPr>
          <w:p w14:paraId="3AB2A80B" w14:textId="1EA09442"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2.3%</w:t>
            </w:r>
          </w:p>
        </w:tc>
      </w:tr>
      <w:tr w:rsidR="00D928FD" w:rsidRPr="00324BD5" w14:paraId="2C3E8BC7"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6BFA7E81"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Dental</w:t>
            </w:r>
          </w:p>
        </w:tc>
        <w:tc>
          <w:tcPr>
            <w:tcW w:w="2568" w:type="dxa"/>
            <w:tcBorders>
              <w:top w:val="nil"/>
              <w:left w:val="nil"/>
              <w:bottom w:val="single" w:sz="4" w:space="0" w:color="000000"/>
              <w:right w:val="nil"/>
            </w:tcBorders>
            <w:shd w:val="clear" w:color="auto" w:fill="auto"/>
            <w:noWrap/>
          </w:tcPr>
          <w:p w14:paraId="03D41287" w14:textId="116464AC"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$1,904,563</w:t>
            </w:r>
          </w:p>
        </w:tc>
        <w:tc>
          <w:tcPr>
            <w:tcW w:w="1306" w:type="dxa"/>
            <w:tcBorders>
              <w:top w:val="nil"/>
              <w:left w:val="nil"/>
              <w:bottom w:val="single" w:sz="4" w:space="0" w:color="000000"/>
              <w:right w:val="nil"/>
            </w:tcBorders>
            <w:shd w:val="clear" w:color="auto" w:fill="auto"/>
            <w:noWrap/>
          </w:tcPr>
          <w:p w14:paraId="79D77BAA" w14:textId="5376D2E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$499</w:t>
            </w:r>
          </w:p>
        </w:tc>
        <w:tc>
          <w:tcPr>
            <w:tcW w:w="1262" w:type="dxa"/>
            <w:tcBorders>
              <w:top w:val="nil"/>
              <w:left w:val="nil"/>
              <w:bottom w:val="single" w:sz="4" w:space="0" w:color="000000"/>
              <w:right w:val="nil"/>
            </w:tcBorders>
            <w:shd w:val="clear" w:color="auto" w:fill="auto"/>
            <w:noWrap/>
          </w:tcPr>
          <w:p w14:paraId="5AB0128E" w14:textId="1085DF82"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1.2%</w:t>
            </w:r>
          </w:p>
        </w:tc>
        <w:tc>
          <w:tcPr>
            <w:tcW w:w="1225" w:type="dxa"/>
            <w:tcBorders>
              <w:top w:val="nil"/>
              <w:left w:val="nil"/>
              <w:bottom w:val="single" w:sz="4" w:space="0" w:color="000000"/>
              <w:right w:val="nil"/>
            </w:tcBorders>
            <w:shd w:val="clear" w:color="auto" w:fill="auto"/>
          </w:tcPr>
          <w:p w14:paraId="2FC4BDB5" w14:textId="7ADC2DCE"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$1,157</w:t>
            </w:r>
          </w:p>
        </w:tc>
        <w:tc>
          <w:tcPr>
            <w:tcW w:w="1092" w:type="dxa"/>
            <w:tcBorders>
              <w:top w:val="nil"/>
              <w:left w:val="nil"/>
              <w:bottom w:val="single" w:sz="4" w:space="0" w:color="000000"/>
              <w:right w:val="nil"/>
            </w:tcBorders>
            <w:shd w:val="clear" w:color="auto" w:fill="auto"/>
          </w:tcPr>
          <w:p w14:paraId="29AEA6B7" w14:textId="6BD61EC9"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2.4%</w:t>
            </w:r>
          </w:p>
        </w:tc>
      </w:tr>
      <w:tr w:rsidR="00D928FD" w:rsidRPr="00324BD5" w14:paraId="32C9CC79"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76852E33"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Veterinary</w:t>
            </w:r>
          </w:p>
        </w:tc>
        <w:tc>
          <w:tcPr>
            <w:tcW w:w="2568" w:type="dxa"/>
            <w:tcBorders>
              <w:top w:val="nil"/>
              <w:left w:val="nil"/>
              <w:bottom w:val="single" w:sz="4" w:space="0" w:color="000000"/>
              <w:right w:val="nil"/>
            </w:tcBorders>
            <w:shd w:val="clear" w:color="auto" w:fill="auto"/>
            <w:noWrap/>
          </w:tcPr>
          <w:p w14:paraId="6E4A63B8" w14:textId="1067F50A"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$1,367,561</w:t>
            </w:r>
          </w:p>
        </w:tc>
        <w:tc>
          <w:tcPr>
            <w:tcW w:w="1306" w:type="dxa"/>
            <w:tcBorders>
              <w:top w:val="nil"/>
              <w:left w:val="nil"/>
              <w:bottom w:val="single" w:sz="4" w:space="0" w:color="000000"/>
              <w:right w:val="nil"/>
            </w:tcBorders>
            <w:shd w:val="clear" w:color="auto" w:fill="auto"/>
            <w:noWrap/>
          </w:tcPr>
          <w:p w14:paraId="36E07A2A" w14:textId="7F304962"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$348</w:t>
            </w:r>
          </w:p>
        </w:tc>
        <w:tc>
          <w:tcPr>
            <w:tcW w:w="1262" w:type="dxa"/>
            <w:tcBorders>
              <w:top w:val="nil"/>
              <w:left w:val="nil"/>
              <w:bottom w:val="single" w:sz="4" w:space="0" w:color="000000"/>
              <w:right w:val="nil"/>
            </w:tcBorders>
            <w:shd w:val="clear" w:color="auto" w:fill="auto"/>
            <w:noWrap/>
          </w:tcPr>
          <w:p w14:paraId="5CBB5B86" w14:textId="7A7C431D"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0.7%</w:t>
            </w:r>
          </w:p>
        </w:tc>
        <w:tc>
          <w:tcPr>
            <w:tcW w:w="1225" w:type="dxa"/>
            <w:tcBorders>
              <w:top w:val="nil"/>
              <w:left w:val="nil"/>
              <w:bottom w:val="single" w:sz="4" w:space="0" w:color="000000"/>
              <w:right w:val="nil"/>
            </w:tcBorders>
            <w:shd w:val="clear" w:color="auto" w:fill="auto"/>
          </w:tcPr>
          <w:p w14:paraId="1AB2FB59" w14:textId="0C279BF6"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$1,065</w:t>
            </w:r>
          </w:p>
        </w:tc>
        <w:tc>
          <w:tcPr>
            <w:tcW w:w="1092" w:type="dxa"/>
            <w:tcBorders>
              <w:top w:val="nil"/>
              <w:left w:val="nil"/>
              <w:bottom w:val="single" w:sz="4" w:space="0" w:color="000000"/>
              <w:right w:val="nil"/>
            </w:tcBorders>
            <w:shd w:val="clear" w:color="auto" w:fill="auto"/>
          </w:tcPr>
          <w:p w14:paraId="5F614CBD" w14:textId="6696D98C"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2.2%</w:t>
            </w:r>
          </w:p>
        </w:tc>
      </w:tr>
      <w:tr w:rsidR="004D0C7A" w:rsidRPr="00324BD5" w14:paraId="0825DAD3" w14:textId="77777777" w:rsidTr="009D0866">
        <w:trPr>
          <w:trHeight w:val="20"/>
        </w:trPr>
        <w:tc>
          <w:tcPr>
            <w:tcW w:w="1619" w:type="dxa"/>
            <w:tcBorders>
              <w:top w:val="single" w:sz="4" w:space="0" w:color="000000" w:themeColor="text1"/>
              <w:left w:val="nil"/>
              <w:bottom w:val="single" w:sz="4" w:space="0" w:color="000000" w:themeColor="text1"/>
              <w:right w:val="nil"/>
            </w:tcBorders>
            <w:noWrap/>
            <w:hideMark/>
          </w:tcPr>
          <w:p w14:paraId="02B60152"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OthHealth</w:t>
            </w:r>
          </w:p>
        </w:tc>
        <w:tc>
          <w:tcPr>
            <w:tcW w:w="2568" w:type="dxa"/>
            <w:tcBorders>
              <w:top w:val="nil"/>
              <w:left w:val="nil"/>
              <w:bottom w:val="single" w:sz="4" w:space="0" w:color="000000"/>
              <w:right w:val="nil"/>
            </w:tcBorders>
            <w:shd w:val="clear" w:color="auto" w:fill="auto"/>
            <w:noWrap/>
          </w:tcPr>
          <w:p w14:paraId="1B5D6595" w14:textId="4424BE01"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$12,450,655</w:t>
            </w:r>
          </w:p>
        </w:tc>
        <w:tc>
          <w:tcPr>
            <w:tcW w:w="1306" w:type="dxa"/>
            <w:tcBorders>
              <w:top w:val="nil"/>
              <w:left w:val="nil"/>
              <w:bottom w:val="single" w:sz="4" w:space="0" w:color="000000"/>
              <w:right w:val="nil"/>
            </w:tcBorders>
            <w:shd w:val="clear" w:color="auto" w:fill="auto"/>
            <w:noWrap/>
          </w:tcPr>
          <w:p w14:paraId="690EC0D9" w14:textId="509A06A7"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$199</w:t>
            </w:r>
          </w:p>
        </w:tc>
        <w:tc>
          <w:tcPr>
            <w:tcW w:w="1262" w:type="dxa"/>
            <w:tcBorders>
              <w:top w:val="nil"/>
              <w:left w:val="nil"/>
              <w:bottom w:val="single" w:sz="4" w:space="0" w:color="000000"/>
              <w:right w:val="nil"/>
            </w:tcBorders>
            <w:shd w:val="clear" w:color="auto" w:fill="auto"/>
            <w:noWrap/>
          </w:tcPr>
          <w:p w14:paraId="76092CC1" w14:textId="3FFE09C9"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1.0%</w:t>
            </w:r>
          </w:p>
        </w:tc>
        <w:tc>
          <w:tcPr>
            <w:tcW w:w="1225" w:type="dxa"/>
            <w:tcBorders>
              <w:top w:val="nil"/>
              <w:left w:val="nil"/>
              <w:bottom w:val="single" w:sz="4" w:space="0" w:color="000000"/>
              <w:right w:val="nil"/>
            </w:tcBorders>
            <w:shd w:val="clear" w:color="auto" w:fill="auto"/>
          </w:tcPr>
          <w:p w14:paraId="5906E5D7" w14:textId="0FCA4B0D"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$1,038</w:t>
            </w:r>
          </w:p>
        </w:tc>
        <w:tc>
          <w:tcPr>
            <w:tcW w:w="1092" w:type="dxa"/>
            <w:tcBorders>
              <w:top w:val="nil"/>
              <w:left w:val="nil"/>
              <w:bottom w:val="single" w:sz="4" w:space="0" w:color="000000"/>
              <w:right w:val="nil"/>
            </w:tcBorders>
            <w:shd w:val="clear" w:color="auto" w:fill="auto"/>
          </w:tcPr>
          <w:p w14:paraId="78AC6183" w14:textId="5EADDBD5"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4.7%</w:t>
            </w:r>
          </w:p>
        </w:tc>
      </w:tr>
      <w:tr w:rsidR="00D928FD" w:rsidRPr="00324BD5" w14:paraId="0939AC51"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2F488A6C"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Education</w:t>
            </w:r>
          </w:p>
        </w:tc>
        <w:tc>
          <w:tcPr>
            <w:tcW w:w="2568" w:type="dxa"/>
            <w:tcBorders>
              <w:top w:val="nil"/>
              <w:left w:val="nil"/>
              <w:bottom w:val="single" w:sz="4" w:space="0" w:color="000000"/>
              <w:right w:val="nil"/>
            </w:tcBorders>
            <w:shd w:val="clear" w:color="auto" w:fill="auto"/>
            <w:noWrap/>
          </w:tcPr>
          <w:p w14:paraId="0CF32CCD" w14:textId="4ED7575D"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$5,777,419</w:t>
            </w:r>
          </w:p>
        </w:tc>
        <w:tc>
          <w:tcPr>
            <w:tcW w:w="1306" w:type="dxa"/>
            <w:tcBorders>
              <w:top w:val="nil"/>
              <w:left w:val="nil"/>
              <w:bottom w:val="single" w:sz="4" w:space="0" w:color="000000"/>
              <w:right w:val="nil"/>
            </w:tcBorders>
            <w:shd w:val="clear" w:color="auto" w:fill="auto"/>
            <w:noWrap/>
          </w:tcPr>
          <w:p w14:paraId="680A6699" w14:textId="363F7496"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$86</w:t>
            </w:r>
          </w:p>
        </w:tc>
        <w:tc>
          <w:tcPr>
            <w:tcW w:w="1262" w:type="dxa"/>
            <w:tcBorders>
              <w:top w:val="nil"/>
              <w:left w:val="nil"/>
              <w:bottom w:val="single" w:sz="4" w:space="0" w:color="000000"/>
              <w:right w:val="nil"/>
            </w:tcBorders>
            <w:shd w:val="clear" w:color="auto" w:fill="auto"/>
            <w:noWrap/>
          </w:tcPr>
          <w:p w14:paraId="720EE946" w14:textId="3B686440"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0.5%</w:t>
            </w:r>
          </w:p>
        </w:tc>
        <w:tc>
          <w:tcPr>
            <w:tcW w:w="1225" w:type="dxa"/>
            <w:tcBorders>
              <w:top w:val="nil"/>
              <w:left w:val="nil"/>
              <w:bottom w:val="single" w:sz="4" w:space="0" w:color="000000"/>
              <w:right w:val="nil"/>
            </w:tcBorders>
            <w:shd w:val="clear" w:color="auto" w:fill="auto"/>
          </w:tcPr>
          <w:p w14:paraId="41181FA3" w14:textId="2EDAC936"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$614</w:t>
            </w:r>
          </w:p>
        </w:tc>
        <w:tc>
          <w:tcPr>
            <w:tcW w:w="1092" w:type="dxa"/>
            <w:tcBorders>
              <w:top w:val="nil"/>
              <w:left w:val="nil"/>
              <w:bottom w:val="single" w:sz="4" w:space="0" w:color="000000"/>
              <w:right w:val="nil"/>
            </w:tcBorders>
            <w:shd w:val="clear" w:color="auto" w:fill="auto"/>
          </w:tcPr>
          <w:p w14:paraId="558277C5" w14:textId="1A65EDEB"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3.7%</w:t>
            </w:r>
          </w:p>
        </w:tc>
      </w:tr>
      <w:tr w:rsidR="00D928FD" w:rsidRPr="00324BD5" w14:paraId="51F2608F"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04945A8C"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Mgmt&amp;Comm</w:t>
            </w:r>
          </w:p>
        </w:tc>
        <w:tc>
          <w:tcPr>
            <w:tcW w:w="2568" w:type="dxa"/>
            <w:tcBorders>
              <w:top w:val="nil"/>
              <w:left w:val="nil"/>
              <w:bottom w:val="single" w:sz="4" w:space="0" w:color="000000"/>
              <w:right w:val="nil"/>
            </w:tcBorders>
            <w:shd w:val="clear" w:color="auto" w:fill="auto"/>
            <w:noWrap/>
          </w:tcPr>
          <w:p w14:paraId="4A626C66" w14:textId="536506EB"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$10,208,564</w:t>
            </w:r>
          </w:p>
        </w:tc>
        <w:tc>
          <w:tcPr>
            <w:tcW w:w="1306" w:type="dxa"/>
            <w:tcBorders>
              <w:top w:val="nil"/>
              <w:left w:val="nil"/>
              <w:bottom w:val="single" w:sz="4" w:space="0" w:color="000000"/>
              <w:right w:val="nil"/>
            </w:tcBorders>
            <w:shd w:val="clear" w:color="auto" w:fill="auto"/>
            <w:noWrap/>
          </w:tcPr>
          <w:p w14:paraId="3CE56018" w14:textId="65C7483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$73</w:t>
            </w:r>
          </w:p>
        </w:tc>
        <w:tc>
          <w:tcPr>
            <w:tcW w:w="1262" w:type="dxa"/>
            <w:tcBorders>
              <w:top w:val="nil"/>
              <w:left w:val="nil"/>
              <w:bottom w:val="single" w:sz="4" w:space="0" w:color="000000"/>
              <w:right w:val="nil"/>
            </w:tcBorders>
            <w:shd w:val="clear" w:color="auto" w:fill="auto"/>
            <w:noWrap/>
          </w:tcPr>
          <w:p w14:paraId="46A446CB" w14:textId="2929BCC6"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0.4%</w:t>
            </w:r>
          </w:p>
        </w:tc>
        <w:tc>
          <w:tcPr>
            <w:tcW w:w="1225" w:type="dxa"/>
            <w:tcBorders>
              <w:top w:val="nil"/>
              <w:left w:val="nil"/>
              <w:bottom w:val="single" w:sz="4" w:space="0" w:color="000000"/>
              <w:right w:val="nil"/>
            </w:tcBorders>
            <w:shd w:val="clear" w:color="auto" w:fill="auto"/>
          </w:tcPr>
          <w:p w14:paraId="273CBDED" w14:textId="413BAF27"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$426</w:t>
            </w:r>
          </w:p>
        </w:tc>
        <w:tc>
          <w:tcPr>
            <w:tcW w:w="1092" w:type="dxa"/>
            <w:tcBorders>
              <w:top w:val="nil"/>
              <w:left w:val="nil"/>
              <w:bottom w:val="single" w:sz="4" w:space="0" w:color="000000"/>
              <w:right w:val="nil"/>
            </w:tcBorders>
            <w:shd w:val="clear" w:color="auto" w:fill="auto"/>
          </w:tcPr>
          <w:p w14:paraId="604F0151" w14:textId="29BB3FFD"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2.7%</w:t>
            </w:r>
          </w:p>
        </w:tc>
      </w:tr>
      <w:tr w:rsidR="00D928FD" w:rsidRPr="00324BD5" w14:paraId="7217C3EA"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5A6F2983"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ForeignLang</w:t>
            </w:r>
          </w:p>
        </w:tc>
        <w:tc>
          <w:tcPr>
            <w:tcW w:w="2568" w:type="dxa"/>
            <w:tcBorders>
              <w:top w:val="nil"/>
              <w:left w:val="nil"/>
              <w:bottom w:val="single" w:sz="4" w:space="0" w:color="000000"/>
              <w:right w:val="nil"/>
            </w:tcBorders>
            <w:shd w:val="clear" w:color="auto" w:fill="auto"/>
            <w:noWrap/>
          </w:tcPr>
          <w:p w14:paraId="75985F14" w14:textId="0F929811"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$1,077,737</w:t>
            </w:r>
          </w:p>
        </w:tc>
        <w:tc>
          <w:tcPr>
            <w:tcW w:w="1306" w:type="dxa"/>
            <w:tcBorders>
              <w:top w:val="nil"/>
              <w:left w:val="nil"/>
              <w:bottom w:val="single" w:sz="4" w:space="0" w:color="000000"/>
              <w:right w:val="nil"/>
            </w:tcBorders>
            <w:shd w:val="clear" w:color="auto" w:fill="auto"/>
            <w:noWrap/>
          </w:tcPr>
          <w:p w14:paraId="71846FF5" w14:textId="05E07EC6"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$116</w:t>
            </w:r>
          </w:p>
        </w:tc>
        <w:tc>
          <w:tcPr>
            <w:tcW w:w="1262" w:type="dxa"/>
            <w:tcBorders>
              <w:top w:val="nil"/>
              <w:left w:val="nil"/>
              <w:bottom w:val="single" w:sz="4" w:space="0" w:color="000000"/>
              <w:right w:val="nil"/>
            </w:tcBorders>
            <w:shd w:val="clear" w:color="auto" w:fill="auto"/>
            <w:noWrap/>
          </w:tcPr>
          <w:p w14:paraId="00C80737" w14:textId="106C270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0.6%</w:t>
            </w:r>
          </w:p>
        </w:tc>
        <w:tc>
          <w:tcPr>
            <w:tcW w:w="1225" w:type="dxa"/>
            <w:tcBorders>
              <w:top w:val="nil"/>
              <w:left w:val="nil"/>
              <w:bottom w:val="single" w:sz="4" w:space="0" w:color="000000"/>
              <w:right w:val="nil"/>
            </w:tcBorders>
            <w:shd w:val="clear" w:color="auto" w:fill="auto"/>
          </w:tcPr>
          <w:p w14:paraId="14C96A2D" w14:textId="2023159C"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$589</w:t>
            </w:r>
          </w:p>
        </w:tc>
        <w:tc>
          <w:tcPr>
            <w:tcW w:w="1092" w:type="dxa"/>
            <w:tcBorders>
              <w:top w:val="nil"/>
              <w:left w:val="nil"/>
              <w:bottom w:val="single" w:sz="4" w:space="0" w:color="000000"/>
              <w:right w:val="nil"/>
            </w:tcBorders>
            <w:shd w:val="clear" w:color="auto" w:fill="auto"/>
          </w:tcPr>
          <w:p w14:paraId="0DFB05BC" w14:textId="7D00CD1F"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3.7%</w:t>
            </w:r>
          </w:p>
        </w:tc>
      </w:tr>
      <w:tr w:rsidR="00D928FD" w:rsidRPr="00324BD5" w14:paraId="6CC6FEF4"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14C3DC90"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Psych</w:t>
            </w:r>
          </w:p>
        </w:tc>
        <w:tc>
          <w:tcPr>
            <w:tcW w:w="2568" w:type="dxa"/>
            <w:tcBorders>
              <w:top w:val="nil"/>
              <w:left w:val="nil"/>
              <w:bottom w:val="single" w:sz="4" w:space="0" w:color="000000"/>
              <w:right w:val="nil"/>
            </w:tcBorders>
            <w:shd w:val="clear" w:color="auto" w:fill="auto"/>
            <w:noWrap/>
          </w:tcPr>
          <w:p w14:paraId="38F13570" w14:textId="22CA1B1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$3,187,952</w:t>
            </w:r>
          </w:p>
        </w:tc>
        <w:tc>
          <w:tcPr>
            <w:tcW w:w="1306" w:type="dxa"/>
            <w:tcBorders>
              <w:top w:val="nil"/>
              <w:left w:val="nil"/>
              <w:bottom w:val="single" w:sz="4" w:space="0" w:color="000000"/>
              <w:right w:val="nil"/>
            </w:tcBorders>
            <w:shd w:val="clear" w:color="auto" w:fill="auto"/>
            <w:noWrap/>
          </w:tcPr>
          <w:p w14:paraId="189BDB36" w14:textId="3E7E32D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$105</w:t>
            </w:r>
          </w:p>
        </w:tc>
        <w:tc>
          <w:tcPr>
            <w:tcW w:w="1262" w:type="dxa"/>
            <w:tcBorders>
              <w:top w:val="nil"/>
              <w:left w:val="nil"/>
              <w:bottom w:val="single" w:sz="4" w:space="0" w:color="000000"/>
              <w:right w:val="nil"/>
            </w:tcBorders>
            <w:shd w:val="clear" w:color="auto" w:fill="auto"/>
            <w:noWrap/>
          </w:tcPr>
          <w:p w14:paraId="2E357212" w14:textId="0A7275F9"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0.7%</w:t>
            </w:r>
          </w:p>
        </w:tc>
        <w:tc>
          <w:tcPr>
            <w:tcW w:w="1225" w:type="dxa"/>
            <w:tcBorders>
              <w:top w:val="nil"/>
              <w:left w:val="nil"/>
              <w:bottom w:val="single" w:sz="4" w:space="0" w:color="000000"/>
              <w:right w:val="nil"/>
            </w:tcBorders>
            <w:shd w:val="clear" w:color="auto" w:fill="auto"/>
          </w:tcPr>
          <w:p w14:paraId="5365F301" w14:textId="64248694"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$652</w:t>
            </w:r>
          </w:p>
        </w:tc>
        <w:tc>
          <w:tcPr>
            <w:tcW w:w="1092" w:type="dxa"/>
            <w:tcBorders>
              <w:top w:val="nil"/>
              <w:left w:val="nil"/>
              <w:bottom w:val="single" w:sz="4" w:space="0" w:color="000000"/>
              <w:right w:val="nil"/>
            </w:tcBorders>
            <w:shd w:val="clear" w:color="auto" w:fill="auto"/>
          </w:tcPr>
          <w:p w14:paraId="09285EBC" w14:textId="684BD3A6"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4.0%</w:t>
            </w:r>
          </w:p>
        </w:tc>
      </w:tr>
      <w:tr w:rsidR="00D928FD" w:rsidRPr="00324BD5" w14:paraId="63DF8B8D"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292FBA5F"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OtherSoc&amp;Cult</w:t>
            </w:r>
          </w:p>
        </w:tc>
        <w:tc>
          <w:tcPr>
            <w:tcW w:w="2568" w:type="dxa"/>
            <w:tcBorders>
              <w:top w:val="nil"/>
              <w:left w:val="nil"/>
              <w:bottom w:val="single" w:sz="4" w:space="0" w:color="000000"/>
              <w:right w:val="nil"/>
            </w:tcBorders>
            <w:shd w:val="clear" w:color="auto" w:fill="auto"/>
            <w:noWrap/>
          </w:tcPr>
          <w:p w14:paraId="270D9F5C" w14:textId="4003791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$10,203,359</w:t>
            </w:r>
          </w:p>
        </w:tc>
        <w:tc>
          <w:tcPr>
            <w:tcW w:w="1306" w:type="dxa"/>
            <w:tcBorders>
              <w:top w:val="nil"/>
              <w:left w:val="nil"/>
              <w:bottom w:val="single" w:sz="4" w:space="0" w:color="000000"/>
              <w:right w:val="nil"/>
            </w:tcBorders>
            <w:shd w:val="clear" w:color="auto" w:fill="auto"/>
            <w:noWrap/>
          </w:tcPr>
          <w:p w14:paraId="50A765E3" w14:textId="604A70BA"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$61</w:t>
            </w:r>
          </w:p>
        </w:tc>
        <w:tc>
          <w:tcPr>
            <w:tcW w:w="1262" w:type="dxa"/>
            <w:tcBorders>
              <w:top w:val="nil"/>
              <w:left w:val="nil"/>
              <w:bottom w:val="single" w:sz="4" w:space="0" w:color="000000"/>
              <w:right w:val="nil"/>
            </w:tcBorders>
            <w:shd w:val="clear" w:color="auto" w:fill="auto"/>
            <w:noWrap/>
          </w:tcPr>
          <w:p w14:paraId="40FC8AA9" w14:textId="22D380F0"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0.4%</w:t>
            </w:r>
          </w:p>
        </w:tc>
        <w:tc>
          <w:tcPr>
            <w:tcW w:w="1225" w:type="dxa"/>
            <w:tcBorders>
              <w:top w:val="nil"/>
              <w:left w:val="nil"/>
              <w:bottom w:val="single" w:sz="4" w:space="0" w:color="000000"/>
              <w:right w:val="nil"/>
            </w:tcBorders>
            <w:shd w:val="clear" w:color="auto" w:fill="auto"/>
          </w:tcPr>
          <w:p w14:paraId="33603D07" w14:textId="27064A36"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$358</w:t>
            </w:r>
          </w:p>
        </w:tc>
        <w:tc>
          <w:tcPr>
            <w:tcW w:w="1092" w:type="dxa"/>
            <w:tcBorders>
              <w:top w:val="nil"/>
              <w:left w:val="nil"/>
              <w:bottom w:val="single" w:sz="4" w:space="0" w:color="000000"/>
              <w:right w:val="nil"/>
            </w:tcBorders>
            <w:shd w:val="clear" w:color="auto" w:fill="auto"/>
          </w:tcPr>
          <w:p w14:paraId="0E1201E6" w14:textId="3759B6FC"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2.3%</w:t>
            </w:r>
          </w:p>
        </w:tc>
      </w:tr>
      <w:tr w:rsidR="00D928FD" w:rsidRPr="00324BD5" w14:paraId="1A218D73"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11F98681"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Comms&amp;Media</w:t>
            </w:r>
          </w:p>
        </w:tc>
        <w:tc>
          <w:tcPr>
            <w:tcW w:w="2568" w:type="dxa"/>
            <w:tcBorders>
              <w:top w:val="nil"/>
              <w:left w:val="nil"/>
              <w:bottom w:val="single" w:sz="4" w:space="0" w:color="000000"/>
              <w:right w:val="nil"/>
            </w:tcBorders>
            <w:shd w:val="clear" w:color="auto" w:fill="auto"/>
            <w:noWrap/>
          </w:tcPr>
          <w:p w14:paraId="2CA9B405" w14:textId="07CDB25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$2,555,666</w:t>
            </w:r>
          </w:p>
        </w:tc>
        <w:tc>
          <w:tcPr>
            <w:tcW w:w="1306" w:type="dxa"/>
            <w:tcBorders>
              <w:top w:val="nil"/>
              <w:left w:val="nil"/>
              <w:bottom w:val="single" w:sz="4" w:space="0" w:color="000000"/>
              <w:right w:val="nil"/>
            </w:tcBorders>
            <w:shd w:val="clear" w:color="auto" w:fill="auto"/>
            <w:noWrap/>
          </w:tcPr>
          <w:p w14:paraId="056BDD4A" w14:textId="793EC64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$79</w:t>
            </w:r>
          </w:p>
        </w:tc>
        <w:tc>
          <w:tcPr>
            <w:tcW w:w="1262" w:type="dxa"/>
            <w:tcBorders>
              <w:top w:val="nil"/>
              <w:left w:val="nil"/>
              <w:bottom w:val="single" w:sz="4" w:space="0" w:color="000000"/>
              <w:right w:val="nil"/>
            </w:tcBorders>
            <w:shd w:val="clear" w:color="auto" w:fill="auto"/>
            <w:noWrap/>
          </w:tcPr>
          <w:p w14:paraId="16151F93" w14:textId="7849B7D5"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0.5%</w:t>
            </w:r>
          </w:p>
        </w:tc>
        <w:tc>
          <w:tcPr>
            <w:tcW w:w="1225" w:type="dxa"/>
            <w:tcBorders>
              <w:top w:val="nil"/>
              <w:left w:val="nil"/>
              <w:bottom w:val="single" w:sz="4" w:space="0" w:color="000000"/>
              <w:right w:val="nil"/>
            </w:tcBorders>
            <w:shd w:val="clear" w:color="auto" w:fill="auto"/>
          </w:tcPr>
          <w:p w14:paraId="43690D04" w14:textId="3F1E5400"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$468</w:t>
            </w:r>
          </w:p>
        </w:tc>
        <w:tc>
          <w:tcPr>
            <w:tcW w:w="1092" w:type="dxa"/>
            <w:tcBorders>
              <w:top w:val="nil"/>
              <w:left w:val="nil"/>
              <w:bottom w:val="single" w:sz="4" w:space="0" w:color="000000"/>
              <w:right w:val="nil"/>
            </w:tcBorders>
            <w:shd w:val="clear" w:color="auto" w:fill="auto"/>
          </w:tcPr>
          <w:p w14:paraId="3025184A" w14:textId="098953F4"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2.8%</w:t>
            </w:r>
          </w:p>
        </w:tc>
      </w:tr>
      <w:tr w:rsidR="00D928FD" w:rsidRPr="00324BD5" w14:paraId="24FA3BA6"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143C41F5"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OthCreative</w:t>
            </w:r>
          </w:p>
        </w:tc>
        <w:tc>
          <w:tcPr>
            <w:tcW w:w="2568" w:type="dxa"/>
            <w:tcBorders>
              <w:top w:val="nil"/>
              <w:left w:val="nil"/>
              <w:bottom w:val="single" w:sz="4" w:space="0" w:color="000000"/>
              <w:right w:val="nil"/>
            </w:tcBorders>
            <w:shd w:val="clear" w:color="auto" w:fill="auto"/>
            <w:noWrap/>
          </w:tcPr>
          <w:p w14:paraId="66BB0AED" w14:textId="746663D8"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$4,368,319</w:t>
            </w:r>
          </w:p>
        </w:tc>
        <w:tc>
          <w:tcPr>
            <w:tcW w:w="1306" w:type="dxa"/>
            <w:tcBorders>
              <w:top w:val="nil"/>
              <w:left w:val="nil"/>
              <w:bottom w:val="single" w:sz="4" w:space="0" w:color="000000"/>
              <w:right w:val="nil"/>
            </w:tcBorders>
            <w:shd w:val="clear" w:color="auto" w:fill="auto"/>
            <w:noWrap/>
          </w:tcPr>
          <w:p w14:paraId="309F0568" w14:textId="17115C1E"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$150</w:t>
            </w:r>
          </w:p>
        </w:tc>
        <w:tc>
          <w:tcPr>
            <w:tcW w:w="1262" w:type="dxa"/>
            <w:tcBorders>
              <w:top w:val="nil"/>
              <w:left w:val="nil"/>
              <w:bottom w:val="single" w:sz="4" w:space="0" w:color="000000"/>
              <w:right w:val="nil"/>
            </w:tcBorders>
            <w:shd w:val="clear" w:color="auto" w:fill="auto"/>
            <w:noWrap/>
          </w:tcPr>
          <w:p w14:paraId="5F9F426B" w14:textId="1007AE1D"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0.7%</w:t>
            </w:r>
          </w:p>
        </w:tc>
        <w:tc>
          <w:tcPr>
            <w:tcW w:w="1225" w:type="dxa"/>
            <w:tcBorders>
              <w:top w:val="nil"/>
              <w:left w:val="nil"/>
              <w:bottom w:val="single" w:sz="4" w:space="0" w:color="000000"/>
              <w:right w:val="nil"/>
            </w:tcBorders>
            <w:shd w:val="clear" w:color="auto" w:fill="auto"/>
          </w:tcPr>
          <w:p w14:paraId="7BC3E254" w14:textId="11AF3F64"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$756</w:t>
            </w:r>
          </w:p>
        </w:tc>
        <w:tc>
          <w:tcPr>
            <w:tcW w:w="1092" w:type="dxa"/>
            <w:tcBorders>
              <w:top w:val="nil"/>
              <w:left w:val="nil"/>
              <w:bottom w:val="single" w:sz="4" w:space="0" w:color="000000"/>
              <w:right w:val="nil"/>
            </w:tcBorders>
            <w:shd w:val="clear" w:color="auto" w:fill="auto"/>
          </w:tcPr>
          <w:p w14:paraId="24CE9A17" w14:textId="0B1FA34B"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3.8%</w:t>
            </w:r>
          </w:p>
        </w:tc>
      </w:tr>
      <w:tr w:rsidR="00D928FD" w:rsidRPr="00324BD5" w14:paraId="3E93BE1F"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2ECF1A3C"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FoodHosp&amp;Person</w:t>
            </w:r>
          </w:p>
        </w:tc>
        <w:tc>
          <w:tcPr>
            <w:tcW w:w="2568" w:type="dxa"/>
            <w:tcBorders>
              <w:top w:val="nil"/>
              <w:left w:val="nil"/>
              <w:bottom w:val="single" w:sz="4" w:space="0" w:color="000000"/>
              <w:right w:val="nil"/>
            </w:tcBorders>
            <w:shd w:val="clear" w:color="auto" w:fill="auto"/>
            <w:noWrap/>
          </w:tcPr>
          <w:p w14:paraId="5A2E3BD9" w14:textId="57C81E0E"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w:t>
            </w:r>
          </w:p>
        </w:tc>
        <w:tc>
          <w:tcPr>
            <w:tcW w:w="1306" w:type="dxa"/>
            <w:tcBorders>
              <w:top w:val="nil"/>
              <w:left w:val="nil"/>
              <w:bottom w:val="single" w:sz="4" w:space="0" w:color="000000"/>
              <w:right w:val="nil"/>
            </w:tcBorders>
            <w:shd w:val="clear" w:color="auto" w:fill="auto"/>
            <w:noWrap/>
          </w:tcPr>
          <w:p w14:paraId="3ABADBAF" w14:textId="3335E690"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w:t>
            </w:r>
          </w:p>
        </w:tc>
        <w:tc>
          <w:tcPr>
            <w:tcW w:w="1262" w:type="dxa"/>
            <w:tcBorders>
              <w:top w:val="nil"/>
              <w:left w:val="nil"/>
              <w:bottom w:val="single" w:sz="4" w:space="0" w:color="000000"/>
              <w:right w:val="nil"/>
            </w:tcBorders>
            <w:shd w:val="clear" w:color="auto" w:fill="auto"/>
            <w:noWrap/>
          </w:tcPr>
          <w:p w14:paraId="2D8A98F9" w14:textId="35DAF63C"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w:t>
            </w:r>
          </w:p>
        </w:tc>
        <w:tc>
          <w:tcPr>
            <w:tcW w:w="1225" w:type="dxa"/>
            <w:tcBorders>
              <w:top w:val="nil"/>
              <w:left w:val="nil"/>
              <w:bottom w:val="single" w:sz="4" w:space="0" w:color="000000"/>
              <w:right w:val="nil"/>
            </w:tcBorders>
            <w:shd w:val="clear" w:color="auto" w:fill="auto"/>
          </w:tcPr>
          <w:p w14:paraId="391B5E7A" w14:textId="2C25200F"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w:t>
            </w:r>
          </w:p>
        </w:tc>
        <w:tc>
          <w:tcPr>
            <w:tcW w:w="1092" w:type="dxa"/>
            <w:tcBorders>
              <w:top w:val="nil"/>
              <w:left w:val="nil"/>
              <w:bottom w:val="single" w:sz="4" w:space="0" w:color="000000"/>
              <w:right w:val="nil"/>
            </w:tcBorders>
            <w:shd w:val="clear" w:color="auto" w:fill="auto"/>
          </w:tcPr>
          <w:p w14:paraId="6A0435E0" w14:textId="274BA522"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w:t>
            </w:r>
          </w:p>
        </w:tc>
      </w:tr>
      <w:tr w:rsidR="00D928FD" w:rsidRPr="00324BD5" w14:paraId="3CFD42AF"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44F18CBE" w14:textId="77777777" w:rsidR="008A4A62" w:rsidRPr="00BB165A" w:rsidRDefault="008A4A62" w:rsidP="008A4A62">
            <w:pPr>
              <w:spacing w:after="0" w:line="240" w:lineRule="auto"/>
              <w:rPr>
                <w:rFonts w:eastAsia="Times New Roman" w:cs="Arial"/>
                <w:sz w:val="16"/>
                <w:szCs w:val="14"/>
                <w:lang w:eastAsia="en-AU"/>
              </w:rPr>
            </w:pPr>
            <w:r w:rsidRPr="00BB165A">
              <w:rPr>
                <w:rFonts w:eastAsia="Times New Roman" w:cs="Arial"/>
                <w:sz w:val="16"/>
                <w:szCs w:val="14"/>
                <w:lang w:eastAsia="en-AU"/>
              </w:rPr>
              <w:t>MixedField</w:t>
            </w:r>
          </w:p>
        </w:tc>
        <w:tc>
          <w:tcPr>
            <w:tcW w:w="2568" w:type="dxa"/>
            <w:tcBorders>
              <w:top w:val="nil"/>
              <w:left w:val="nil"/>
              <w:bottom w:val="single" w:sz="4" w:space="0" w:color="000000"/>
              <w:right w:val="nil"/>
            </w:tcBorders>
            <w:shd w:val="clear" w:color="auto" w:fill="auto"/>
            <w:noWrap/>
          </w:tcPr>
          <w:p w14:paraId="01B13AEE" w14:textId="1C0AE059"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$84,840</w:t>
            </w:r>
          </w:p>
        </w:tc>
        <w:tc>
          <w:tcPr>
            <w:tcW w:w="1306" w:type="dxa"/>
            <w:tcBorders>
              <w:top w:val="nil"/>
              <w:left w:val="nil"/>
              <w:bottom w:val="single" w:sz="4" w:space="0" w:color="000000"/>
              <w:right w:val="nil"/>
            </w:tcBorders>
            <w:shd w:val="clear" w:color="auto" w:fill="auto"/>
            <w:noWrap/>
          </w:tcPr>
          <w:p w14:paraId="072E7124" w14:textId="684D6563"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$60</w:t>
            </w:r>
          </w:p>
        </w:tc>
        <w:tc>
          <w:tcPr>
            <w:tcW w:w="1262" w:type="dxa"/>
            <w:tcBorders>
              <w:top w:val="nil"/>
              <w:left w:val="nil"/>
              <w:bottom w:val="single" w:sz="4" w:space="0" w:color="000000"/>
              <w:right w:val="nil"/>
            </w:tcBorders>
            <w:shd w:val="clear" w:color="auto" w:fill="auto"/>
            <w:noWrap/>
          </w:tcPr>
          <w:p w14:paraId="1BB719CC" w14:textId="7C37637F" w:rsidR="008A4A62" w:rsidRPr="00183809" w:rsidRDefault="00563135" w:rsidP="008A4A62">
            <w:pPr>
              <w:spacing w:after="0" w:line="240" w:lineRule="auto"/>
              <w:jc w:val="center"/>
              <w:rPr>
                <w:rFonts w:asciiTheme="minorHAnsi" w:eastAsia="Times New Roman" w:hAnsiTheme="minorHAnsi" w:cs="Arial"/>
                <w:sz w:val="16"/>
                <w:szCs w:val="16"/>
                <w:lang w:eastAsia="en-AU"/>
              </w:rPr>
            </w:pPr>
            <w:r w:rsidRPr="00D26F53">
              <w:t>0.3%</w:t>
            </w:r>
          </w:p>
        </w:tc>
        <w:tc>
          <w:tcPr>
            <w:tcW w:w="1225" w:type="dxa"/>
            <w:tcBorders>
              <w:top w:val="nil"/>
              <w:left w:val="nil"/>
              <w:bottom w:val="single" w:sz="4" w:space="0" w:color="000000"/>
              <w:right w:val="nil"/>
            </w:tcBorders>
            <w:shd w:val="clear" w:color="auto" w:fill="auto"/>
          </w:tcPr>
          <w:p w14:paraId="5A65558E" w14:textId="73F10BD9"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$2,002</w:t>
            </w:r>
          </w:p>
        </w:tc>
        <w:tc>
          <w:tcPr>
            <w:tcW w:w="1092" w:type="dxa"/>
            <w:tcBorders>
              <w:top w:val="nil"/>
              <w:left w:val="nil"/>
              <w:bottom w:val="single" w:sz="4" w:space="0" w:color="000000"/>
              <w:right w:val="nil"/>
            </w:tcBorders>
            <w:shd w:val="clear" w:color="auto" w:fill="auto"/>
          </w:tcPr>
          <w:p w14:paraId="7C900ADA" w14:textId="016088D5" w:rsidR="008A4A62" w:rsidRPr="00183809" w:rsidRDefault="0008752B" w:rsidP="008A4A62">
            <w:pPr>
              <w:spacing w:after="0" w:line="240" w:lineRule="auto"/>
              <w:jc w:val="center"/>
              <w:rPr>
                <w:rFonts w:asciiTheme="minorHAnsi" w:eastAsia="Times New Roman" w:hAnsiTheme="minorHAnsi" w:cs="Arial"/>
                <w:sz w:val="16"/>
                <w:szCs w:val="16"/>
                <w:lang w:eastAsia="en-AU"/>
              </w:rPr>
            </w:pPr>
            <w:r w:rsidRPr="007151DA">
              <w:t>8.6%</w:t>
            </w:r>
          </w:p>
        </w:tc>
      </w:tr>
      <w:tr w:rsidR="00D928FD" w:rsidRPr="00324BD5" w14:paraId="20D868C5" w14:textId="77777777" w:rsidTr="009D0866">
        <w:trPr>
          <w:trHeight w:val="210"/>
        </w:trPr>
        <w:tc>
          <w:tcPr>
            <w:tcW w:w="1619" w:type="dxa"/>
            <w:tcBorders>
              <w:top w:val="single" w:sz="4" w:space="0" w:color="000000" w:themeColor="text1"/>
              <w:left w:val="nil"/>
              <w:bottom w:val="single" w:sz="4" w:space="0" w:color="000000" w:themeColor="text1"/>
              <w:right w:val="nil"/>
            </w:tcBorders>
            <w:noWrap/>
            <w:hideMark/>
          </w:tcPr>
          <w:p w14:paraId="5AF40638" w14:textId="77777777" w:rsidR="008A4A62" w:rsidRPr="008A4A62" w:rsidRDefault="008A4A62" w:rsidP="008A4A62">
            <w:pPr>
              <w:spacing w:after="0" w:line="240" w:lineRule="auto"/>
              <w:rPr>
                <w:rFonts w:eastAsia="Times New Roman" w:cs="Arial"/>
                <w:b/>
                <w:sz w:val="16"/>
                <w:szCs w:val="14"/>
                <w:lang w:eastAsia="en-AU"/>
              </w:rPr>
            </w:pPr>
            <w:r w:rsidRPr="008A4A62">
              <w:rPr>
                <w:rFonts w:eastAsia="Times New Roman" w:cs="Arial"/>
                <w:b/>
                <w:sz w:val="16"/>
                <w:szCs w:val="14"/>
                <w:lang w:eastAsia="en-AU"/>
              </w:rPr>
              <w:t>Total</w:t>
            </w:r>
          </w:p>
        </w:tc>
        <w:tc>
          <w:tcPr>
            <w:tcW w:w="2568" w:type="dxa"/>
            <w:tcBorders>
              <w:top w:val="nil"/>
              <w:left w:val="nil"/>
              <w:bottom w:val="single" w:sz="4" w:space="0" w:color="auto"/>
              <w:right w:val="nil"/>
            </w:tcBorders>
            <w:shd w:val="clear" w:color="auto" w:fill="auto"/>
            <w:noWrap/>
          </w:tcPr>
          <w:p w14:paraId="5E9F7998" w14:textId="6F6E16BD" w:rsidR="008A4A62" w:rsidRPr="0008752B" w:rsidRDefault="00563135" w:rsidP="008A4A62">
            <w:pPr>
              <w:spacing w:after="0" w:line="240" w:lineRule="auto"/>
              <w:jc w:val="center"/>
              <w:rPr>
                <w:rFonts w:asciiTheme="minorHAnsi" w:eastAsia="Times New Roman" w:hAnsiTheme="minorHAnsi" w:cs="Arial"/>
                <w:b/>
                <w:sz w:val="16"/>
                <w:szCs w:val="16"/>
                <w:lang w:eastAsia="en-AU"/>
              </w:rPr>
            </w:pPr>
            <w:r w:rsidRPr="00416131">
              <w:rPr>
                <w:b/>
              </w:rPr>
              <w:t>$104,998,294</w:t>
            </w:r>
          </w:p>
        </w:tc>
        <w:tc>
          <w:tcPr>
            <w:tcW w:w="1306" w:type="dxa"/>
            <w:tcBorders>
              <w:top w:val="nil"/>
              <w:left w:val="nil"/>
              <w:bottom w:val="single" w:sz="4" w:space="0" w:color="auto"/>
              <w:right w:val="nil"/>
            </w:tcBorders>
            <w:shd w:val="clear" w:color="auto" w:fill="auto"/>
            <w:noWrap/>
          </w:tcPr>
          <w:p w14:paraId="2708A199" w14:textId="6D6B35D0" w:rsidR="008A4A62" w:rsidRPr="0008752B" w:rsidRDefault="00563135" w:rsidP="008A4A62">
            <w:pPr>
              <w:spacing w:after="0" w:line="240" w:lineRule="auto"/>
              <w:jc w:val="center"/>
              <w:rPr>
                <w:rFonts w:asciiTheme="minorHAnsi" w:eastAsia="Times New Roman" w:hAnsiTheme="minorHAnsi" w:cs="Arial"/>
                <w:b/>
                <w:sz w:val="16"/>
                <w:szCs w:val="16"/>
                <w:lang w:eastAsia="en-AU"/>
              </w:rPr>
            </w:pPr>
            <w:r w:rsidRPr="00416131">
              <w:rPr>
                <w:b/>
              </w:rPr>
              <w:t>$116</w:t>
            </w:r>
          </w:p>
        </w:tc>
        <w:tc>
          <w:tcPr>
            <w:tcW w:w="1262" w:type="dxa"/>
            <w:tcBorders>
              <w:top w:val="nil"/>
              <w:left w:val="nil"/>
              <w:bottom w:val="single" w:sz="4" w:space="0" w:color="auto"/>
              <w:right w:val="nil"/>
            </w:tcBorders>
            <w:shd w:val="clear" w:color="auto" w:fill="auto"/>
            <w:noWrap/>
          </w:tcPr>
          <w:p w14:paraId="112C3B35" w14:textId="44FC5A2F" w:rsidR="008A4A62" w:rsidRPr="0008752B" w:rsidRDefault="00563135" w:rsidP="008A4A62">
            <w:pPr>
              <w:spacing w:after="0" w:line="240" w:lineRule="auto"/>
              <w:jc w:val="center"/>
              <w:rPr>
                <w:rFonts w:asciiTheme="minorHAnsi" w:eastAsia="Times New Roman" w:hAnsiTheme="minorHAnsi" w:cs="Arial"/>
                <w:b/>
                <w:sz w:val="16"/>
                <w:szCs w:val="16"/>
                <w:lang w:eastAsia="en-AU"/>
              </w:rPr>
            </w:pPr>
            <w:r w:rsidRPr="00416131">
              <w:rPr>
                <w:b/>
              </w:rPr>
              <w:t>0.6%</w:t>
            </w:r>
          </w:p>
        </w:tc>
        <w:tc>
          <w:tcPr>
            <w:tcW w:w="1225" w:type="dxa"/>
            <w:tcBorders>
              <w:top w:val="nil"/>
              <w:left w:val="nil"/>
              <w:bottom w:val="single" w:sz="4" w:space="0" w:color="auto"/>
              <w:right w:val="nil"/>
            </w:tcBorders>
            <w:shd w:val="clear" w:color="auto" w:fill="auto"/>
          </w:tcPr>
          <w:p w14:paraId="68E824D0" w14:textId="201C8D06" w:rsidR="008A4A62" w:rsidRPr="0008752B" w:rsidRDefault="0008752B" w:rsidP="008A4A62">
            <w:pPr>
              <w:spacing w:after="0" w:line="240" w:lineRule="auto"/>
              <w:jc w:val="center"/>
              <w:rPr>
                <w:rFonts w:asciiTheme="minorHAnsi" w:eastAsia="Times New Roman" w:hAnsiTheme="minorHAnsi" w:cs="Arial"/>
                <w:b/>
                <w:sz w:val="16"/>
                <w:szCs w:val="16"/>
                <w:lang w:eastAsia="en-AU"/>
              </w:rPr>
            </w:pPr>
            <w:r w:rsidRPr="00416131">
              <w:rPr>
                <w:b/>
                <w:bCs/>
              </w:rPr>
              <w:t>$699</w:t>
            </w:r>
          </w:p>
        </w:tc>
        <w:tc>
          <w:tcPr>
            <w:tcW w:w="1092" w:type="dxa"/>
            <w:tcBorders>
              <w:top w:val="nil"/>
              <w:left w:val="nil"/>
              <w:bottom w:val="single" w:sz="4" w:space="0" w:color="auto"/>
              <w:right w:val="nil"/>
            </w:tcBorders>
            <w:shd w:val="clear" w:color="auto" w:fill="auto"/>
          </w:tcPr>
          <w:p w14:paraId="2CD9211F" w14:textId="025AF1C1" w:rsidR="008A4A62" w:rsidRPr="0008752B" w:rsidRDefault="0008752B" w:rsidP="008A4A62">
            <w:pPr>
              <w:spacing w:after="0" w:line="240" w:lineRule="auto"/>
              <w:jc w:val="center"/>
              <w:rPr>
                <w:rFonts w:asciiTheme="minorHAnsi" w:eastAsia="Times New Roman" w:hAnsiTheme="minorHAnsi" w:cs="Arial"/>
                <w:b/>
                <w:sz w:val="16"/>
                <w:szCs w:val="16"/>
                <w:lang w:eastAsia="en-AU"/>
              </w:rPr>
            </w:pPr>
            <w:r w:rsidRPr="00416131">
              <w:rPr>
                <w:b/>
                <w:bCs/>
              </w:rPr>
              <w:t>3.7%</w:t>
            </w:r>
          </w:p>
        </w:tc>
      </w:tr>
    </w:tbl>
    <w:p w14:paraId="0B88DFD3" w14:textId="6E3B2A29" w:rsidR="000432E6" w:rsidRPr="00BB165A" w:rsidRDefault="00F0115B" w:rsidP="00416131">
      <w:pPr>
        <w:spacing w:before="240"/>
      </w:pPr>
      <w:r w:rsidRPr="00BB165A">
        <w:t>Only two</w:t>
      </w:r>
      <w:r w:rsidR="000F5038" w:rsidRPr="00BB165A">
        <w:t xml:space="preserve"> of the</w:t>
      </w:r>
      <w:r w:rsidR="00EA38F5" w:rsidRPr="00BB165A">
        <w:t xml:space="preserve"> six</w:t>
      </w:r>
      <w:r w:rsidR="000F5038" w:rsidRPr="00BB165A">
        <w:t xml:space="preserve"> universities that reported an optional depreciation adjustment had ‘above the line’ capital costs per EFTSL that were higher than the average seen across all 3</w:t>
      </w:r>
      <w:r w:rsidR="00AB2466" w:rsidRPr="00BB165A">
        <w:t>7</w:t>
      </w:r>
      <w:r w:rsidR="000F5038" w:rsidRPr="00BB165A">
        <w:t xml:space="preserve"> institutions </w:t>
      </w:r>
      <w:r w:rsidR="00AB2466" w:rsidRPr="00BB165A">
        <w:t xml:space="preserve">in 2019 and 2020 </w:t>
      </w:r>
      <w:r w:rsidR="000F5038" w:rsidRPr="00BB165A">
        <w:t xml:space="preserve">(see </w:t>
      </w:r>
      <w:r w:rsidR="000F5038" w:rsidRPr="00BB165A">
        <w:fldChar w:fldCharType="begin"/>
      </w:r>
      <w:r w:rsidR="000F5038" w:rsidRPr="00BB165A">
        <w:instrText xml:space="preserve"> REF _Ref20841281 \r \h  \* MERGEFORMAT </w:instrText>
      </w:r>
      <w:r w:rsidR="000F5038" w:rsidRPr="00BB165A">
        <w:fldChar w:fldCharType="separate"/>
      </w:r>
      <w:r w:rsidR="00804998">
        <w:t>Chart 2.26</w:t>
      </w:r>
      <w:r w:rsidR="000F5038" w:rsidRPr="00BB165A">
        <w:fldChar w:fldCharType="end"/>
      </w:r>
      <w:r w:rsidR="00C17501" w:rsidRPr="00BB165A">
        <w:t xml:space="preserve"> and </w:t>
      </w:r>
      <w:r w:rsidR="00C17501" w:rsidRPr="00BB165A">
        <w:fldChar w:fldCharType="begin"/>
      </w:r>
      <w:r w:rsidR="00C17501" w:rsidRPr="00BB165A">
        <w:instrText xml:space="preserve"> REF _Ref100059045 \r \h  \* MERGEFORMAT </w:instrText>
      </w:r>
      <w:r w:rsidR="00C17501" w:rsidRPr="00BB165A">
        <w:fldChar w:fldCharType="separate"/>
      </w:r>
      <w:r w:rsidR="00804998">
        <w:t>Chart 2.27</w:t>
      </w:r>
      <w:r w:rsidR="00C17501" w:rsidRPr="00BB165A">
        <w:fldChar w:fldCharType="end"/>
      </w:r>
      <w:r w:rsidR="00AB2466" w:rsidRPr="00BB165A">
        <w:t>)</w:t>
      </w:r>
      <w:r w:rsidR="00C17501" w:rsidRPr="00BB165A">
        <w:t>.</w:t>
      </w:r>
      <w:r w:rsidR="000432E6" w:rsidRPr="00BB165A">
        <w:t xml:space="preserve"> </w:t>
      </w:r>
    </w:p>
    <w:p w14:paraId="33E4C91B" w14:textId="3F62B656" w:rsidR="000F5038" w:rsidRPr="000432E6" w:rsidRDefault="000F5038" w:rsidP="000F5038">
      <w:r w:rsidRPr="00BB165A">
        <w:t xml:space="preserve">For the </w:t>
      </w:r>
      <w:r w:rsidR="00C92AE9" w:rsidRPr="00BB165A">
        <w:t>six</w:t>
      </w:r>
      <w:r w:rsidRPr="00BB165A">
        <w:t xml:space="preserve"> universities that included an optional depreciation adjustment, unit costs increased by $</w:t>
      </w:r>
      <w:r w:rsidR="006D141C" w:rsidRPr="00BB165A">
        <w:t>64</w:t>
      </w:r>
      <w:r w:rsidR="00EB2372" w:rsidRPr="00BB165A">
        <w:t>4</w:t>
      </w:r>
      <w:r w:rsidRPr="00BB165A">
        <w:t xml:space="preserve"> per EFTSL </w:t>
      </w:r>
      <w:r w:rsidR="006D141C" w:rsidRPr="00BB165A">
        <w:t>in 2019 and $</w:t>
      </w:r>
      <w:r w:rsidR="00EB2372" w:rsidRPr="00BB165A">
        <w:t>699</w:t>
      </w:r>
      <w:r w:rsidR="006D141C" w:rsidRPr="00BB165A">
        <w:t xml:space="preserve"> in 2020</w:t>
      </w:r>
      <w:r w:rsidR="0030028F" w:rsidRPr="00BB165A">
        <w:t xml:space="preserve">, </w:t>
      </w:r>
      <w:r w:rsidR="00A12E21" w:rsidRPr="00BB165A">
        <w:t xml:space="preserve">although on average institutions with optional depreciation costs did not necessarily have lower average above the line capital </w:t>
      </w:r>
      <w:r w:rsidR="00597FA4" w:rsidRPr="00BB165A">
        <w:t>costs</w:t>
      </w:r>
      <w:r w:rsidR="006E75BD">
        <w:t xml:space="preserve"> (see </w:t>
      </w:r>
      <w:r w:rsidR="006E75BD">
        <w:fldChar w:fldCharType="begin"/>
      </w:r>
      <w:r w:rsidR="006E75BD">
        <w:instrText xml:space="preserve"> REF _Ref103084862 \r \h </w:instrText>
      </w:r>
      <w:r w:rsidR="006E75BD">
        <w:fldChar w:fldCharType="separate"/>
      </w:r>
      <w:r w:rsidR="00804998">
        <w:t>Chart 2.28</w:t>
      </w:r>
      <w:r w:rsidR="006E75BD">
        <w:fldChar w:fldCharType="end"/>
      </w:r>
      <w:r w:rsidR="006E75BD">
        <w:t>)</w:t>
      </w:r>
      <w:r w:rsidR="0030028F" w:rsidRPr="00BB165A">
        <w:t>.</w:t>
      </w:r>
    </w:p>
    <w:p w14:paraId="6B03E447" w14:textId="4698BDC6" w:rsidR="000F5038" w:rsidRPr="00BB165A" w:rsidRDefault="000F5038" w:rsidP="000F5038">
      <w:pPr>
        <w:pStyle w:val="CaptionChart"/>
      </w:pPr>
      <w:bookmarkStart w:id="655" w:name="_Ref20841281"/>
      <w:bookmarkStart w:id="656" w:name="_Toc105776376"/>
      <w:r w:rsidRPr="00BB165A">
        <w:t>: Variation in capital costs per EFTSL reported ‘above the line’ and the optional depreciation adjustment</w:t>
      </w:r>
      <w:r w:rsidR="00700D5E" w:rsidRPr="00BB165A">
        <w:t xml:space="preserve"> </w:t>
      </w:r>
      <w:r w:rsidRPr="00BB165A">
        <w:t>by university (all levels)</w:t>
      </w:r>
      <w:bookmarkEnd w:id="655"/>
      <w:r w:rsidR="0034472F" w:rsidRPr="00BB165A">
        <w:t xml:space="preserve"> (2019)</w:t>
      </w:r>
      <w:bookmarkEnd w:id="656"/>
    </w:p>
    <w:p w14:paraId="6ED550D4" w14:textId="0E07030F" w:rsidR="00BF5483" w:rsidRPr="00BB165A" w:rsidRDefault="00BF5483" w:rsidP="000F5038">
      <w:pPr>
        <w:rPr>
          <w:i/>
        </w:rPr>
      </w:pPr>
      <w:r>
        <w:rPr>
          <w:noProof/>
        </w:rPr>
        <w:drawing>
          <wp:inline distT="0" distB="0" distL="0" distR="0" wp14:anchorId="3E0CFD56" wp14:editId="0EA09699">
            <wp:extent cx="5245200" cy="2869200"/>
            <wp:effectExtent l="0" t="0" r="0" b="7620"/>
            <wp:docPr id="597878535" name="Chart 597878535" descr="Chart showing the variation in capital costs per EFTSL reported ‘above the line’ and the optional depreciation adjustment by university (all levels) (2019). 37 universities reported, as columns split into 'above the line' capital costs and optional depreciation adjustments. Average is shown as a dotted line.">
              <a:extLst xmlns:a="http://schemas.openxmlformats.org/drawingml/2006/main">
                <a:ext uri="{FF2B5EF4-FFF2-40B4-BE49-F238E27FC236}">
                  <a16:creationId xmlns:a16="http://schemas.microsoft.com/office/drawing/2014/main" id="{00000000-0008-0000-3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29D2E93" w14:textId="77777777" w:rsidR="000F5038" w:rsidRPr="00BB165A" w:rsidRDefault="000F5038" w:rsidP="000F5038">
      <w:pPr>
        <w:pStyle w:val="Source"/>
        <w:spacing w:before="0"/>
      </w:pPr>
      <w:r w:rsidRPr="00BB165A">
        <w:t>Note: ‘Above the line’ capital costs refers to depreciation, amortisation, repairs, maintenance, borrowing and bad debts.</w:t>
      </w:r>
    </w:p>
    <w:p w14:paraId="7D927998" w14:textId="7213984A" w:rsidR="00700D5E" w:rsidRPr="009C048C" w:rsidRDefault="00700D5E" w:rsidP="00700D5E">
      <w:pPr>
        <w:pStyle w:val="CaptionChart"/>
      </w:pPr>
      <w:bookmarkStart w:id="657" w:name="_Ref100059045"/>
      <w:bookmarkStart w:id="658" w:name="_Toc105776377"/>
      <w:r w:rsidRPr="009C048C">
        <w:t>: Variation in capital costs per EFTSL reported ‘above the line’ and the optional depreciation adjustment</w:t>
      </w:r>
      <w:r w:rsidR="0034472F" w:rsidRPr="009C048C">
        <w:t xml:space="preserve"> </w:t>
      </w:r>
      <w:r w:rsidRPr="009C048C">
        <w:t>by university (all levels)</w:t>
      </w:r>
      <w:bookmarkEnd w:id="657"/>
      <w:r w:rsidR="0034472F" w:rsidRPr="009C048C">
        <w:t xml:space="preserve"> (2020)</w:t>
      </w:r>
      <w:bookmarkEnd w:id="658"/>
    </w:p>
    <w:p w14:paraId="496C1499" w14:textId="7B84AC53" w:rsidR="00A01B37" w:rsidRPr="00BB165A" w:rsidRDefault="00A01B37" w:rsidP="00700D5E">
      <w:pPr>
        <w:rPr>
          <w:i/>
        </w:rPr>
      </w:pPr>
      <w:r>
        <w:rPr>
          <w:noProof/>
        </w:rPr>
        <w:drawing>
          <wp:inline distT="0" distB="0" distL="0" distR="0" wp14:anchorId="2BD3F07A" wp14:editId="4F6A57B8">
            <wp:extent cx="5245200" cy="2869200"/>
            <wp:effectExtent l="0" t="0" r="0" b="7620"/>
            <wp:docPr id="597878536" name="Chart 597878536" descr="Chart showing the variation in capital costs per EFTSL reported ‘above the line’ and the optional depreciation adjustment by university (all levels) (2020). 37 universities reported, as columns split into 'above the line' capital costs and optional depreciation adjustments. Average is shown as a dotted line.">
              <a:extLst xmlns:a="http://schemas.openxmlformats.org/drawingml/2006/main">
                <a:ext uri="{FF2B5EF4-FFF2-40B4-BE49-F238E27FC236}">
                  <a16:creationId xmlns:a16="http://schemas.microsoft.com/office/drawing/2014/main" id="{B5ACBA5F-D133-457F-AD9D-25CC141EB3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B15D4DF" w14:textId="77777777" w:rsidR="00700D5E" w:rsidRDefault="00700D5E" w:rsidP="00700D5E">
      <w:pPr>
        <w:pStyle w:val="Source"/>
        <w:spacing w:before="0"/>
      </w:pPr>
      <w:r w:rsidRPr="00BB165A">
        <w:t>Note: ‘Above the line’ capital costs refers to depreciation, amortisation, repairs, maintenance, borrowing and bad debts.</w:t>
      </w:r>
    </w:p>
    <w:p w14:paraId="1CCCF2FC" w14:textId="77777777" w:rsidR="00700D5E" w:rsidRPr="00700D5E" w:rsidRDefault="00700D5E" w:rsidP="00700D5E"/>
    <w:p w14:paraId="1310BF7B" w14:textId="4F393DEA" w:rsidR="000F5038" w:rsidRPr="00BB165A" w:rsidRDefault="000F5038" w:rsidP="000F5038">
      <w:pPr>
        <w:pStyle w:val="CaptionChart"/>
      </w:pPr>
      <w:bookmarkStart w:id="659" w:name="_Ref20842212"/>
      <w:bookmarkStart w:id="660" w:name="_Ref103084862"/>
      <w:bookmarkStart w:id="661" w:name="_Toc105776378"/>
      <w:r w:rsidRPr="00BB165A">
        <w:t>: Capital costs per EFTSL reported ‘above the line’ and the optional depreciation adjustment (all levels)</w:t>
      </w:r>
      <w:bookmarkEnd w:id="659"/>
      <w:r w:rsidR="00B563E4" w:rsidRPr="00BB165A">
        <w:t xml:space="preserve"> (</w:t>
      </w:r>
      <w:r w:rsidR="00BC0F88" w:rsidRPr="00BB165A">
        <w:t>20</w:t>
      </w:r>
      <w:r w:rsidR="00005F21" w:rsidRPr="00BB165A">
        <w:t>19</w:t>
      </w:r>
      <w:r w:rsidR="00B563E4" w:rsidRPr="00BB165A">
        <w:t xml:space="preserve"> and 2020)</w:t>
      </w:r>
      <w:bookmarkEnd w:id="660"/>
      <w:bookmarkEnd w:id="661"/>
    </w:p>
    <w:p w14:paraId="27749060" w14:textId="5DE1C54E" w:rsidR="00AF77A3" w:rsidRPr="00BB165A" w:rsidRDefault="00AF77A3" w:rsidP="000A6D7D">
      <w:r>
        <w:rPr>
          <w:noProof/>
        </w:rPr>
        <w:drawing>
          <wp:inline distT="0" distB="0" distL="0" distR="0" wp14:anchorId="395B1C73" wp14:editId="612E31CB">
            <wp:extent cx="4572000" cy="2743200"/>
            <wp:effectExtent l="0" t="0" r="0" b="0"/>
            <wp:docPr id="597878537" name="Chart 597878537" descr="Chart showing capital costs per EFTSL reported ‘above the line’ and the optional depreciation adjustment (all levels) (2019 and 2020). Split into where cost per EFTSL reported above the line, used adjustment and didn't use the adjustment. Also split by year. Columns display the additional costs per EFTSL.">
              <a:extLst xmlns:a="http://schemas.openxmlformats.org/drawingml/2006/main">
                <a:ext uri="{FF2B5EF4-FFF2-40B4-BE49-F238E27FC236}">
                  <a16:creationId xmlns:a16="http://schemas.microsoft.com/office/drawing/2014/main" id="{CB889222-9C2E-47B9-9225-1ABB6B9C5A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C7A31D6" w14:textId="77777777" w:rsidR="000F5038" w:rsidRDefault="000F5038" w:rsidP="000F5038">
      <w:pPr>
        <w:pStyle w:val="Source"/>
        <w:spacing w:before="0"/>
      </w:pPr>
      <w:r w:rsidRPr="00BB165A">
        <w:t>Note: ‘Above the line’ capital costs refers to depreciation, amortisation, repairs, maintenance, borrowing and bad debts.</w:t>
      </w:r>
    </w:p>
    <w:p w14:paraId="26D6DCB3" w14:textId="77777777" w:rsidR="00A4300D" w:rsidRPr="00BB165A" w:rsidRDefault="00A4300D" w:rsidP="006118C2">
      <w:pPr>
        <w:pStyle w:val="Heading2"/>
      </w:pPr>
      <w:bookmarkStart w:id="662" w:name="_Toc20309565"/>
      <w:bookmarkStart w:id="663" w:name="_Ref532935334"/>
      <w:bookmarkStart w:id="664" w:name="_Toc20246013"/>
      <w:bookmarkStart w:id="665" w:name="_Toc105776192"/>
      <w:bookmarkEnd w:id="662"/>
      <w:r w:rsidRPr="00BB165A">
        <w:t>Consideration of contextual factors</w:t>
      </w:r>
      <w:bookmarkEnd w:id="663"/>
      <w:bookmarkEnd w:id="664"/>
      <w:bookmarkEnd w:id="665"/>
    </w:p>
    <w:p w14:paraId="77E83C03" w14:textId="77777777" w:rsidR="00A231B6" w:rsidRPr="00BB165A" w:rsidRDefault="00A4300D" w:rsidP="00A4300D">
      <w:r w:rsidRPr="00BB165A">
        <w:t xml:space="preserve">This section examines the extent to which </w:t>
      </w:r>
      <w:r w:rsidR="00A43D22" w:rsidRPr="00BB165A">
        <w:t>variation in costs across universities is correlated</w:t>
      </w:r>
      <w:r w:rsidRPr="00BB165A">
        <w:t xml:space="preserve"> with specific contextual factors. In particular, it explores the degree to which cost varies based on</w:t>
      </w:r>
      <w:r w:rsidR="00A231B6" w:rsidRPr="00BB165A">
        <w:t>:</w:t>
      </w:r>
    </w:p>
    <w:p w14:paraId="6BF3C16A" w14:textId="60B78385" w:rsidR="00A231B6" w:rsidRPr="00BB165A" w:rsidRDefault="00AB4498" w:rsidP="0076196C">
      <w:pPr>
        <w:pStyle w:val="ListBullet"/>
      </w:pPr>
      <w:r w:rsidRPr="00BB165A">
        <w:t>Scale o</w:t>
      </w:r>
      <w:r w:rsidR="007C14FD" w:rsidRPr="00BB165A">
        <w:t>f delivery</w:t>
      </w:r>
    </w:p>
    <w:p w14:paraId="56ABF586" w14:textId="243AA2C3" w:rsidR="00A231B6" w:rsidRPr="00BB165A" w:rsidRDefault="00E14D57" w:rsidP="0076196C">
      <w:pPr>
        <w:pStyle w:val="ListBullet"/>
      </w:pPr>
      <w:r w:rsidRPr="00BB165A">
        <w:t>L</w:t>
      </w:r>
      <w:r w:rsidR="007C14FD" w:rsidRPr="00BB165A">
        <w:t>ocation of the university in a m</w:t>
      </w:r>
      <w:r w:rsidR="00A4300D" w:rsidRPr="00BB165A">
        <w:t xml:space="preserve">etropolitan </w:t>
      </w:r>
      <w:r w:rsidR="007C14FD" w:rsidRPr="00BB165A">
        <w:t>or</w:t>
      </w:r>
      <w:r w:rsidR="00A4300D" w:rsidRPr="00BB165A">
        <w:t xml:space="preserve"> regional </w:t>
      </w:r>
      <w:r w:rsidR="007C14FD" w:rsidRPr="00BB165A">
        <w:t>area</w:t>
      </w:r>
      <w:r w:rsidR="00A43D22" w:rsidRPr="00BB165A">
        <w:t xml:space="preserve"> </w:t>
      </w:r>
    </w:p>
    <w:p w14:paraId="1BDD7F8B" w14:textId="0FB79CC4" w:rsidR="00A4300D" w:rsidRPr="00BB165A" w:rsidRDefault="007C14FD" w:rsidP="0076196C">
      <w:pPr>
        <w:pStyle w:val="ListBullet"/>
      </w:pPr>
      <w:r w:rsidRPr="00BB165A">
        <w:t>R</w:t>
      </w:r>
      <w:r w:rsidR="00A43D22" w:rsidRPr="00BB165A">
        <w:t xml:space="preserve">esearch </w:t>
      </w:r>
      <w:r w:rsidRPr="00BB165A">
        <w:t>intensity of delivery</w:t>
      </w:r>
    </w:p>
    <w:p w14:paraId="0508CC58" w14:textId="7882DE97" w:rsidR="00BF45AF" w:rsidRPr="00BB165A" w:rsidRDefault="009448FB" w:rsidP="0076196C">
      <w:pPr>
        <w:pStyle w:val="ListBullet"/>
      </w:pPr>
      <w:r w:rsidRPr="00BB165A">
        <w:t xml:space="preserve">State and territory </w:t>
      </w:r>
    </w:p>
    <w:p w14:paraId="4C5B665B" w14:textId="178EF43B" w:rsidR="00BF45AF" w:rsidRPr="00BB165A" w:rsidRDefault="00B70C2F" w:rsidP="0076196C">
      <w:pPr>
        <w:pStyle w:val="ListBullet"/>
      </w:pPr>
      <w:r>
        <w:t>FOE</w:t>
      </w:r>
    </w:p>
    <w:p w14:paraId="70FE172A" w14:textId="4C7C8418" w:rsidR="0097055A" w:rsidRPr="00BB165A" w:rsidRDefault="00A970AB" w:rsidP="0076196C">
      <w:pPr>
        <w:pStyle w:val="ListBullet"/>
      </w:pPr>
      <w:r w:rsidRPr="00BB165A">
        <w:t xml:space="preserve">The number of international students at a university. </w:t>
      </w:r>
    </w:p>
    <w:p w14:paraId="1B72BA09" w14:textId="53CF2215" w:rsidR="00A4300D" w:rsidRPr="00691B65" w:rsidRDefault="00A4300D" w:rsidP="00A4300D">
      <w:r w:rsidRPr="00BB165A">
        <w:t>It is important to note that although universities with certain characteristics (e.g. regional universities) may, on average, have different costs</w:t>
      </w:r>
      <w:r w:rsidR="00A43D22" w:rsidRPr="00BB165A">
        <w:t xml:space="preserve"> to the rest of the sector</w:t>
      </w:r>
      <w:r w:rsidRPr="00BB165A">
        <w:t>, this correlation could be driven by a range of factors other than purely input costs. For example, higher costs on average could be due to differences in staff stu</w:t>
      </w:r>
      <w:r w:rsidR="00776795" w:rsidRPr="00BB165A">
        <w:t>dent ratios</w:t>
      </w:r>
      <w:r w:rsidR="00A43D22" w:rsidRPr="00BB165A">
        <w:t>,</w:t>
      </w:r>
      <w:r w:rsidR="00776795" w:rsidRPr="00BB165A">
        <w:t xml:space="preserve"> scale effects</w:t>
      </w:r>
      <w:r w:rsidR="00A43D22" w:rsidRPr="00BB165A">
        <w:t xml:space="preserve"> or the need to provide additional support for students</w:t>
      </w:r>
      <w:r w:rsidRPr="00BB165A">
        <w:t>.</w:t>
      </w:r>
    </w:p>
    <w:p w14:paraId="1B57AA23" w14:textId="77777777" w:rsidR="00A4300D" w:rsidRPr="00BB165A" w:rsidRDefault="00A4300D" w:rsidP="00A4300D">
      <w:pPr>
        <w:pStyle w:val="Heading3un-numbered"/>
      </w:pPr>
      <w:r w:rsidRPr="00BB165A">
        <w:t xml:space="preserve">Variation by scale of delivery </w:t>
      </w:r>
    </w:p>
    <w:p w14:paraId="0D26C368" w14:textId="77777777" w:rsidR="00A4300D" w:rsidRPr="00BB165A" w:rsidRDefault="00A4300D" w:rsidP="00A4300D">
      <w:r w:rsidRPr="00BB165A">
        <w:t xml:space="preserve">The 2016 </w:t>
      </w:r>
      <w:r w:rsidR="005D7830" w:rsidRPr="00BB165A">
        <w:rPr>
          <w:i/>
        </w:rPr>
        <w:t xml:space="preserve">Cost of delivery of higher education </w:t>
      </w:r>
      <w:r w:rsidR="005D7830" w:rsidRPr="00BB165A">
        <w:t>report</w:t>
      </w:r>
      <w:r w:rsidRPr="00BB165A">
        <w:t xml:space="preserve"> included a detailed econometric analysis of the drivers of cost (see Box 2.3 below). A key finding from this analysis and report was the significance (statistically and materially) of scale as a determinant of unit costs. This point was reiterated throughout the consultation process and by universities in their accompanying statements. </w:t>
      </w:r>
    </w:p>
    <w:p w14:paraId="23231339" w14:textId="2DD12544" w:rsidR="00A4300D" w:rsidRPr="00691B65" w:rsidRDefault="002D3041">
      <w:r w:rsidRPr="00BB165A">
        <w:fldChar w:fldCharType="begin"/>
      </w:r>
      <w:r w:rsidRPr="00691B65">
        <w:instrText xml:space="preserve"> REF _Ref534713117 \r \h </w:instrText>
      </w:r>
      <w:r w:rsidR="008B3BBC" w:rsidRPr="00691B65">
        <w:instrText xml:space="preserve"> \* MERGEFORMAT </w:instrText>
      </w:r>
      <w:r w:rsidRPr="00BB165A">
        <w:fldChar w:fldCharType="separate"/>
      </w:r>
      <w:r w:rsidR="00804998">
        <w:t>Chart 2.29</w:t>
      </w:r>
      <w:r w:rsidRPr="00BB165A">
        <w:fldChar w:fldCharType="end"/>
      </w:r>
      <w:r w:rsidR="00A4300D" w:rsidRPr="00BB165A">
        <w:t xml:space="preserve"> provides further evidence for the existence of ‘economies of scale’ in provision of higher education, whereby an increasing quantum of teaching delivery </w:t>
      </w:r>
      <w:r w:rsidR="00A12E21" w:rsidRPr="00BB165A">
        <w:t xml:space="preserve">in a given FOE </w:t>
      </w:r>
      <w:r w:rsidR="00A4300D" w:rsidRPr="00BB165A">
        <w:t xml:space="preserve">is associated with declining unit costs. </w:t>
      </w:r>
      <w:r w:rsidR="004759ED" w:rsidRPr="00BB165A">
        <w:t>In 2019</w:t>
      </w:r>
      <w:r w:rsidR="00D21022" w:rsidRPr="00BB165A">
        <w:t>,</w:t>
      </w:r>
      <w:r w:rsidR="00DF1949" w:rsidRPr="00BB165A">
        <w:t xml:space="preserve"> at the bachelor level of study, average costs for all instances where a university had fewer than 25 EFTSL was $</w:t>
      </w:r>
      <w:r w:rsidR="00683968" w:rsidRPr="00BB165A">
        <w:t>24,</w:t>
      </w:r>
      <w:r w:rsidR="001B7B63" w:rsidRPr="00BB165A">
        <w:t>5</w:t>
      </w:r>
      <w:r w:rsidR="00683968" w:rsidRPr="00BB165A">
        <w:t>00</w:t>
      </w:r>
      <w:r w:rsidR="00DF1949" w:rsidRPr="00BB165A">
        <w:t xml:space="preserve"> compared to $</w:t>
      </w:r>
      <w:r w:rsidR="009B1E38" w:rsidRPr="00BB165A">
        <w:t>19,</w:t>
      </w:r>
      <w:r w:rsidR="001B7B63" w:rsidRPr="00BB165A">
        <w:t>7</w:t>
      </w:r>
      <w:r w:rsidR="009B1E38" w:rsidRPr="00BB165A">
        <w:t>00</w:t>
      </w:r>
      <w:r w:rsidR="00DF1949" w:rsidRPr="00BB165A">
        <w:t xml:space="preserve"> for instances of between 25 and 100 EFTSL and $1</w:t>
      </w:r>
      <w:r w:rsidR="009B1E38" w:rsidRPr="00BB165A">
        <w:t>7</w:t>
      </w:r>
      <w:r w:rsidR="00DF1949" w:rsidRPr="00BB165A">
        <w:t>,</w:t>
      </w:r>
      <w:r w:rsidR="009B1E38" w:rsidRPr="00BB165A">
        <w:t>0</w:t>
      </w:r>
      <w:r w:rsidR="00DF1949" w:rsidRPr="00BB165A">
        <w:t xml:space="preserve">00 for all instances where a university had more than 1,000 students in a FOE. </w:t>
      </w:r>
      <w:r w:rsidR="00574BCC" w:rsidRPr="00BB165A">
        <w:t xml:space="preserve">This equates to </w:t>
      </w:r>
      <w:r w:rsidR="00034BDA" w:rsidRPr="00BB165A">
        <w:t>37% above the mean</w:t>
      </w:r>
      <w:r w:rsidR="006504C5" w:rsidRPr="00BB165A">
        <w:t xml:space="preserve"> for bachelor studies</w:t>
      </w:r>
      <w:r w:rsidR="00034BDA" w:rsidRPr="00BB165A">
        <w:t xml:space="preserve"> for instances of less than 25 EFTSL, </w:t>
      </w:r>
      <w:r w:rsidR="006504C5" w:rsidRPr="00BB165A">
        <w:t xml:space="preserve">10% above the mean for instances of between 25 and 100 EFTSL, and 5% below the mean for instances above 1,000 EFTSL. </w:t>
      </w:r>
      <w:r w:rsidR="00D01BA0" w:rsidRPr="00BB165A">
        <w:t>Similar economies of scale are observed in 2020 for bachelor and postgraduate study</w:t>
      </w:r>
      <w:r w:rsidR="00B201E2">
        <w:t>.</w:t>
      </w:r>
    </w:p>
    <w:p w14:paraId="13A52C27" w14:textId="466FDF48" w:rsidR="00A4300D" w:rsidRDefault="00A4300D" w:rsidP="00691B65">
      <w:pPr>
        <w:pStyle w:val="CaptionChart"/>
      </w:pPr>
      <w:bookmarkStart w:id="666" w:name="_Ref534713117"/>
      <w:bookmarkStart w:id="667" w:name="_Toc20245990"/>
      <w:bookmarkStart w:id="668" w:name="_Toc105776379"/>
      <w:r w:rsidRPr="00BB165A">
        <w:t xml:space="preserve">: Unit costs </w:t>
      </w:r>
      <w:r w:rsidR="00A12E21" w:rsidRPr="00BB165A">
        <w:t>a</w:t>
      </w:r>
      <w:r w:rsidRPr="00BB165A">
        <w:t>nd deviation from average using different EFTSL thresholds, by level</w:t>
      </w:r>
      <w:bookmarkEnd w:id="666"/>
      <w:bookmarkEnd w:id="667"/>
      <w:r w:rsidR="008935F1" w:rsidRPr="00BB165A">
        <w:t xml:space="preserve"> </w:t>
      </w:r>
      <w:r w:rsidR="00F05988" w:rsidRPr="00BB165A">
        <w:t xml:space="preserve">(2019 and </w:t>
      </w:r>
      <w:r w:rsidR="008935F1" w:rsidRPr="00BB165A">
        <w:t>2020</w:t>
      </w:r>
      <w:r w:rsidR="00F05988" w:rsidRPr="00BB165A">
        <w:t>)</w:t>
      </w:r>
      <w:bookmarkEnd w:id="668"/>
    </w:p>
    <w:p w14:paraId="53E67ED5" w14:textId="6FDD9D42" w:rsidR="00811618" w:rsidRPr="008C53A4" w:rsidRDefault="00811618" w:rsidP="001F5003">
      <w:r>
        <w:rPr>
          <w:noProof/>
        </w:rPr>
        <w:drawing>
          <wp:inline distT="0" distB="0" distL="0" distR="0" wp14:anchorId="23E6E6AA" wp14:editId="70596F0F">
            <wp:extent cx="4572000" cy="2743200"/>
            <wp:effectExtent l="0" t="0" r="0" b="0"/>
            <wp:docPr id="597878538" name="Chart 597878538" descr="Chart showing Unit costs and deviation from average using different EFTSL thresholds, by level (2019 and 2020). Split into less than 25 EFTSL delivered in FoE, between 25 and 1000 EFTSL delivered in FoE and over 1000 EFTSL delivered in FoE. Presented as columns with percentage deviations labeled.">
              <a:extLst xmlns:a="http://schemas.openxmlformats.org/drawingml/2006/main">
                <a:ext uri="{FF2B5EF4-FFF2-40B4-BE49-F238E27FC236}">
                  <a16:creationId xmlns:a16="http://schemas.microsoft.com/office/drawing/2014/main" id="{38F84399-1CE4-493D-AD97-44D227B199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797E99B" w14:textId="77777777" w:rsidR="002D7620" w:rsidRPr="00691B65" w:rsidRDefault="002D7620" w:rsidP="006118C2">
      <w:pPr>
        <w:pStyle w:val="Source"/>
      </w:pPr>
      <w:r w:rsidRPr="00BB165A">
        <w:t>Note: % indicates deviation from average cost per EFTSL for the given level. Outliers excluded.</w:t>
      </w:r>
      <w:r w:rsidR="00A12E21">
        <w:t xml:space="preserve"> </w:t>
      </w:r>
    </w:p>
    <w:tbl>
      <w:tblPr>
        <w:tblStyle w:val="TableGrid"/>
        <w:tblW w:w="0" w:type="auto"/>
        <w:shd w:val="clear" w:color="auto" w:fill="E7E6E6" w:themeFill="background2"/>
        <w:tblLook w:val="04A0" w:firstRow="1" w:lastRow="0" w:firstColumn="1" w:lastColumn="0" w:noHBand="0" w:noVBand="1"/>
      </w:tblPr>
      <w:tblGrid>
        <w:gridCol w:w="6945"/>
      </w:tblGrid>
      <w:tr w:rsidR="00A4300D" w:rsidRPr="008B3BBC" w14:paraId="5F02A35C" w14:textId="77777777" w:rsidTr="00A4300D">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hideMark/>
          </w:tcPr>
          <w:p w14:paraId="49E9D060" w14:textId="77777777" w:rsidR="00A4300D" w:rsidRPr="00BB165A" w:rsidRDefault="00A4300D">
            <w:pPr>
              <w:ind w:left="142"/>
              <w:rPr>
                <w:b/>
                <w:sz w:val="16"/>
              </w:rPr>
            </w:pPr>
            <w:r w:rsidRPr="00BB165A">
              <w:rPr>
                <w:b/>
                <w:sz w:val="16"/>
              </w:rPr>
              <w:t>Box 2.</w:t>
            </w:r>
            <w:r w:rsidR="007B63E6" w:rsidRPr="00BB165A">
              <w:rPr>
                <w:b/>
                <w:sz w:val="16"/>
              </w:rPr>
              <w:t>3</w:t>
            </w:r>
            <w:r w:rsidRPr="00BB165A">
              <w:rPr>
                <w:b/>
                <w:sz w:val="16"/>
              </w:rPr>
              <w:t xml:space="preserve">: Drivers of cost from </w:t>
            </w:r>
            <w:r w:rsidRPr="00BB165A">
              <w:rPr>
                <w:b/>
                <w:i/>
                <w:sz w:val="16"/>
              </w:rPr>
              <w:t>Cost of delivery of higher education (2016)</w:t>
            </w:r>
          </w:p>
          <w:p w14:paraId="29EBD063" w14:textId="77777777" w:rsidR="00A4300D" w:rsidRPr="00BB165A" w:rsidRDefault="00A4300D">
            <w:pPr>
              <w:ind w:left="142"/>
              <w:rPr>
                <w:sz w:val="16"/>
              </w:rPr>
            </w:pPr>
            <w:r w:rsidRPr="00BB165A">
              <w:rPr>
                <w:sz w:val="16"/>
              </w:rPr>
              <w:t xml:space="preserve">The 2016 study had a scope that included the identification of the drivers of higher costs. Regression analysis was used to identify these cost drivers by (1) statistical significance and (2) magnitude of correlation. This type of analysis allows for the correlation effects to be disentangled among multiple competing drivers of a single outcome (in this instance, cost per EFTSL). </w:t>
            </w:r>
          </w:p>
          <w:p w14:paraId="56A633D0" w14:textId="77777777" w:rsidR="00A4300D" w:rsidRPr="00BB165A" w:rsidRDefault="00A4300D">
            <w:pPr>
              <w:ind w:left="142"/>
              <w:rPr>
                <w:sz w:val="16"/>
                <w:szCs w:val="16"/>
              </w:rPr>
            </w:pPr>
            <w:r w:rsidRPr="00BB165A">
              <w:rPr>
                <w:sz w:val="16"/>
              </w:rPr>
              <w:t>The key identified drivers that had a significant effect on costs</w:t>
            </w:r>
            <w:r w:rsidRPr="00BB165A">
              <w:rPr>
                <w:sz w:val="16"/>
                <w:szCs w:val="16"/>
              </w:rPr>
              <w:t xml:space="preserve">: </w:t>
            </w:r>
          </w:p>
          <w:p w14:paraId="411EA833" w14:textId="7141BB5D" w:rsidR="00A4300D" w:rsidRPr="00BB165A" w:rsidRDefault="00A4300D" w:rsidP="007B09DB">
            <w:pPr>
              <w:pStyle w:val="ListBullet"/>
              <w:numPr>
                <w:ilvl w:val="0"/>
                <w:numId w:val="21"/>
              </w:numPr>
              <w:ind w:left="567"/>
              <w:rPr>
                <w:sz w:val="16"/>
                <w:szCs w:val="16"/>
              </w:rPr>
            </w:pPr>
            <w:r w:rsidRPr="00BB165A">
              <w:rPr>
                <w:b/>
                <w:sz w:val="16"/>
                <w:szCs w:val="16"/>
              </w:rPr>
              <w:t>Staff-student ratios</w:t>
            </w:r>
            <w:r w:rsidRPr="00BB165A">
              <w:rPr>
                <w:sz w:val="16"/>
                <w:szCs w:val="16"/>
              </w:rPr>
              <w:t xml:space="preserve"> (teaching </w:t>
            </w:r>
            <w:r w:rsidR="005428EF">
              <w:rPr>
                <w:sz w:val="16"/>
                <w:szCs w:val="16"/>
              </w:rPr>
              <w:t>full</w:t>
            </w:r>
            <w:r w:rsidR="002F0F83">
              <w:rPr>
                <w:sz w:val="16"/>
                <w:szCs w:val="16"/>
              </w:rPr>
              <w:t>-time equivalent (</w:t>
            </w:r>
            <w:r w:rsidRPr="00BB165A">
              <w:rPr>
                <w:sz w:val="16"/>
                <w:szCs w:val="16"/>
              </w:rPr>
              <w:t>FTE</w:t>
            </w:r>
            <w:r w:rsidR="002F0F83">
              <w:rPr>
                <w:sz w:val="16"/>
                <w:szCs w:val="16"/>
              </w:rPr>
              <w:t>)</w:t>
            </w:r>
            <w:r w:rsidRPr="00BB165A">
              <w:rPr>
                <w:sz w:val="16"/>
                <w:szCs w:val="16"/>
              </w:rPr>
              <w:t xml:space="preserve">/student EFTSL) which was correlated with higher costs, reflecting labour as a key factor in the cost of teaching. Notably, this driver was consistently the largest determinant of cost. </w:t>
            </w:r>
          </w:p>
          <w:p w14:paraId="50278D1C" w14:textId="77777777" w:rsidR="00A4300D" w:rsidRPr="00BB165A" w:rsidRDefault="00A4300D" w:rsidP="007B09DB">
            <w:pPr>
              <w:pStyle w:val="ListBullet"/>
              <w:numPr>
                <w:ilvl w:val="0"/>
                <w:numId w:val="21"/>
              </w:numPr>
              <w:ind w:left="567"/>
              <w:rPr>
                <w:sz w:val="16"/>
                <w:szCs w:val="16"/>
              </w:rPr>
            </w:pPr>
            <w:r w:rsidRPr="00BB165A">
              <w:rPr>
                <w:b/>
                <w:sz w:val="16"/>
                <w:szCs w:val="16"/>
              </w:rPr>
              <w:t xml:space="preserve">Scale </w:t>
            </w:r>
            <w:r w:rsidRPr="00BB165A">
              <w:rPr>
                <w:sz w:val="16"/>
                <w:szCs w:val="16"/>
              </w:rPr>
              <w:t xml:space="preserve">(total student EFTSL) was correlated with lower costs, indicating some scale efficiencies, although the statistical significance weakened after controlling for additional drivers (particularly as some of this effect is likely to be captured through staff-student ratios). </w:t>
            </w:r>
          </w:p>
          <w:p w14:paraId="185D4A2F" w14:textId="77777777" w:rsidR="00A4300D" w:rsidRPr="00BB165A" w:rsidRDefault="00A4300D" w:rsidP="007B09DB">
            <w:pPr>
              <w:pStyle w:val="ListBullet"/>
              <w:numPr>
                <w:ilvl w:val="0"/>
                <w:numId w:val="21"/>
              </w:numPr>
              <w:ind w:left="567"/>
              <w:rPr>
                <w:sz w:val="16"/>
                <w:szCs w:val="16"/>
              </w:rPr>
            </w:pPr>
            <w:r w:rsidRPr="00BB165A">
              <w:rPr>
                <w:b/>
                <w:sz w:val="16"/>
                <w:szCs w:val="16"/>
              </w:rPr>
              <w:t>Regionality</w:t>
            </w:r>
            <w:r w:rsidRPr="00BB165A">
              <w:rPr>
                <w:sz w:val="16"/>
                <w:szCs w:val="16"/>
              </w:rPr>
              <w:t xml:space="preserve"> (proportion of regional EFTSL) correlated with higher costs</w:t>
            </w:r>
            <w:r w:rsidR="0092663A" w:rsidRPr="00BB165A">
              <w:rPr>
                <w:sz w:val="16"/>
                <w:szCs w:val="16"/>
              </w:rPr>
              <w:t xml:space="preserve">, </w:t>
            </w:r>
            <w:r w:rsidRPr="00BB165A">
              <w:rPr>
                <w:sz w:val="16"/>
                <w:szCs w:val="16"/>
              </w:rPr>
              <w:t xml:space="preserve">even after controlling for scale, </w:t>
            </w:r>
            <w:r w:rsidR="0092663A" w:rsidRPr="00BB165A">
              <w:rPr>
                <w:sz w:val="16"/>
                <w:szCs w:val="16"/>
              </w:rPr>
              <w:t xml:space="preserve">suggesting that </w:t>
            </w:r>
            <w:r w:rsidRPr="00BB165A">
              <w:rPr>
                <w:sz w:val="16"/>
                <w:szCs w:val="16"/>
              </w:rPr>
              <w:t>regional provision involves greater costs.</w:t>
            </w:r>
            <w:r w:rsidR="00E11FED" w:rsidRPr="00BB165A">
              <w:rPr>
                <w:rStyle w:val="FootnoteReference"/>
                <w:sz w:val="16"/>
                <w:szCs w:val="16"/>
              </w:rPr>
              <w:footnoteReference w:id="23"/>
            </w:r>
          </w:p>
          <w:p w14:paraId="4DF3ACD6" w14:textId="77777777" w:rsidR="00A4300D" w:rsidRPr="00BB165A" w:rsidRDefault="00A4300D" w:rsidP="007B09DB">
            <w:pPr>
              <w:pStyle w:val="ListBullet"/>
              <w:numPr>
                <w:ilvl w:val="0"/>
                <w:numId w:val="21"/>
              </w:numPr>
              <w:ind w:left="567"/>
              <w:rPr>
                <w:sz w:val="16"/>
                <w:szCs w:val="16"/>
              </w:rPr>
            </w:pPr>
            <w:r w:rsidRPr="00BB165A">
              <w:rPr>
                <w:b/>
                <w:sz w:val="16"/>
                <w:szCs w:val="16"/>
              </w:rPr>
              <w:t>Casualised workforce</w:t>
            </w:r>
            <w:r w:rsidRPr="00BB165A">
              <w:rPr>
                <w:sz w:val="16"/>
                <w:szCs w:val="16"/>
              </w:rPr>
              <w:t xml:space="preserve"> (proportion of casual FTE) correlated with lower costs, which may reflect more adaptive workforces. </w:t>
            </w:r>
          </w:p>
          <w:p w14:paraId="183A7DB0" w14:textId="5281488F" w:rsidR="00A4300D" w:rsidRPr="00BB165A" w:rsidRDefault="00A4300D">
            <w:pPr>
              <w:ind w:left="142"/>
              <w:rPr>
                <w:sz w:val="16"/>
              </w:rPr>
            </w:pPr>
            <w:r w:rsidRPr="00BB165A">
              <w:rPr>
                <w:sz w:val="16"/>
              </w:rPr>
              <w:t>Other cost drivers were considered but were generally not found to be statistically significant drivers of cost after controlling for other factors:</w:t>
            </w:r>
          </w:p>
          <w:p w14:paraId="16F48AA7" w14:textId="77777777" w:rsidR="00A4300D" w:rsidRPr="00BB165A" w:rsidRDefault="00A4300D" w:rsidP="007B09DB">
            <w:pPr>
              <w:pStyle w:val="ListBullet"/>
              <w:numPr>
                <w:ilvl w:val="0"/>
                <w:numId w:val="21"/>
              </w:numPr>
              <w:ind w:left="567"/>
              <w:rPr>
                <w:sz w:val="16"/>
                <w:szCs w:val="16"/>
              </w:rPr>
            </w:pPr>
            <w:r w:rsidRPr="00BB165A">
              <w:rPr>
                <w:b/>
                <w:sz w:val="16"/>
                <w:szCs w:val="16"/>
              </w:rPr>
              <w:t>External delivery</w:t>
            </w:r>
            <w:r w:rsidRPr="00BB165A">
              <w:rPr>
                <w:sz w:val="16"/>
                <w:szCs w:val="16"/>
              </w:rPr>
              <w:t xml:space="preserve"> (proportion of external mode EFTSL) was correlated with lower costs, which may reflect efficiencies in online and off-campus delivery but was not statistically significant. </w:t>
            </w:r>
          </w:p>
          <w:p w14:paraId="3E77E79C" w14:textId="77777777" w:rsidR="00A4300D" w:rsidRPr="00BB165A" w:rsidRDefault="00A4300D" w:rsidP="007B09DB">
            <w:pPr>
              <w:pStyle w:val="ListBullet"/>
              <w:numPr>
                <w:ilvl w:val="0"/>
                <w:numId w:val="21"/>
              </w:numPr>
              <w:ind w:left="567"/>
              <w:rPr>
                <w:sz w:val="16"/>
                <w:szCs w:val="16"/>
              </w:rPr>
            </w:pPr>
            <w:r w:rsidRPr="00BB165A">
              <w:rPr>
                <w:b/>
                <w:sz w:val="16"/>
                <w:szCs w:val="16"/>
              </w:rPr>
              <w:t>International students</w:t>
            </w:r>
            <w:r w:rsidRPr="00BB165A">
              <w:rPr>
                <w:sz w:val="16"/>
                <w:szCs w:val="16"/>
              </w:rPr>
              <w:t xml:space="preserve"> (proportion of EFTSL that comprised overseas students) was correlated with higher costs, however this effect was not statistically significant. </w:t>
            </w:r>
          </w:p>
          <w:p w14:paraId="18FD1554" w14:textId="534B39B2" w:rsidR="00A4300D" w:rsidRPr="00BB165A" w:rsidRDefault="00A4300D" w:rsidP="007B09DB">
            <w:pPr>
              <w:pStyle w:val="ListBullet"/>
              <w:numPr>
                <w:ilvl w:val="0"/>
                <w:numId w:val="21"/>
              </w:numPr>
              <w:ind w:left="567"/>
              <w:rPr>
                <w:sz w:val="16"/>
                <w:szCs w:val="16"/>
              </w:rPr>
            </w:pPr>
            <w:r w:rsidRPr="00BB165A">
              <w:rPr>
                <w:b/>
                <w:sz w:val="16"/>
                <w:szCs w:val="16"/>
              </w:rPr>
              <w:t>Research intensity</w:t>
            </w:r>
            <w:r w:rsidRPr="00BB165A">
              <w:rPr>
                <w:sz w:val="16"/>
                <w:szCs w:val="16"/>
              </w:rPr>
              <w:t xml:space="preserve"> (level of </w:t>
            </w:r>
            <w:r w:rsidR="00E44335">
              <w:rPr>
                <w:sz w:val="16"/>
                <w:szCs w:val="16"/>
              </w:rPr>
              <w:t>Higher Degree Research (</w:t>
            </w:r>
            <w:r w:rsidRPr="00BB165A">
              <w:rPr>
                <w:sz w:val="16"/>
                <w:szCs w:val="16"/>
              </w:rPr>
              <w:t>HDR</w:t>
            </w:r>
            <w:r w:rsidR="00E44335">
              <w:rPr>
                <w:sz w:val="16"/>
                <w:szCs w:val="16"/>
              </w:rPr>
              <w:t>)</w:t>
            </w:r>
            <w:r w:rsidRPr="00BB165A">
              <w:rPr>
                <w:sz w:val="16"/>
                <w:szCs w:val="16"/>
              </w:rPr>
              <w:t xml:space="preserve">) correlated with higher costs, however this effect disappeared after controlling for fields of education. This may suggest that research intensities are partly reflecting systematic differences in costs across fields. </w:t>
            </w:r>
          </w:p>
          <w:p w14:paraId="40280032" w14:textId="77777777" w:rsidR="00A4300D" w:rsidRPr="00BB165A" w:rsidRDefault="00A4300D">
            <w:pPr>
              <w:ind w:left="142"/>
              <w:rPr>
                <w:sz w:val="16"/>
              </w:rPr>
            </w:pPr>
            <w:r w:rsidRPr="00BB165A">
              <w:rPr>
                <w:sz w:val="16"/>
              </w:rPr>
              <w:t xml:space="preserve">Notably, the key cost drivers remained generally statistically significant even after controlling for fields of education, which suggests these are common cost drivers, rather than reflections of idiosyncrasies among fields. </w:t>
            </w:r>
          </w:p>
          <w:p w14:paraId="599C5F58" w14:textId="77777777" w:rsidR="00A4300D" w:rsidRPr="00691B65" w:rsidRDefault="00A4300D">
            <w:pPr>
              <w:ind w:left="142"/>
              <w:rPr>
                <w:sz w:val="16"/>
              </w:rPr>
            </w:pPr>
            <w:r w:rsidRPr="00BB165A">
              <w:rPr>
                <w:sz w:val="16"/>
              </w:rPr>
              <w:t>Furthermore, the analysis showed stronger field effects versus institution effects, which suggests that there are stronger variations in cost between disciplines than universities, which may be unsurprising given a regulated funding environment and wide scopes of delivery.</w:t>
            </w:r>
            <w:r w:rsidRPr="00691B65">
              <w:rPr>
                <w:sz w:val="16"/>
              </w:rPr>
              <w:t xml:space="preserve"> </w:t>
            </w:r>
          </w:p>
        </w:tc>
      </w:tr>
    </w:tbl>
    <w:p w14:paraId="3311DB3B" w14:textId="20529AE7" w:rsidR="00A4300D" w:rsidRPr="00691B65" w:rsidRDefault="00A4300D" w:rsidP="005F79E9">
      <w:pPr>
        <w:rPr>
          <w:i/>
        </w:rPr>
      </w:pPr>
    </w:p>
    <w:p w14:paraId="4F1445D1" w14:textId="4A368F4E" w:rsidR="00A4300D" w:rsidRPr="00BB165A" w:rsidRDefault="00A4300D" w:rsidP="00A4300D">
      <w:pPr>
        <w:pStyle w:val="Heading3un-numbered"/>
      </w:pPr>
      <w:bookmarkStart w:id="669" w:name="_Hlk24440761"/>
      <w:r w:rsidRPr="00BB165A">
        <w:t xml:space="preserve">Variation between metropolitan and regional institutions </w:t>
      </w:r>
      <w:r w:rsidR="00291ADC" w:rsidRPr="00BB165A">
        <w:t>and those with a greater degree of research focus</w:t>
      </w:r>
    </w:p>
    <w:bookmarkEnd w:id="669"/>
    <w:p w14:paraId="57C74588" w14:textId="77777777" w:rsidR="00A4300D" w:rsidRPr="00BB165A" w:rsidRDefault="00A4300D" w:rsidP="00A4300D">
      <w:r w:rsidRPr="00BB165A">
        <w:t>Universities that predominately operate in more reg</w:t>
      </w:r>
      <w:r w:rsidR="003923CC" w:rsidRPr="00BB165A">
        <w:t xml:space="preserve">ional settings often face </w:t>
      </w:r>
      <w:r w:rsidRPr="00BB165A">
        <w:t xml:space="preserve">distinctive local contexts, including: </w:t>
      </w:r>
    </w:p>
    <w:p w14:paraId="12C34DBF" w14:textId="0A8C942B" w:rsidR="00A4300D" w:rsidRPr="00BB165A" w:rsidRDefault="00A4300D" w:rsidP="007B09DB">
      <w:pPr>
        <w:pStyle w:val="ListBullet"/>
        <w:numPr>
          <w:ilvl w:val="0"/>
          <w:numId w:val="21"/>
        </w:numPr>
      </w:pPr>
      <w:r w:rsidRPr="00BB165A">
        <w:t>Less readily available scale economies due to thin markets and lower populations</w:t>
      </w:r>
    </w:p>
    <w:p w14:paraId="698A5BF8" w14:textId="48159F82" w:rsidR="00A4300D" w:rsidRPr="00BB165A" w:rsidRDefault="00A4300D" w:rsidP="007B09DB">
      <w:pPr>
        <w:pStyle w:val="ListBullet"/>
        <w:numPr>
          <w:ilvl w:val="0"/>
          <w:numId w:val="21"/>
        </w:numPr>
      </w:pPr>
      <w:r w:rsidRPr="00BB165A">
        <w:t>A higher share of distance or online learning</w:t>
      </w:r>
    </w:p>
    <w:p w14:paraId="7BF73326" w14:textId="03B5C236" w:rsidR="00A4300D" w:rsidRPr="00BB165A" w:rsidRDefault="00A4300D" w:rsidP="007B09DB">
      <w:pPr>
        <w:pStyle w:val="ListBullet"/>
        <w:numPr>
          <w:ilvl w:val="0"/>
          <w:numId w:val="21"/>
        </w:numPr>
      </w:pPr>
      <w:r w:rsidRPr="00BB165A">
        <w:t>Potentially lower per unit capital and/or labour costs</w:t>
      </w:r>
    </w:p>
    <w:p w14:paraId="557234E3" w14:textId="77777777" w:rsidR="00A4300D" w:rsidRPr="00BB165A" w:rsidRDefault="00A43D22" w:rsidP="007B09DB">
      <w:pPr>
        <w:pStyle w:val="ListBullet"/>
        <w:numPr>
          <w:ilvl w:val="0"/>
          <w:numId w:val="21"/>
        </w:numPr>
      </w:pPr>
      <w:r w:rsidRPr="00BB165A">
        <w:t>A g</w:t>
      </w:r>
      <w:r w:rsidR="00A4300D" w:rsidRPr="00BB165A">
        <w:t xml:space="preserve">reater </w:t>
      </w:r>
      <w:r w:rsidRPr="00BB165A">
        <w:t xml:space="preserve">need for </w:t>
      </w:r>
      <w:r w:rsidR="00A4300D" w:rsidRPr="00BB165A">
        <w:t>student support</w:t>
      </w:r>
      <w:r w:rsidRPr="00BB165A">
        <w:t xml:space="preserve"> as many regional universities may cater to a more disadvantaged student cohort. </w:t>
      </w:r>
    </w:p>
    <w:p w14:paraId="1963BA84" w14:textId="790B7B97" w:rsidR="00317155" w:rsidRPr="00BB165A" w:rsidRDefault="00317155" w:rsidP="006118C2">
      <w:r w:rsidRPr="00BB165A">
        <w:t xml:space="preserve">Overall, the cost per EFTSL for regional universities was </w:t>
      </w:r>
      <w:r w:rsidR="00A43D22" w:rsidRPr="00BB165A">
        <w:t xml:space="preserve">found to be </w:t>
      </w:r>
      <w:r w:rsidR="00E7728C" w:rsidRPr="00BB165A">
        <w:t>7.</w:t>
      </w:r>
      <w:r w:rsidR="00A26C9B">
        <w:t>7</w:t>
      </w:r>
      <w:r w:rsidRPr="00BB165A">
        <w:t xml:space="preserve">% higher </w:t>
      </w:r>
      <w:r w:rsidR="00B43D5E" w:rsidRPr="00BB165A">
        <w:t xml:space="preserve">in 2019 and </w:t>
      </w:r>
      <w:r w:rsidR="00084B33" w:rsidRPr="00BB165A">
        <w:t>4.</w:t>
      </w:r>
      <w:r w:rsidR="003E5CE7">
        <w:t>4</w:t>
      </w:r>
      <w:r w:rsidR="00084B33" w:rsidRPr="00BB165A">
        <w:t xml:space="preserve">% higher in 2020 </w:t>
      </w:r>
      <w:r w:rsidR="009A3B5E" w:rsidRPr="00BB165A">
        <w:t>compared to</w:t>
      </w:r>
      <w:r w:rsidRPr="00BB165A">
        <w:t xml:space="preserve"> metropolitan universities after controlling for differences in the enrolment mix in terms of FOE and differences in the mix of enrolments across different levels of study between the two groups. However, results varied by level of study. </w:t>
      </w:r>
      <w:r w:rsidR="009A3B5E" w:rsidRPr="00BB165A">
        <w:t>In 2019, c</w:t>
      </w:r>
      <w:r w:rsidRPr="00BB165A">
        <w:t xml:space="preserve">osts per EFTSL at regional universities were found to be </w:t>
      </w:r>
      <w:r w:rsidR="003E5CE7">
        <w:t>12.0</w:t>
      </w:r>
      <w:r w:rsidRPr="00BB165A">
        <w:t>% higher for bachelor degree students</w:t>
      </w:r>
      <w:r w:rsidR="009A3B5E" w:rsidRPr="00BB165A">
        <w:t>,</w:t>
      </w:r>
      <w:r w:rsidR="00CC0AB7" w:rsidRPr="00BB165A">
        <w:t xml:space="preserve"> </w:t>
      </w:r>
      <w:r w:rsidR="003B0859" w:rsidRPr="00BB165A">
        <w:t xml:space="preserve">but </w:t>
      </w:r>
      <w:r w:rsidR="00E55453" w:rsidRPr="00BB165A">
        <w:t>2.7</w:t>
      </w:r>
      <w:r w:rsidR="00CC0AB7" w:rsidRPr="00BB165A">
        <w:t xml:space="preserve">% </w:t>
      </w:r>
      <w:r w:rsidR="00C92EA9" w:rsidRPr="00BB165A">
        <w:t>lower</w:t>
      </w:r>
      <w:r w:rsidR="00CC0AB7" w:rsidRPr="00BB165A">
        <w:t xml:space="preserve"> </w:t>
      </w:r>
      <w:r w:rsidRPr="00BB165A">
        <w:t xml:space="preserve">for postgraduate students </w:t>
      </w:r>
      <w:r w:rsidR="00CC0AB7" w:rsidRPr="00BB165A">
        <w:t>when compared to</w:t>
      </w:r>
      <w:r w:rsidRPr="00BB165A">
        <w:t xml:space="preserve"> metropolitan universities. </w:t>
      </w:r>
      <w:r w:rsidR="00A77038" w:rsidRPr="00BB165A">
        <w:t xml:space="preserve">In 2020, costs per EFTSL at regional universities were found to be </w:t>
      </w:r>
      <w:r w:rsidR="00603655" w:rsidRPr="00BB165A">
        <w:t>9.</w:t>
      </w:r>
      <w:r w:rsidR="00894822">
        <w:t>8</w:t>
      </w:r>
      <w:r w:rsidR="00A77038" w:rsidRPr="00BB165A">
        <w:t xml:space="preserve">% higher for bachelor degree students, but </w:t>
      </w:r>
      <w:r w:rsidR="00603655" w:rsidRPr="00BB165A">
        <w:t>7.</w:t>
      </w:r>
      <w:r w:rsidR="00894822">
        <w:t>9</w:t>
      </w:r>
      <w:r w:rsidR="00A77038" w:rsidRPr="00BB165A">
        <w:t>% lower for postgraduate students when compared to metropolitan universities.</w:t>
      </w:r>
    </w:p>
    <w:p w14:paraId="00073DC9" w14:textId="55AA213E" w:rsidR="007C046A" w:rsidRPr="00BB165A" w:rsidRDefault="007C046A" w:rsidP="007C046A">
      <w:pPr>
        <w:pStyle w:val="Heading3un-numbered"/>
      </w:pPr>
      <w:r w:rsidRPr="00BB165A">
        <w:t>Variation between institutions with a greater degree of research focus</w:t>
      </w:r>
    </w:p>
    <w:p w14:paraId="21F70976" w14:textId="77777777" w:rsidR="00CC0AB7" w:rsidRPr="00BB165A" w:rsidRDefault="00317155" w:rsidP="006118C2">
      <w:r w:rsidRPr="00BB165A">
        <w:t>Universities with a greater focus on research activity may also have differential costs of teaching to other universities. This may arise due to more senior staff tending to be involved in joint teaching and research functions as well as other higher cost resources (such as facilities or equipment)</w:t>
      </w:r>
      <w:r w:rsidR="00A43D22" w:rsidRPr="00BB165A">
        <w:t xml:space="preserve"> used for both teaching and research</w:t>
      </w:r>
      <w:r w:rsidRPr="00BB165A">
        <w:t>, which</w:t>
      </w:r>
      <w:r w:rsidR="00A43D22" w:rsidRPr="00BB165A">
        <w:t xml:space="preserve"> may be</w:t>
      </w:r>
      <w:r w:rsidRPr="00BB165A">
        <w:t xml:space="preserve"> more prevalent when a university has a research-focus. Alternatively, it is possible that some institutions with a greater research focus may allocate a greater proportion of available resources to research</w:t>
      </w:r>
      <w:r w:rsidR="00A43D22" w:rsidRPr="00BB165A">
        <w:t xml:space="preserve"> relative to teaching</w:t>
      </w:r>
      <w:r w:rsidRPr="00BB165A">
        <w:t xml:space="preserve">. </w:t>
      </w:r>
    </w:p>
    <w:p w14:paraId="46A07458" w14:textId="1E95D2F9" w:rsidR="004E61A6" w:rsidRPr="00BB165A" w:rsidRDefault="00470793">
      <w:r>
        <w:t>In 2019</w:t>
      </w:r>
      <w:r w:rsidR="009D3E4B">
        <w:t>,</w:t>
      </w:r>
      <w:r w:rsidR="00CC0AB7">
        <w:t xml:space="preserve"> the cost per EFTSL across Group of Eight (Go8) universities was found to be </w:t>
      </w:r>
      <w:r w:rsidR="00A26C9B">
        <w:t>7.</w:t>
      </w:r>
      <w:r w:rsidR="00124368">
        <w:t>3</w:t>
      </w:r>
      <w:r w:rsidR="00CC0AB7">
        <w:t xml:space="preserve">% higher than non-Go8 universities. </w:t>
      </w:r>
      <w:r w:rsidR="002E49DC">
        <w:t>However, after also controlling for differences in the enrolment mix across FOEs</w:t>
      </w:r>
      <w:r w:rsidR="00A00197">
        <w:t>,</w:t>
      </w:r>
      <w:r w:rsidR="002E49DC">
        <w:t xml:space="preserve"> costs at Go8 universities were found to be </w:t>
      </w:r>
      <w:r w:rsidR="00944680">
        <w:t>0.</w:t>
      </w:r>
      <w:r w:rsidR="00124368">
        <w:t>1</w:t>
      </w:r>
      <w:r w:rsidR="002E49DC">
        <w:t>% lower than non-Go8 universities</w:t>
      </w:r>
      <w:r w:rsidR="009D3E4B">
        <w:t xml:space="preserve"> suggesting that differences in cost between the two groups was largely driven by differences in enrolment patterns by FOE.</w:t>
      </w:r>
      <w:r w:rsidR="00215E90">
        <w:t xml:space="preserve"> A similar trend was observed in 2020 where Go8 universities were found to have a cost per EFT</w:t>
      </w:r>
      <w:r w:rsidR="00523DBB">
        <w:t>S</w:t>
      </w:r>
      <w:r w:rsidR="00215E90">
        <w:t>L 8.</w:t>
      </w:r>
      <w:r w:rsidR="000B7461">
        <w:t>5</w:t>
      </w:r>
      <w:r w:rsidR="00215E90">
        <w:t>% higher than non-Go8 universitie</w:t>
      </w:r>
      <w:r w:rsidR="00227678">
        <w:t xml:space="preserve">s </w:t>
      </w:r>
      <w:r w:rsidR="00771C50">
        <w:t xml:space="preserve">but </w:t>
      </w:r>
      <w:r w:rsidR="00227678">
        <w:t xml:space="preserve">only </w:t>
      </w:r>
      <w:r w:rsidR="00A26C9B">
        <w:t>1.</w:t>
      </w:r>
      <w:r w:rsidR="00227678">
        <w:t>0% higher after controlling for differences in the enrolment mix.</w:t>
      </w:r>
    </w:p>
    <w:p w14:paraId="6512EBA7" w14:textId="08F7212D" w:rsidR="004E61A6" w:rsidRPr="00BB165A" w:rsidRDefault="00D774AE" w:rsidP="00807290">
      <w:pPr>
        <w:pStyle w:val="Heading3un-numbered"/>
      </w:pPr>
      <w:r w:rsidRPr="00BB165A">
        <w:t xml:space="preserve">Variation </w:t>
      </w:r>
      <w:r w:rsidR="00105603" w:rsidRPr="00BB165A">
        <w:t xml:space="preserve">by </w:t>
      </w:r>
      <w:r w:rsidR="00B70C2F">
        <w:t>FOE</w:t>
      </w:r>
    </w:p>
    <w:p w14:paraId="0DA08C64" w14:textId="03A00FA2" w:rsidR="004863F9" w:rsidRDefault="00105603" w:rsidP="00105603">
      <w:r w:rsidRPr="00BB165A">
        <w:t xml:space="preserve">Costs </w:t>
      </w:r>
      <w:r w:rsidR="009D1AD3" w:rsidRPr="00BB165A">
        <w:t>also tend to differ</w:t>
      </w:r>
      <w:r w:rsidRPr="00BB165A">
        <w:t xml:space="preserve"> across fields of education</w:t>
      </w:r>
      <w:r w:rsidR="009D1AD3" w:rsidRPr="00BB165A">
        <w:t xml:space="preserve"> reflecting various factors including the number of students </w:t>
      </w:r>
      <w:r w:rsidR="004863F9" w:rsidRPr="00BB165A">
        <w:t>enrolled</w:t>
      </w:r>
      <w:r w:rsidR="009D1AD3" w:rsidRPr="00BB165A">
        <w:t xml:space="preserve">, </w:t>
      </w:r>
      <w:r w:rsidR="00B918A4" w:rsidRPr="00BB165A">
        <w:t>equipment and capital costs</w:t>
      </w:r>
      <w:r w:rsidR="00171BC5" w:rsidRPr="00BB165A">
        <w:t xml:space="preserve">, </w:t>
      </w:r>
      <w:r w:rsidR="00F87344" w:rsidRPr="00BB165A">
        <w:t xml:space="preserve">practical </w:t>
      </w:r>
      <w:r w:rsidR="00AE642E" w:rsidRPr="00BB165A">
        <w:t xml:space="preserve">experience, </w:t>
      </w:r>
      <w:r w:rsidR="00DE56F6" w:rsidRPr="00BB165A">
        <w:t xml:space="preserve">and pedagogy </w:t>
      </w:r>
      <w:r w:rsidR="00A16BF9" w:rsidRPr="00BB165A">
        <w:t>requirements.</w:t>
      </w:r>
      <w:r w:rsidR="00A16BF9">
        <w:t xml:space="preserve"> </w:t>
      </w:r>
    </w:p>
    <w:p w14:paraId="4528CADB" w14:textId="6939F46B" w:rsidR="0034734E" w:rsidRPr="00BB165A" w:rsidRDefault="004863F9" w:rsidP="00105603">
      <w:r w:rsidRPr="00BB165A">
        <w:fldChar w:fldCharType="begin"/>
      </w:r>
      <w:r w:rsidRPr="00BB165A">
        <w:instrText xml:space="preserve"> REF _Ref101862978 \r \h </w:instrText>
      </w:r>
      <w:r w:rsidR="00840D9B" w:rsidRPr="00BB165A">
        <w:instrText xml:space="preserve"> \* MERGEFORMAT </w:instrText>
      </w:r>
      <w:r w:rsidRPr="00BB165A">
        <w:fldChar w:fldCharType="separate"/>
      </w:r>
      <w:r w:rsidR="00804998">
        <w:t>Chart 2.30</w:t>
      </w:r>
      <w:r w:rsidRPr="00BB165A">
        <w:fldChar w:fldCharType="end"/>
      </w:r>
      <w:r w:rsidRPr="00BB165A">
        <w:t xml:space="preserve"> shows the costs o</w:t>
      </w:r>
      <w:r w:rsidR="00A77B48" w:rsidRPr="00BB165A">
        <w:t>f</w:t>
      </w:r>
      <w:r w:rsidRPr="00BB165A">
        <w:t xml:space="preserve"> teaching </w:t>
      </w:r>
      <w:r w:rsidR="00D73B38" w:rsidRPr="00BB165A">
        <w:t xml:space="preserve">across fields of education relative to the mean </w:t>
      </w:r>
      <w:r w:rsidR="00840D9B" w:rsidRPr="00BB165A">
        <w:t xml:space="preserve">in </w:t>
      </w:r>
      <w:r w:rsidR="00D73B38" w:rsidRPr="00BB165A">
        <w:t xml:space="preserve">both </w:t>
      </w:r>
      <w:r w:rsidR="00840D9B" w:rsidRPr="00BB165A">
        <w:t>2019 and 2020.</w:t>
      </w:r>
      <w:r w:rsidR="00C16DCA" w:rsidRPr="00BB165A">
        <w:t xml:space="preserve"> The</w:t>
      </w:r>
      <w:r w:rsidR="00752A33" w:rsidRPr="00BB165A">
        <w:t xml:space="preserve"> highest </w:t>
      </w:r>
      <w:r w:rsidR="00D73B38" w:rsidRPr="00BB165A">
        <w:t xml:space="preserve">cost </w:t>
      </w:r>
      <w:r w:rsidR="00E61269" w:rsidRPr="00BB165A">
        <w:t>FOE</w:t>
      </w:r>
      <w:r w:rsidR="00752A33" w:rsidRPr="00BB165A">
        <w:t xml:space="preserve"> </w:t>
      </w:r>
      <w:r w:rsidR="008A7C30" w:rsidRPr="00BB165A">
        <w:t>was</w:t>
      </w:r>
      <w:r w:rsidR="00752A33" w:rsidRPr="00BB165A">
        <w:t xml:space="preserve"> Veterinary Studies</w:t>
      </w:r>
      <w:r w:rsidR="0034734E" w:rsidRPr="00BB165A">
        <w:t xml:space="preserve">, with costs </w:t>
      </w:r>
      <w:r w:rsidR="00350480" w:rsidRPr="00BB165A">
        <w:t>that were 16</w:t>
      </w:r>
      <w:r w:rsidR="00FB5731">
        <w:t>5</w:t>
      </w:r>
      <w:r w:rsidR="00350480" w:rsidRPr="00BB165A">
        <w:t xml:space="preserve">% above the mean in 2019 and </w:t>
      </w:r>
      <w:r w:rsidR="00896DBF" w:rsidRPr="00BB165A">
        <w:t>174% above the mean in 2020. Costs were also a</w:t>
      </w:r>
      <w:r w:rsidR="00E4743C" w:rsidRPr="00BB165A">
        <w:t xml:space="preserve">bove the mean in both 2019 and 2020 for </w:t>
      </w:r>
      <w:r w:rsidR="001B4A86" w:rsidRPr="00BB165A">
        <w:t xml:space="preserve">health related </w:t>
      </w:r>
      <w:r w:rsidR="00E61269" w:rsidRPr="00BB165A">
        <w:t>FOEs</w:t>
      </w:r>
      <w:r w:rsidR="001B4A86" w:rsidRPr="00BB165A">
        <w:t xml:space="preserve"> such as </w:t>
      </w:r>
      <w:r w:rsidR="000525D5" w:rsidRPr="00BB165A">
        <w:t>Dental Studies</w:t>
      </w:r>
      <w:r w:rsidR="006074A3" w:rsidRPr="00BB165A">
        <w:t xml:space="preserve"> and Medical Studies. These </w:t>
      </w:r>
      <w:r w:rsidR="00E61269" w:rsidRPr="00BB165A">
        <w:t>FOEs</w:t>
      </w:r>
      <w:r w:rsidR="006074A3" w:rsidRPr="00BB165A">
        <w:t xml:space="preserve"> typically in</w:t>
      </w:r>
      <w:r w:rsidR="00224C62" w:rsidRPr="00BB165A">
        <w:t xml:space="preserve">clude significant costs related to placements and practical experience that are not incurred to the same extent in other fields. </w:t>
      </w:r>
    </w:p>
    <w:p w14:paraId="1C1419F9" w14:textId="2645E3F8" w:rsidR="00105603" w:rsidRPr="00691B65" w:rsidRDefault="00655B61" w:rsidP="00105603">
      <w:r w:rsidRPr="00BB165A">
        <w:t>Overall, most F</w:t>
      </w:r>
      <w:r w:rsidR="00D50534" w:rsidRPr="00BB165A">
        <w:t>O</w:t>
      </w:r>
      <w:r w:rsidRPr="00BB165A">
        <w:t>Es are relatively clo</w:t>
      </w:r>
      <w:r w:rsidR="00D04347" w:rsidRPr="00BB165A">
        <w:t>s</w:t>
      </w:r>
      <w:r w:rsidRPr="00BB165A">
        <w:t>e to the average cost per EFTSL</w:t>
      </w:r>
      <w:r w:rsidR="00D04347" w:rsidRPr="00BB165A">
        <w:t xml:space="preserve"> with </w:t>
      </w:r>
      <w:r w:rsidR="00D306B5" w:rsidRPr="00BB165A">
        <w:t>18</w:t>
      </w:r>
      <w:r w:rsidR="00E61269" w:rsidRPr="00BB165A">
        <w:t xml:space="preserve"> of the </w:t>
      </w:r>
      <w:r w:rsidR="00DC28E3" w:rsidRPr="00BB165A">
        <w:t>22</w:t>
      </w:r>
      <w:r w:rsidR="003A1A8B" w:rsidRPr="00BB165A">
        <w:t xml:space="preserve"> FOEs within 30% of the mean in 2019 </w:t>
      </w:r>
      <w:r w:rsidR="002F0433">
        <w:t>and</w:t>
      </w:r>
      <w:r w:rsidR="00D04347" w:rsidRPr="00BB165A">
        <w:t xml:space="preserve"> 2020. </w:t>
      </w:r>
      <w:r w:rsidR="00E81ABE" w:rsidRPr="00BB165A">
        <w:t>Of these</w:t>
      </w:r>
      <w:r w:rsidR="0065264D" w:rsidRPr="00BB165A">
        <w:t xml:space="preserve">, </w:t>
      </w:r>
      <w:r w:rsidR="000E6FF4">
        <w:t>five</w:t>
      </w:r>
      <w:r w:rsidR="000E6FF4" w:rsidRPr="00BB165A">
        <w:t xml:space="preserve"> </w:t>
      </w:r>
      <w:r w:rsidR="0065264D" w:rsidRPr="00BB165A">
        <w:t xml:space="preserve">are within 10% of the </w:t>
      </w:r>
      <w:r w:rsidR="00E81ABE" w:rsidRPr="00BB165A">
        <w:t>mean</w:t>
      </w:r>
      <w:r w:rsidR="0065264D" w:rsidRPr="00BB165A">
        <w:t xml:space="preserve"> </w:t>
      </w:r>
      <w:r w:rsidR="00E81ABE" w:rsidRPr="00BB165A">
        <w:t>in 2019</w:t>
      </w:r>
      <w:r w:rsidR="0065264D" w:rsidRPr="00BB165A">
        <w:t xml:space="preserve"> and </w:t>
      </w:r>
      <w:r w:rsidR="000E6FF4">
        <w:t>six</w:t>
      </w:r>
      <w:r w:rsidR="000E6FF4" w:rsidRPr="00BB165A">
        <w:t xml:space="preserve"> </w:t>
      </w:r>
      <w:r w:rsidR="00B35BF0" w:rsidRPr="00BB165A">
        <w:t xml:space="preserve">are within 10% of the </w:t>
      </w:r>
      <w:r w:rsidR="00E81ABE" w:rsidRPr="00BB165A">
        <w:t>mean in 2020</w:t>
      </w:r>
      <w:r w:rsidR="00FB5731">
        <w:t>.</w:t>
      </w:r>
      <w:r w:rsidR="00B35BF0">
        <w:t xml:space="preserve"> </w:t>
      </w:r>
    </w:p>
    <w:p w14:paraId="0D6080DF" w14:textId="631AAF8A" w:rsidR="002B4650" w:rsidRPr="00BB165A" w:rsidRDefault="00105603" w:rsidP="00105603">
      <w:pPr>
        <w:pStyle w:val="CaptionChart"/>
        <w:rPr>
          <w:lang w:eastAsia="en-AU"/>
        </w:rPr>
      </w:pPr>
      <w:bookmarkStart w:id="670" w:name="_Ref101862978"/>
      <w:bookmarkStart w:id="671" w:name="_Toc105776380"/>
      <w:r w:rsidRPr="00BB165A">
        <w:t xml:space="preserve">: </w:t>
      </w:r>
      <w:r w:rsidR="00782993" w:rsidRPr="00BB165A">
        <w:t>Cost per EFTSL, percentage</w:t>
      </w:r>
      <w:r w:rsidR="000678F5" w:rsidRPr="00BB165A">
        <w:t xml:space="preserve"> deviation from mean</w:t>
      </w:r>
      <w:r w:rsidRPr="00BB165A">
        <w:t xml:space="preserve">, all levels </w:t>
      </w:r>
      <w:r w:rsidR="00782993" w:rsidRPr="00BB165A">
        <w:t>(</w:t>
      </w:r>
      <w:r w:rsidRPr="00BB165A">
        <w:t>2019 and 2020</w:t>
      </w:r>
      <w:bookmarkEnd w:id="670"/>
      <w:r w:rsidR="00782993" w:rsidRPr="00BB165A">
        <w:t>)</w:t>
      </w:r>
      <w:bookmarkEnd w:id="671"/>
    </w:p>
    <w:p w14:paraId="3243DD57" w14:textId="78D15BBC" w:rsidR="00AF6936" w:rsidRPr="00BB165A" w:rsidRDefault="00AF6936">
      <w:r>
        <w:rPr>
          <w:noProof/>
        </w:rPr>
        <w:drawing>
          <wp:inline distT="0" distB="0" distL="0" distR="0" wp14:anchorId="12B92F4A" wp14:editId="236B01AA">
            <wp:extent cx="5019675" cy="3686175"/>
            <wp:effectExtent l="0" t="0" r="0" b="0"/>
            <wp:docPr id="597878539" name="Chart 597878539" descr="Chart showing the cost per EFTSL, percentage deviation from mean, all levels (2019 and 2020). Columns presented by field of education, with separate columns for 2019 and 2020 showing the percentage deviation from mean.">
              <a:extLst xmlns:a="http://schemas.openxmlformats.org/drawingml/2006/main">
                <a:ext uri="{FF2B5EF4-FFF2-40B4-BE49-F238E27FC236}">
                  <a16:creationId xmlns:a16="http://schemas.microsoft.com/office/drawing/2014/main" id="{7983FE72-0708-477C-A6EF-7BBC9B2079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54429A4" w14:textId="3F16BD70" w:rsidR="001C007F" w:rsidRPr="00BB165A" w:rsidRDefault="001C007F" w:rsidP="001C007F">
      <w:pPr>
        <w:pStyle w:val="Heading3un-numbered"/>
      </w:pPr>
      <w:r w:rsidRPr="00BB165A">
        <w:t xml:space="preserve">Variation by change in international student </w:t>
      </w:r>
      <w:r w:rsidR="00EE0EA0" w:rsidRPr="00BB165A">
        <w:t>enrolments</w:t>
      </w:r>
      <w:r w:rsidRPr="00BB165A">
        <w:t xml:space="preserve"> </w:t>
      </w:r>
    </w:p>
    <w:p w14:paraId="4874178B" w14:textId="278D7EAA" w:rsidR="00817177" w:rsidRPr="00BB165A" w:rsidRDefault="00817177">
      <w:r w:rsidRPr="00BB165A">
        <w:t xml:space="preserve">The closure of Australia’s international border </w:t>
      </w:r>
      <w:r w:rsidR="00124149" w:rsidRPr="00BB165A">
        <w:t>to non-</w:t>
      </w:r>
      <w:r w:rsidR="00CC2BCE" w:rsidRPr="00BB165A">
        <w:t xml:space="preserve">residents from 20 March 2020 to </w:t>
      </w:r>
      <w:r w:rsidR="00130442" w:rsidRPr="00BB165A">
        <w:t>21 February 2022</w:t>
      </w:r>
      <w:r w:rsidR="00A318DC" w:rsidRPr="00BB165A">
        <w:t xml:space="preserve"> weighed on the number of international student enrolments at Australian universities. </w:t>
      </w:r>
      <w:r w:rsidR="004D6398" w:rsidRPr="00BB165A">
        <w:t xml:space="preserve">In-scope overseas EFTSL enrolled for </w:t>
      </w:r>
      <w:r w:rsidR="001358D3" w:rsidRPr="00BB165A">
        <w:t xml:space="preserve">study at an Australian campus fell 10% in 2020. </w:t>
      </w:r>
      <w:r w:rsidR="00EF76C5" w:rsidRPr="00BB165A">
        <w:t xml:space="preserve">Yet the effects of this decline were </w:t>
      </w:r>
      <w:r w:rsidR="00643C10" w:rsidRPr="00BB165A">
        <w:t xml:space="preserve">uneven across FOEs and universities. </w:t>
      </w:r>
    </w:p>
    <w:p w14:paraId="1A4AADA3" w14:textId="05FE1375" w:rsidR="00805FAC" w:rsidRPr="00BB165A" w:rsidRDefault="0002179C">
      <w:r w:rsidRPr="00BB165A">
        <w:fldChar w:fldCharType="begin"/>
      </w:r>
      <w:r w:rsidRPr="00BB165A">
        <w:instrText xml:space="preserve"> REF _Ref101866304 \r \h </w:instrText>
      </w:r>
      <w:r w:rsidR="00344494" w:rsidRPr="00BB165A">
        <w:instrText xml:space="preserve"> \* MERGEFORMAT </w:instrText>
      </w:r>
      <w:r w:rsidRPr="00BB165A">
        <w:fldChar w:fldCharType="separate"/>
      </w:r>
      <w:r w:rsidR="00804998">
        <w:t>Chart 2.31</w:t>
      </w:r>
      <w:r w:rsidRPr="00BB165A">
        <w:fldChar w:fldCharType="end"/>
      </w:r>
      <w:bookmarkStart w:id="672" w:name="_Toc447626781"/>
      <w:r w:rsidRPr="00BB165A">
        <w:t xml:space="preserve"> below </w:t>
      </w:r>
      <w:r w:rsidR="00D75859" w:rsidRPr="00BB165A">
        <w:t>shows</w:t>
      </w:r>
      <w:r w:rsidRPr="00BB165A">
        <w:t xml:space="preserve"> the change in overseas EFTSL by F</w:t>
      </w:r>
      <w:r w:rsidR="002F40F3" w:rsidRPr="00BB165A">
        <w:t>O</w:t>
      </w:r>
      <w:r w:rsidRPr="00BB165A">
        <w:t>E from 2019 to 2020. Most F</w:t>
      </w:r>
      <w:r w:rsidR="002F40F3" w:rsidRPr="00BB165A">
        <w:t>O</w:t>
      </w:r>
      <w:r w:rsidRPr="00BB165A">
        <w:t>Es (</w:t>
      </w:r>
      <w:r w:rsidR="00800676" w:rsidRPr="00BB165A">
        <w:t>1</w:t>
      </w:r>
      <w:r w:rsidR="008206B7">
        <w:t>7</w:t>
      </w:r>
      <w:r w:rsidR="00800676" w:rsidRPr="00BB165A">
        <w:t xml:space="preserve"> out of 2</w:t>
      </w:r>
      <w:r w:rsidR="008206B7">
        <w:t>2</w:t>
      </w:r>
      <w:r w:rsidR="00800676" w:rsidRPr="00BB165A">
        <w:t xml:space="preserve">) saw a </w:t>
      </w:r>
      <w:r w:rsidR="00D75859" w:rsidRPr="00BB165A">
        <w:t>decline</w:t>
      </w:r>
      <w:r w:rsidR="00800676" w:rsidRPr="00BB165A">
        <w:t xml:space="preserve"> in EFTSL</w:t>
      </w:r>
      <w:r w:rsidR="000E04D8" w:rsidRPr="00BB165A">
        <w:t>,</w:t>
      </w:r>
      <w:r w:rsidR="00800676" w:rsidRPr="00BB165A">
        <w:t xml:space="preserve"> </w:t>
      </w:r>
      <w:r w:rsidR="00B71E45" w:rsidRPr="00BB165A">
        <w:t>with</w:t>
      </w:r>
      <w:r w:rsidR="00800676" w:rsidRPr="00BB165A">
        <w:t xml:space="preserve"> the largest declines being in Food, Hospitality</w:t>
      </w:r>
      <w:r w:rsidR="00D75859" w:rsidRPr="00BB165A">
        <w:t xml:space="preserve"> and Personal Services largely reflecting the small number of </w:t>
      </w:r>
      <w:r w:rsidR="00B71E45" w:rsidRPr="00BB165A">
        <w:t>overseas</w:t>
      </w:r>
      <w:r w:rsidR="00D75859" w:rsidRPr="00BB165A">
        <w:t xml:space="preserve"> </w:t>
      </w:r>
      <w:r w:rsidR="00B71E45" w:rsidRPr="00BB165A">
        <w:t xml:space="preserve">EFTSL </w:t>
      </w:r>
      <w:r w:rsidR="00344494" w:rsidRPr="00BB165A">
        <w:t>to begin with</w:t>
      </w:r>
      <w:r w:rsidR="00B71E45" w:rsidRPr="00BB165A">
        <w:t xml:space="preserve"> (</w:t>
      </w:r>
      <w:r w:rsidR="00344494" w:rsidRPr="00BB165A">
        <w:t xml:space="preserve">there were fewer than 50 </w:t>
      </w:r>
      <w:r w:rsidR="00B71E45" w:rsidRPr="00BB165A">
        <w:t xml:space="preserve">overseas EFTSL </w:t>
      </w:r>
      <w:r w:rsidR="0040782D" w:rsidRPr="00BB165A">
        <w:t>across all universities</w:t>
      </w:r>
      <w:r w:rsidR="00B71E45" w:rsidRPr="00BB165A">
        <w:t xml:space="preserve"> in 2019). </w:t>
      </w:r>
      <w:r w:rsidR="00805FAC" w:rsidRPr="00BB165A">
        <w:t>Other F</w:t>
      </w:r>
      <w:r w:rsidR="00F96868" w:rsidRPr="00BB165A">
        <w:t>O</w:t>
      </w:r>
      <w:r w:rsidR="004C1D17" w:rsidRPr="00BB165A">
        <w:t>E</w:t>
      </w:r>
      <w:r w:rsidR="00805FAC" w:rsidRPr="00BB165A">
        <w:t xml:space="preserve">s that saw larger falls were Foreign </w:t>
      </w:r>
      <w:r w:rsidR="004C1D17" w:rsidRPr="00BB165A">
        <w:t>Language</w:t>
      </w:r>
      <w:r w:rsidR="00805FAC" w:rsidRPr="00BB165A">
        <w:t xml:space="preserve"> </w:t>
      </w:r>
      <w:r w:rsidR="004C1D17" w:rsidRPr="00BB165A">
        <w:t>Studies</w:t>
      </w:r>
      <w:r w:rsidR="00805FAC" w:rsidRPr="00BB165A">
        <w:t xml:space="preserve"> (-21%), </w:t>
      </w:r>
      <w:r w:rsidR="004C1D17" w:rsidRPr="00BB165A">
        <w:t xml:space="preserve">Management and Commerce (-16%) and Architecture (-15%). </w:t>
      </w:r>
    </w:p>
    <w:p w14:paraId="67CD1FA2" w14:textId="20C601A4" w:rsidR="004C1D17" w:rsidRPr="00BB165A" w:rsidRDefault="004E3892">
      <w:r w:rsidRPr="00BB165A">
        <w:t>The five F</w:t>
      </w:r>
      <w:r w:rsidR="00F96868" w:rsidRPr="00BB165A">
        <w:t>O</w:t>
      </w:r>
      <w:r w:rsidRPr="00BB165A">
        <w:t xml:space="preserve">Es that </w:t>
      </w:r>
      <w:r w:rsidR="008C5E24" w:rsidRPr="00BB165A">
        <w:t>experienced</w:t>
      </w:r>
      <w:r w:rsidRPr="00BB165A">
        <w:t xml:space="preserve"> an increase in overseas student EFTSL were largely those related to medical degrees</w:t>
      </w:r>
      <w:r w:rsidR="008C5E24" w:rsidRPr="00BB165A">
        <w:t xml:space="preserve"> </w:t>
      </w:r>
      <w:r w:rsidR="00344494" w:rsidRPr="00BB165A">
        <w:t xml:space="preserve">such as </w:t>
      </w:r>
      <w:r w:rsidR="008C5E24" w:rsidRPr="00BB165A">
        <w:t>Medical Science</w:t>
      </w:r>
      <w:r w:rsidR="00344494" w:rsidRPr="00BB165A">
        <w:t xml:space="preserve"> (</w:t>
      </w:r>
      <w:r w:rsidR="00897F8E" w:rsidRPr="00BB165A">
        <w:t>12%)</w:t>
      </w:r>
      <w:r w:rsidR="008C5E24" w:rsidRPr="00BB165A">
        <w:t>, Veterinary Studies</w:t>
      </w:r>
      <w:r w:rsidR="00897F8E" w:rsidRPr="00BB165A">
        <w:t xml:space="preserve"> (8%)</w:t>
      </w:r>
      <w:r w:rsidR="008C5E24" w:rsidRPr="00BB165A">
        <w:t>, Nursing</w:t>
      </w:r>
      <w:r w:rsidR="00897F8E" w:rsidRPr="00BB165A">
        <w:t xml:space="preserve"> (6%)</w:t>
      </w:r>
      <w:r w:rsidR="008C5E24" w:rsidRPr="00BB165A">
        <w:t xml:space="preserve">, Dental </w:t>
      </w:r>
      <w:r w:rsidR="00897F8E" w:rsidRPr="00BB165A">
        <w:t xml:space="preserve">(4%) </w:t>
      </w:r>
      <w:r w:rsidR="008C5E24" w:rsidRPr="00BB165A">
        <w:t>and Psychology</w:t>
      </w:r>
      <w:r w:rsidR="00897F8E" w:rsidRPr="00BB165A">
        <w:t xml:space="preserve"> (2%)</w:t>
      </w:r>
      <w:r w:rsidR="008C5E24" w:rsidRPr="00BB165A">
        <w:t xml:space="preserve">. </w:t>
      </w:r>
    </w:p>
    <w:p w14:paraId="0537AD9C" w14:textId="0DE801B9" w:rsidR="0002179C" w:rsidRPr="00BB165A" w:rsidRDefault="0002179C" w:rsidP="0002179C">
      <w:pPr>
        <w:pStyle w:val="CaptionChart"/>
        <w:rPr>
          <w:lang w:eastAsia="en-AU"/>
        </w:rPr>
      </w:pPr>
      <w:bookmarkStart w:id="673" w:name="_Ref101866304"/>
      <w:bookmarkStart w:id="674" w:name="_Toc105776381"/>
      <w:r w:rsidRPr="00BB165A">
        <w:t xml:space="preserve">: </w:t>
      </w:r>
      <w:r w:rsidR="001F0AEB" w:rsidRPr="00BB165A">
        <w:t>Percentage c</w:t>
      </w:r>
      <w:r w:rsidRPr="00BB165A">
        <w:t xml:space="preserve">hange in </w:t>
      </w:r>
      <w:r w:rsidR="001F0AEB" w:rsidRPr="00BB165A">
        <w:t>in-scope</w:t>
      </w:r>
      <w:r w:rsidRPr="00BB165A">
        <w:t xml:space="preserve"> overseas student EFTSL by F</w:t>
      </w:r>
      <w:r w:rsidR="002F40F3" w:rsidRPr="00BB165A">
        <w:t>O</w:t>
      </w:r>
      <w:r w:rsidRPr="00BB165A">
        <w:t xml:space="preserve">E, </w:t>
      </w:r>
      <w:r w:rsidR="00360D49" w:rsidRPr="00BB165A">
        <w:t xml:space="preserve">all levels </w:t>
      </w:r>
      <w:r w:rsidR="001F0AEB" w:rsidRPr="00BB165A">
        <w:t>(</w:t>
      </w:r>
      <w:r w:rsidRPr="00BB165A">
        <w:t>2020</w:t>
      </w:r>
      <w:bookmarkEnd w:id="673"/>
      <w:r w:rsidR="001F0AEB" w:rsidRPr="00BB165A">
        <w:t>)</w:t>
      </w:r>
      <w:bookmarkEnd w:id="674"/>
    </w:p>
    <w:p w14:paraId="7F08D047" w14:textId="787A081D" w:rsidR="003E040D" w:rsidRPr="00BB165A" w:rsidRDefault="003E040D">
      <w:r>
        <w:rPr>
          <w:noProof/>
        </w:rPr>
        <w:drawing>
          <wp:inline distT="0" distB="0" distL="0" distR="0" wp14:anchorId="7C962B3B" wp14:editId="11829C7B">
            <wp:extent cx="5760720" cy="3667125"/>
            <wp:effectExtent l="0" t="0" r="0" b="0"/>
            <wp:docPr id="597878540" name="Chart 597878540" descr="Chart showing percentage change in in-scope overseas student EFTSL by FOE, all levels (2020). Presented by FoE showing the percentage deviation in columns for the relevant FoE. ">
              <a:extLst xmlns:a="http://schemas.openxmlformats.org/drawingml/2006/main">
                <a:ext uri="{FF2B5EF4-FFF2-40B4-BE49-F238E27FC236}">
                  <a16:creationId xmlns:a16="http://schemas.microsoft.com/office/drawing/2014/main" id="{007DFA39-1D46-4BC2-A04A-F1F684C2CC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9224E4B" w14:textId="67B5BF5F" w:rsidR="0002179C" w:rsidRDefault="0002179C" w:rsidP="0002179C">
      <w:pPr>
        <w:pStyle w:val="Source"/>
      </w:pPr>
      <w:r w:rsidRPr="00BB165A">
        <w:t>Source: Deloitte Access Economics.</w:t>
      </w:r>
      <w:r w:rsidR="007F2D6B" w:rsidRPr="00BB165A">
        <w:t xml:space="preserve"> Change in EFTSL excludes short courses which were only introduced in 2020</w:t>
      </w:r>
    </w:p>
    <w:p w14:paraId="3F2EAF56" w14:textId="093DD5BF" w:rsidR="00586C10" w:rsidRPr="0085050A" w:rsidRDefault="007B680A" w:rsidP="006B3199">
      <w:pPr>
        <w:rPr>
          <w:noProof/>
        </w:rPr>
      </w:pPr>
      <w:r>
        <w:t>Overall,</w:t>
      </w:r>
      <w:r w:rsidR="00586C10">
        <w:t xml:space="preserve"> there is a small</w:t>
      </w:r>
      <w:r w:rsidR="00751BA2" w:rsidRPr="00BB165A">
        <w:t xml:space="preserve"> </w:t>
      </w:r>
      <w:r w:rsidR="002E047C" w:rsidRPr="00BB165A">
        <w:t>positive</w:t>
      </w:r>
      <w:r w:rsidR="00751BA2" w:rsidRPr="00BB165A">
        <w:t xml:space="preserve"> correlation </w:t>
      </w:r>
      <w:r w:rsidR="00586C10">
        <w:t>(0.07)</w:t>
      </w:r>
      <w:r w:rsidR="00751BA2" w:rsidRPr="00BB165A">
        <w:t xml:space="preserve"> between </w:t>
      </w:r>
      <w:r w:rsidR="002E047C" w:rsidRPr="00BB165A">
        <w:t xml:space="preserve">the change in overseas EFTSL and change in costs between 2019 and 2020. </w:t>
      </w:r>
      <w:r w:rsidR="00586C10">
        <w:t xml:space="preserve">For bachelor level study the </w:t>
      </w:r>
      <w:r w:rsidR="00D43C43">
        <w:t>correlation</w:t>
      </w:r>
      <w:r w:rsidR="00D10D80">
        <w:t xml:space="preserve"> is much higher, at 0.57 while for postgraduate</w:t>
      </w:r>
      <w:r w:rsidR="00DD0532">
        <w:t xml:space="preserve"> the correlation is </w:t>
      </w:r>
      <w:r w:rsidR="005D2769">
        <w:t>negative</w:t>
      </w:r>
      <w:r w:rsidR="00DD0532">
        <w:t xml:space="preserve"> (-</w:t>
      </w:r>
      <w:r w:rsidR="000D5F89">
        <w:t>0</w:t>
      </w:r>
      <w:r w:rsidR="00DD0532">
        <w:t>.20)</w:t>
      </w:r>
      <w:r w:rsidR="004569F1" w:rsidRPr="00BB165A">
        <w:t>.</w:t>
      </w:r>
      <w:r w:rsidR="00D10D80">
        <w:t xml:space="preserve"> Correlation is not reported for </w:t>
      </w:r>
      <w:r w:rsidR="00DD0532">
        <w:t>sub bachelor</w:t>
      </w:r>
      <w:r w:rsidR="00D10D80">
        <w:t xml:space="preserve"> students as there are relatively few overseas EFTSL. </w:t>
      </w:r>
    </w:p>
    <w:p w14:paraId="4B170AA6" w14:textId="59AD8C7F" w:rsidR="00DA26DE" w:rsidRPr="00BB165A" w:rsidRDefault="009E15C8">
      <w:r w:rsidRPr="00BB165A">
        <w:t xml:space="preserve">Overall, </w:t>
      </w:r>
      <w:r w:rsidR="00723B56" w:rsidRPr="00BB165A">
        <w:t xml:space="preserve">28 out of 37 universities saw a decline in </w:t>
      </w:r>
      <w:r w:rsidR="00BD70BD" w:rsidRPr="00BB165A">
        <w:t xml:space="preserve">in-scope </w:t>
      </w:r>
      <w:r w:rsidR="00723B56" w:rsidRPr="00BB165A">
        <w:t>overseas student EFTSL in 2020</w:t>
      </w:r>
      <w:r w:rsidR="00312A70" w:rsidRPr="00BB165A">
        <w:t xml:space="preserve"> while nine saw an increase. </w:t>
      </w:r>
      <w:r w:rsidR="003E5BF6" w:rsidRPr="00BB165A">
        <w:t xml:space="preserve">For those 28 </w:t>
      </w:r>
      <w:r w:rsidR="007873B4" w:rsidRPr="00BB165A">
        <w:t>universities</w:t>
      </w:r>
      <w:r w:rsidR="00BD70BD" w:rsidRPr="00BB165A">
        <w:t>,</w:t>
      </w:r>
      <w:r w:rsidR="003E5BF6" w:rsidRPr="00BB165A">
        <w:t xml:space="preserve"> the average fall in </w:t>
      </w:r>
      <w:r w:rsidR="00535DBD" w:rsidRPr="00BB165A">
        <w:t>overseas</w:t>
      </w:r>
      <w:r w:rsidR="003E5BF6" w:rsidRPr="00BB165A">
        <w:t xml:space="preserve"> EFTSL was </w:t>
      </w:r>
      <w:r w:rsidR="007873B4" w:rsidRPr="00BB165A">
        <w:t>14.7</w:t>
      </w:r>
      <w:r w:rsidR="003E5BF6" w:rsidRPr="00BB165A">
        <w:t xml:space="preserve">% </w:t>
      </w:r>
      <w:r w:rsidR="00535DBD" w:rsidRPr="00BB165A">
        <w:t xml:space="preserve">while for the nine that saw an increase the average </w:t>
      </w:r>
      <w:r w:rsidR="0040782D" w:rsidRPr="00BB165A">
        <w:t xml:space="preserve">increase </w:t>
      </w:r>
      <w:r w:rsidR="00535DBD" w:rsidRPr="00BB165A">
        <w:t>was around 4.5%</w:t>
      </w:r>
      <w:r w:rsidR="007873B4" w:rsidRPr="00BB165A">
        <w:t>.</w:t>
      </w:r>
    </w:p>
    <w:p w14:paraId="510FFE5B" w14:textId="208E8C77" w:rsidR="007873B4" w:rsidRPr="00BB165A" w:rsidRDefault="007873B4">
      <w:r w:rsidRPr="00BB165A">
        <w:t>The largest falls recorded tended to be for regional universities</w:t>
      </w:r>
      <w:r w:rsidR="00DF1C18" w:rsidRPr="00BB165A">
        <w:t>,</w:t>
      </w:r>
      <w:r w:rsidR="0040782D" w:rsidRPr="00BB165A">
        <w:t xml:space="preserve"> with t</w:t>
      </w:r>
      <w:r w:rsidRPr="00BB165A">
        <w:t xml:space="preserve">he largest declines </w:t>
      </w:r>
      <w:r w:rsidR="0048281B" w:rsidRPr="00BB165A">
        <w:t>for</w:t>
      </w:r>
      <w:r w:rsidRPr="00BB165A">
        <w:t xml:space="preserve"> </w:t>
      </w:r>
      <w:r w:rsidR="001A77BE" w:rsidRPr="00BB165A">
        <w:t xml:space="preserve">Central Queensland University </w:t>
      </w:r>
      <w:r w:rsidRPr="00BB165A">
        <w:t xml:space="preserve">(-36.5%), </w:t>
      </w:r>
      <w:r w:rsidR="001A77BE" w:rsidRPr="00BB165A">
        <w:t>Charles Sturt University</w:t>
      </w:r>
      <w:r w:rsidRPr="00BB165A">
        <w:t xml:space="preserve"> (-33.4%) and </w:t>
      </w:r>
      <w:r w:rsidR="00064F52" w:rsidRPr="00BB165A">
        <w:t>The University of the Sunshine Coast</w:t>
      </w:r>
      <w:r w:rsidRPr="00BB165A">
        <w:t xml:space="preserve"> (-31.7%). </w:t>
      </w:r>
      <w:r w:rsidR="002210C7" w:rsidRPr="00BB165A">
        <w:t xml:space="preserve">The largest gains </w:t>
      </w:r>
      <w:r w:rsidR="001D6F72" w:rsidRPr="00BB165A">
        <w:t xml:space="preserve">were seen </w:t>
      </w:r>
      <w:r w:rsidR="001A77BE" w:rsidRPr="00BB165A">
        <w:t xml:space="preserve">at </w:t>
      </w:r>
      <w:r w:rsidR="00684F82" w:rsidRPr="00BB165A">
        <w:t>Charles Darwin University (20.8%), the University of Adelaide (5.8%) and the University of Canberra (5.3%)</w:t>
      </w:r>
      <w:r w:rsidR="003610E6" w:rsidRPr="00BB165A">
        <w:t>.</w:t>
      </w:r>
    </w:p>
    <w:p w14:paraId="09A31E6B" w14:textId="4910816E" w:rsidR="00542A06" w:rsidRPr="00EA03C4" w:rsidRDefault="001417AA" w:rsidP="001417AA">
      <w:pPr>
        <w:pStyle w:val="CaptionChart"/>
        <w:rPr>
          <w:lang w:eastAsia="en-AU"/>
        </w:rPr>
      </w:pPr>
      <w:bookmarkStart w:id="675" w:name="_Toc105776382"/>
      <w:r w:rsidRPr="00EA03C4">
        <w:t xml:space="preserve">: Change in overseas student EFTSL by university </w:t>
      </w:r>
      <w:r w:rsidR="009908EC" w:rsidRPr="00EA03C4">
        <w:t>(2020)</w:t>
      </w:r>
      <w:bookmarkEnd w:id="675"/>
    </w:p>
    <w:p w14:paraId="197438F4" w14:textId="44C9775B" w:rsidR="00542A06" w:rsidRDefault="00225818">
      <w:r>
        <w:rPr>
          <w:noProof/>
        </w:rPr>
        <w:drawing>
          <wp:inline distT="0" distB="0" distL="0" distR="0" wp14:anchorId="7314621B" wp14:editId="186F0DC8">
            <wp:extent cx="5760720" cy="3640455"/>
            <wp:effectExtent l="0" t="0" r="0" b="0"/>
            <wp:docPr id="5" name="Chart 5" descr="Chart showing the change in overseas student EFTSL by university (2020). Shows the percentage change for each university de-identified as columns, with the total percentage change for all presented as a column.">
              <a:extLst xmlns:a="http://schemas.openxmlformats.org/drawingml/2006/main">
                <a:ext uri="{FF2B5EF4-FFF2-40B4-BE49-F238E27FC236}">
                  <a16:creationId xmlns:a16="http://schemas.microsoft.com/office/drawing/2014/main" id="{C8CD1B09-9D8B-43F4-B950-F404C62CDA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D2529B7" w14:textId="33D31526" w:rsidR="001417AA" w:rsidRDefault="00F65FC6" w:rsidP="00F65FC6">
      <w:pPr>
        <w:pStyle w:val="Source"/>
      </w:pPr>
      <w:r w:rsidRPr="00BB165A">
        <w:t xml:space="preserve">Note: Change in EFTSL excludes short courses which were only introduced in 2020. </w:t>
      </w:r>
    </w:p>
    <w:p w14:paraId="299B5A8D" w14:textId="7EA9568F" w:rsidR="00312A70" w:rsidRPr="00312A70" w:rsidRDefault="005D2769" w:rsidP="00312A70">
      <w:r>
        <w:t>Overall,</w:t>
      </w:r>
      <w:r w:rsidR="00312A70" w:rsidRPr="00BB165A">
        <w:t xml:space="preserve"> there is a </w:t>
      </w:r>
      <w:r w:rsidR="00F96868" w:rsidRPr="00BB165A">
        <w:t>negative</w:t>
      </w:r>
      <w:r w:rsidR="00312A70" w:rsidRPr="00BB165A">
        <w:t xml:space="preserve"> correlation between the change in overseas EFTSL and change in costs </w:t>
      </w:r>
      <w:r w:rsidR="00F96868" w:rsidRPr="00BB165A">
        <w:t xml:space="preserve">by university. </w:t>
      </w:r>
      <w:r w:rsidR="001C25AF">
        <w:t xml:space="preserve">For </w:t>
      </w:r>
      <w:r w:rsidR="00DE6D7B">
        <w:t xml:space="preserve">all levels of study, the correlation is -0.37 while for bachelor and postgraduate levels of study the correlations are -0.30 and -0.29 respectively. Correlation for sub bachelor level of study is not reported due to relatively low EFTSL. </w:t>
      </w:r>
    </w:p>
    <w:p w14:paraId="74FD1A53" w14:textId="37F0953A" w:rsidR="00DA26DE" w:rsidRPr="00BB165A" w:rsidRDefault="00DA26DE"/>
    <w:p w14:paraId="77DCFDE6" w14:textId="4AFFE37D" w:rsidR="00DA26DE" w:rsidRPr="00BB165A" w:rsidRDefault="00807290" w:rsidP="00DA26DE">
      <w:pPr>
        <w:pStyle w:val="Heading1"/>
      </w:pPr>
      <w:bookmarkStart w:id="676" w:name="_Toc105776193"/>
      <w:r w:rsidRPr="00BB165A">
        <w:t xml:space="preserve">Effects of </w:t>
      </w:r>
      <w:r w:rsidR="00DA26DE" w:rsidRPr="00BB165A">
        <w:t xml:space="preserve">COVID-19 </w:t>
      </w:r>
      <w:r w:rsidRPr="00BB165A">
        <w:t>on</w:t>
      </w:r>
      <w:r>
        <w:t xml:space="preserve"> </w:t>
      </w:r>
      <w:r w:rsidRPr="00BB165A">
        <w:t>teaching and scholarship</w:t>
      </w:r>
      <w:r w:rsidR="00112988" w:rsidRPr="00BB165A">
        <w:t xml:space="preserve"> costs</w:t>
      </w:r>
      <w:bookmarkEnd w:id="676"/>
    </w:p>
    <w:p w14:paraId="5AB6FA4E" w14:textId="409E115E" w:rsidR="00E728EF" w:rsidRPr="00BB165A" w:rsidRDefault="00EC349F" w:rsidP="00EC349F">
      <w:r w:rsidRPr="00BB165A">
        <w:t xml:space="preserve">The COVID-19 pandemic had a significant impact on </w:t>
      </w:r>
      <w:r w:rsidR="004F3E96" w:rsidRPr="00BB165A">
        <w:t xml:space="preserve">the </w:t>
      </w:r>
      <w:r w:rsidR="007910BE" w:rsidRPr="00BB165A">
        <w:t xml:space="preserve">financial performance </w:t>
      </w:r>
      <w:r w:rsidR="00E468DB" w:rsidRPr="00BB165A">
        <w:t xml:space="preserve">of </w:t>
      </w:r>
      <w:r w:rsidR="00F15AB0" w:rsidRPr="00BB165A">
        <w:t xml:space="preserve">many Australian universities </w:t>
      </w:r>
      <w:r w:rsidR="007910BE" w:rsidRPr="00BB165A">
        <w:t>in 2020</w:t>
      </w:r>
      <w:r w:rsidRPr="00BB165A">
        <w:t xml:space="preserve">. </w:t>
      </w:r>
      <w:r w:rsidR="00E728EF" w:rsidRPr="00BB165A">
        <w:t>This chapter examines the effects of the pandemic on university teaching an</w:t>
      </w:r>
      <w:r w:rsidR="00CB35E6" w:rsidRPr="00BB165A">
        <w:t>d</w:t>
      </w:r>
      <w:r w:rsidR="00E728EF" w:rsidRPr="00BB165A">
        <w:t xml:space="preserve"> </w:t>
      </w:r>
      <w:r w:rsidR="00CB35E6" w:rsidRPr="00BB165A">
        <w:t>scholarship</w:t>
      </w:r>
      <w:r w:rsidR="00E728EF" w:rsidRPr="00BB165A">
        <w:t xml:space="preserve"> costs</w:t>
      </w:r>
      <w:r w:rsidR="001641E8" w:rsidRPr="00BB165A">
        <w:t xml:space="preserve">. The analysis uses data provided by </w:t>
      </w:r>
      <w:r w:rsidR="00A65B37" w:rsidRPr="00BB165A">
        <w:t>universities</w:t>
      </w:r>
      <w:r w:rsidR="001641E8" w:rsidRPr="00BB165A">
        <w:t xml:space="preserve"> </w:t>
      </w:r>
      <w:r w:rsidR="003F7564" w:rsidRPr="00BB165A">
        <w:t xml:space="preserve">that were able to quantify the </w:t>
      </w:r>
      <w:r w:rsidR="00D8155C" w:rsidRPr="00BB165A">
        <w:t>effect</w:t>
      </w:r>
      <w:r w:rsidR="00007CD0" w:rsidRPr="00BB165A">
        <w:t xml:space="preserve"> </w:t>
      </w:r>
      <w:r w:rsidR="002016AE" w:rsidRPr="00BB165A">
        <w:t xml:space="preserve">of </w:t>
      </w:r>
      <w:r w:rsidR="00D8155C" w:rsidRPr="00BB165A">
        <w:t>COVID</w:t>
      </w:r>
      <w:r w:rsidR="0098535F">
        <w:t>-19</w:t>
      </w:r>
      <w:r w:rsidR="00D8155C" w:rsidRPr="00BB165A">
        <w:t xml:space="preserve"> on </w:t>
      </w:r>
      <w:r w:rsidR="007D36A0" w:rsidRPr="00BB165A">
        <w:t xml:space="preserve">teaching </w:t>
      </w:r>
      <w:r w:rsidR="002016AE" w:rsidRPr="00BB165A">
        <w:t>costs</w:t>
      </w:r>
      <w:r w:rsidR="007D36A0" w:rsidRPr="00BB165A">
        <w:t>,</w:t>
      </w:r>
      <w:r w:rsidR="002016AE" w:rsidRPr="00BB165A">
        <w:t xml:space="preserve"> </w:t>
      </w:r>
      <w:r w:rsidR="00007CD0" w:rsidRPr="00BB165A">
        <w:t xml:space="preserve">as well as </w:t>
      </w:r>
      <w:r w:rsidR="00DC473F" w:rsidRPr="00BB165A">
        <w:t>reflections</w:t>
      </w:r>
      <w:r w:rsidR="00007CD0" w:rsidRPr="00BB165A">
        <w:t xml:space="preserve"> from </w:t>
      </w:r>
      <w:r w:rsidR="00DC473F" w:rsidRPr="00BB165A">
        <w:t>universities</w:t>
      </w:r>
      <w:r w:rsidR="00007CD0" w:rsidRPr="00BB165A">
        <w:t xml:space="preserve"> on </w:t>
      </w:r>
      <w:r w:rsidR="002C0004" w:rsidRPr="00BB165A">
        <w:t>how COVID</w:t>
      </w:r>
      <w:r w:rsidR="0098535F">
        <w:t>-19</w:t>
      </w:r>
      <w:r w:rsidR="002C0004" w:rsidRPr="00BB165A">
        <w:t xml:space="preserve"> has affected operations. </w:t>
      </w:r>
    </w:p>
    <w:p w14:paraId="111E3B94" w14:textId="77777777" w:rsidR="00807290" w:rsidRPr="00BB165A" w:rsidRDefault="00807290" w:rsidP="00807290">
      <w:r w:rsidRPr="00BB165A">
        <w:t xml:space="preserve">The remainder of this chapter is structured as follows: </w:t>
      </w:r>
    </w:p>
    <w:p w14:paraId="4FE05EDA" w14:textId="3EB6BEFA" w:rsidR="00807290" w:rsidRPr="00BB165A" w:rsidRDefault="00807290" w:rsidP="00046245">
      <w:pPr>
        <w:pStyle w:val="ListBullet"/>
      </w:pPr>
      <w:r w:rsidRPr="00BB165A">
        <w:t xml:space="preserve">Section 3.1 presents the key considerations </w:t>
      </w:r>
      <w:r w:rsidR="00CB35E6" w:rsidRPr="00BB165A">
        <w:t xml:space="preserve">from the optional COVID-19 tab that was completed as part of the </w:t>
      </w:r>
      <w:r w:rsidR="00347D7F" w:rsidRPr="00BB165A">
        <w:t>2022</w:t>
      </w:r>
      <w:r w:rsidR="00C21986" w:rsidRPr="00BB165A">
        <w:t xml:space="preserve"> study</w:t>
      </w:r>
      <w:r w:rsidR="00CB35E6" w:rsidRPr="00BB165A">
        <w:t xml:space="preserve">. </w:t>
      </w:r>
    </w:p>
    <w:p w14:paraId="6DA3B2F9" w14:textId="41727969" w:rsidR="00807290" w:rsidRPr="00BB165A" w:rsidRDefault="00807290" w:rsidP="00046245">
      <w:pPr>
        <w:pStyle w:val="ListBullet"/>
      </w:pPr>
      <w:r w:rsidRPr="00BB165A">
        <w:t xml:space="preserve">Section 3.2 </w:t>
      </w:r>
      <w:r w:rsidR="00A85B3C" w:rsidRPr="00BB165A">
        <w:t xml:space="preserve">discusses university reflections on </w:t>
      </w:r>
      <w:r w:rsidR="00C4304C" w:rsidRPr="00BB165A">
        <w:t xml:space="preserve">the impact of </w:t>
      </w:r>
      <w:r w:rsidR="00A85B3C" w:rsidRPr="00BB165A">
        <w:t>COVID-19</w:t>
      </w:r>
      <w:r w:rsidR="00C4304C" w:rsidRPr="00BB165A">
        <w:t xml:space="preserve"> on the cost of teaching gathered via </w:t>
      </w:r>
      <w:r w:rsidR="005E3C11" w:rsidRPr="00BB165A">
        <w:t xml:space="preserve">consultation with the sector </w:t>
      </w:r>
      <w:r w:rsidR="001C691A" w:rsidRPr="00BB165A">
        <w:t xml:space="preserve">during the 2022 study and </w:t>
      </w:r>
      <w:r w:rsidR="00A87BE3" w:rsidRPr="00BB165A">
        <w:t>commentary from universities provided</w:t>
      </w:r>
      <w:r w:rsidR="001C691A" w:rsidRPr="00BB165A">
        <w:t xml:space="preserve"> in the </w:t>
      </w:r>
      <w:r w:rsidR="00696857" w:rsidRPr="00BB165A">
        <w:t>S</w:t>
      </w:r>
      <w:r w:rsidR="001C691A" w:rsidRPr="00BB165A">
        <w:t xml:space="preserve">upporting </w:t>
      </w:r>
      <w:r w:rsidR="00696857" w:rsidRPr="00BB165A">
        <w:t>S</w:t>
      </w:r>
      <w:r w:rsidR="001C691A" w:rsidRPr="00BB165A">
        <w:t>tatement for 2020 data.</w:t>
      </w:r>
    </w:p>
    <w:p w14:paraId="196701EA" w14:textId="4D54D517" w:rsidR="00E5205B" w:rsidRPr="00BB165A" w:rsidRDefault="00E5205B" w:rsidP="00416131">
      <w:pPr>
        <w:pStyle w:val="ListBullet"/>
        <w:spacing w:after="240"/>
      </w:pPr>
      <w:r w:rsidRPr="00BB165A">
        <w:t xml:space="preserve">Section 3.3 </w:t>
      </w:r>
      <w:r w:rsidR="0054371E" w:rsidRPr="00BB165A">
        <w:t>discusses</w:t>
      </w:r>
      <w:r w:rsidRPr="00BB165A">
        <w:t xml:space="preserve"> the key </w:t>
      </w:r>
      <w:r w:rsidR="0054371E" w:rsidRPr="00BB165A">
        <w:t>caveats</w:t>
      </w:r>
      <w:r w:rsidRPr="00BB165A">
        <w:t xml:space="preserve"> an</w:t>
      </w:r>
      <w:r w:rsidR="0054371E" w:rsidRPr="00BB165A">
        <w:t>d</w:t>
      </w:r>
      <w:r w:rsidRPr="00BB165A">
        <w:t xml:space="preserve"> </w:t>
      </w:r>
      <w:r w:rsidR="0054371E" w:rsidRPr="00BB165A">
        <w:t>limitations</w:t>
      </w:r>
      <w:r w:rsidRPr="00BB165A">
        <w:t xml:space="preserve"> in </w:t>
      </w:r>
      <w:r w:rsidR="0054371E" w:rsidRPr="00BB165A">
        <w:t>examining</w:t>
      </w:r>
      <w:r w:rsidRPr="00BB165A">
        <w:t xml:space="preserve"> COVID-19 related </w:t>
      </w:r>
      <w:r w:rsidR="0054371E" w:rsidRPr="00BB165A">
        <w:t xml:space="preserve">costs. </w:t>
      </w:r>
    </w:p>
    <w:p w14:paraId="52DDF00C" w14:textId="0B0DFF29" w:rsidR="00235E3E" w:rsidRPr="00BB165A" w:rsidRDefault="00235E3E" w:rsidP="00416131">
      <w:pPr>
        <w:spacing w:before="240"/>
      </w:pPr>
      <w:r>
        <w:t xml:space="preserve">This chapter considers </w:t>
      </w:r>
      <w:r w:rsidR="00B3650A">
        <w:t xml:space="preserve">the impact COVID-19 </w:t>
      </w:r>
      <w:r w:rsidR="00F14BFB">
        <w:t xml:space="preserve">had </w:t>
      </w:r>
      <w:r w:rsidR="00B3650A">
        <w:t xml:space="preserve">on teaching and scholarship costs, to the extent that universities outlined these impacts in the additional option COVID-19 tab prepared for the 2022 study. </w:t>
      </w:r>
      <w:r w:rsidR="00425EE1">
        <w:t xml:space="preserve">These costs are </w:t>
      </w:r>
      <w:r w:rsidR="00DA46DD">
        <w:t xml:space="preserve">used for reference only. </w:t>
      </w:r>
      <w:r w:rsidR="00610A9A">
        <w:t xml:space="preserve">All universities, to varying extents, will have </w:t>
      </w:r>
      <w:r w:rsidR="00D72700">
        <w:t xml:space="preserve">had costs affected by COVID-19. This chapter examines </w:t>
      </w:r>
      <w:r w:rsidR="00921AD6">
        <w:t xml:space="preserve">COVID-related </w:t>
      </w:r>
      <w:r w:rsidR="00A01B79">
        <w:t xml:space="preserve">changes to </w:t>
      </w:r>
      <w:r w:rsidR="00921AD6">
        <w:t>teaching costs for institutions able to quan</w:t>
      </w:r>
      <w:r w:rsidR="00A01B79">
        <w:t xml:space="preserve">tify these costs, as well as </w:t>
      </w:r>
      <w:r w:rsidR="00460487">
        <w:t xml:space="preserve">trends in overall costs for universities unable to </w:t>
      </w:r>
      <w:r w:rsidR="00856B0A">
        <w:t xml:space="preserve">quantify </w:t>
      </w:r>
      <w:r w:rsidR="00AA1009">
        <w:t>COVID-related</w:t>
      </w:r>
      <w:r w:rsidR="00856B0A">
        <w:t xml:space="preserve"> costs. </w:t>
      </w:r>
    </w:p>
    <w:p w14:paraId="79126B1A" w14:textId="66E1B081" w:rsidR="00B13EE0" w:rsidRPr="00BB165A" w:rsidRDefault="00B13EE0" w:rsidP="00B13EE0">
      <w:pPr>
        <w:pStyle w:val="Heading2"/>
      </w:pPr>
      <w:bookmarkStart w:id="677" w:name="_Toc105776194"/>
      <w:r w:rsidRPr="00BB165A">
        <w:t xml:space="preserve">COVID-19 </w:t>
      </w:r>
      <w:r w:rsidR="009759CF" w:rsidRPr="00BB165A">
        <w:t>data</w:t>
      </w:r>
      <w:bookmarkEnd w:id="677"/>
    </w:p>
    <w:p w14:paraId="604E0CCF" w14:textId="224BD1A5" w:rsidR="00EB32C5" w:rsidRPr="00BB165A" w:rsidRDefault="00EC349F" w:rsidP="00EC349F">
      <w:bookmarkStart w:id="678" w:name="_Toc529546285"/>
      <w:bookmarkStart w:id="679" w:name="_Toc529546933"/>
      <w:bookmarkStart w:id="680" w:name="_Toc529546286"/>
      <w:bookmarkStart w:id="681" w:name="_Toc529546934"/>
      <w:bookmarkStart w:id="682" w:name="_Toc529370358"/>
      <w:bookmarkStart w:id="683" w:name="_Toc529546287"/>
      <w:bookmarkStart w:id="684" w:name="_Toc529546935"/>
      <w:bookmarkStart w:id="685" w:name="_Toc529370359"/>
      <w:bookmarkStart w:id="686" w:name="_Toc529546288"/>
      <w:bookmarkStart w:id="687" w:name="_Toc529546936"/>
      <w:bookmarkStart w:id="688" w:name="_Toc529370360"/>
      <w:bookmarkStart w:id="689" w:name="_Toc529546289"/>
      <w:bookmarkStart w:id="690" w:name="_Toc529546937"/>
      <w:bookmarkStart w:id="691" w:name="_Toc529370361"/>
      <w:bookmarkStart w:id="692" w:name="_Toc529546290"/>
      <w:bookmarkStart w:id="693" w:name="_Toc529546938"/>
      <w:bookmarkStart w:id="694" w:name="_Ref529189703"/>
      <w:bookmarkStart w:id="695" w:name="_Toc20246014"/>
      <w:bookmarkEnd w:id="672"/>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r w:rsidRPr="00BB165A">
        <w:t xml:space="preserve">To allow for additional analysis of the impact of COVID-19 on teaching and scholarship costs, Deloitte included an optional additional tab in the Transparent Costing Worksheet to capture the financial impact of university responses to COVID-19. </w:t>
      </w:r>
    </w:p>
    <w:p w14:paraId="2DB9415D" w14:textId="18FD4DBC" w:rsidR="00A56AD4" w:rsidRPr="00BB165A" w:rsidRDefault="00A56AD4" w:rsidP="00EC349F">
      <w:r w:rsidRPr="00BB165A">
        <w:t xml:space="preserve">The purpose of this additional tab </w:t>
      </w:r>
      <w:r w:rsidR="00C72DC3">
        <w:t>was</w:t>
      </w:r>
      <w:r w:rsidRPr="00BB165A">
        <w:t xml:space="preserve"> to understand the</w:t>
      </w:r>
      <w:r w:rsidR="00FC239B">
        <w:t xml:space="preserve"> cost or revenue components changed most materially in response </w:t>
      </w:r>
      <w:r w:rsidRPr="00BB165A">
        <w:t xml:space="preserve">to COVID-19. The cost per EFTSL output </w:t>
      </w:r>
      <w:r w:rsidR="00186D8C">
        <w:t>is</w:t>
      </w:r>
      <w:r w:rsidRPr="00BB165A">
        <w:t xml:space="preserve"> based on the costs included in the main tab, with th</w:t>
      </w:r>
      <w:r w:rsidR="00186D8C">
        <w:t>e optional COVID-19</w:t>
      </w:r>
      <w:r w:rsidR="006A3463">
        <w:t xml:space="preserve"> </w:t>
      </w:r>
      <w:r w:rsidRPr="00BB165A">
        <w:t xml:space="preserve">tab designed </w:t>
      </w:r>
      <w:r w:rsidR="00186D8C">
        <w:t>purely</w:t>
      </w:r>
      <w:r w:rsidRPr="00BB165A">
        <w:t xml:space="preserve"> to collect</w:t>
      </w:r>
      <w:r w:rsidR="00186D8C">
        <w:t xml:space="preserve"> </w:t>
      </w:r>
      <w:r w:rsidR="00FF321F">
        <w:t>i</w:t>
      </w:r>
      <w:r w:rsidR="00186D8C">
        <w:t xml:space="preserve">nformation on </w:t>
      </w:r>
      <w:r w:rsidR="00FF321F">
        <w:t xml:space="preserve">changes in cost attributable to COVID-19. </w:t>
      </w:r>
    </w:p>
    <w:p w14:paraId="5AE1AC5F" w14:textId="665494F4" w:rsidR="008323C8" w:rsidRPr="00BB165A" w:rsidRDefault="008323C8" w:rsidP="008323C8">
      <w:r w:rsidRPr="00BB165A">
        <w:t xml:space="preserve">Universities have also had the opportunity to outline how COVID-19 has affected teaching costs in the </w:t>
      </w:r>
      <w:r w:rsidR="00696857" w:rsidRPr="00BB165A">
        <w:t>S</w:t>
      </w:r>
      <w:r w:rsidRPr="00BB165A">
        <w:t xml:space="preserve">upporting </w:t>
      </w:r>
      <w:r w:rsidR="00696857" w:rsidRPr="00BB165A">
        <w:t>S</w:t>
      </w:r>
      <w:r w:rsidRPr="00BB165A">
        <w:t xml:space="preserve">tatement. </w:t>
      </w:r>
    </w:p>
    <w:p w14:paraId="7EE625D2" w14:textId="77777777" w:rsidR="002C0004" w:rsidRPr="00BB165A" w:rsidRDefault="002C0004" w:rsidP="002C0004">
      <w:r w:rsidRPr="00BB165A">
        <w:t>Deloitte understands that the impact of COVID-19 on university expenditure can be grouped into three broad categories, including:</w:t>
      </w:r>
    </w:p>
    <w:p w14:paraId="5E45E78B" w14:textId="77777777" w:rsidR="002C0004" w:rsidRPr="00BB165A" w:rsidRDefault="002C0004" w:rsidP="002C0004">
      <w:pPr>
        <w:pStyle w:val="ListBullet"/>
      </w:pPr>
      <w:r w:rsidRPr="00BB165A">
        <w:rPr>
          <w:b/>
        </w:rPr>
        <w:t>Financial incentives and support for students</w:t>
      </w:r>
      <w:r w:rsidRPr="00BB165A">
        <w:t xml:space="preserve"> including scholarships, bursaries and stipends, hardship payments and tuition fee discounts</w:t>
      </w:r>
    </w:p>
    <w:p w14:paraId="3AD09BE2" w14:textId="77777777" w:rsidR="002C0004" w:rsidRPr="00BB165A" w:rsidRDefault="002C0004" w:rsidP="002C0004">
      <w:pPr>
        <w:pStyle w:val="ListBullet"/>
      </w:pPr>
      <w:r w:rsidRPr="00BB165A">
        <w:rPr>
          <w:b/>
        </w:rPr>
        <w:t>Management of staff costs</w:t>
      </w:r>
      <w:r w:rsidRPr="00BB165A">
        <w:t xml:space="preserve"> including redundancy costs, deferral of salary increases, leave and balance sheet provisions, temporary salary cuts and temporary payroll tax exemptions</w:t>
      </w:r>
    </w:p>
    <w:p w14:paraId="6FF90584" w14:textId="77777777" w:rsidR="002C0004" w:rsidRPr="00BB165A" w:rsidRDefault="002C0004" w:rsidP="002C0004">
      <w:pPr>
        <w:pStyle w:val="ListBullet"/>
      </w:pPr>
      <w:r w:rsidRPr="00BB165A">
        <w:rPr>
          <w:b/>
        </w:rPr>
        <w:t>Management of non-staff costs</w:t>
      </w:r>
      <w:r w:rsidRPr="00BB165A">
        <w:t xml:space="preserve"> including higher IT investment and COVID-related cleaning and consumables; lower spending on travel, conferences and events; and deferred spending on maintenance and capital projects.</w:t>
      </w:r>
    </w:p>
    <w:p w14:paraId="2A5032C4" w14:textId="77777777" w:rsidR="00B00712" w:rsidRPr="00BB165A" w:rsidRDefault="00A56AD4" w:rsidP="00EC349F">
      <w:r w:rsidRPr="00BB165A">
        <w:t>The measures in the COVID-19 tab are split into three categories identified above (financial incentives and support, staff costs and non-staff costs). Within each of these three categories are specific line items. These line items are designed to identify the different potential areas where COVID-19 has impacted university operations.</w:t>
      </w:r>
    </w:p>
    <w:p w14:paraId="6A43D6D2" w14:textId="11902959" w:rsidR="002C0004" w:rsidRPr="00BB165A" w:rsidRDefault="00A56AD4" w:rsidP="00EC349F">
      <w:r w:rsidRPr="00BB165A">
        <w:t xml:space="preserve">Data </w:t>
      </w:r>
      <w:r w:rsidR="00AA6FA8" w:rsidRPr="00BB165A">
        <w:t>was only</w:t>
      </w:r>
      <w:r w:rsidRPr="00BB165A">
        <w:t xml:space="preserve"> provided at the total level</w:t>
      </w:r>
      <w:r w:rsidR="00AA6FA8" w:rsidRPr="00BB165A">
        <w:t xml:space="preserve"> </w:t>
      </w:r>
      <w:r w:rsidR="004A62BB" w:rsidRPr="00BB165A">
        <w:t>for the institution</w:t>
      </w:r>
      <w:r w:rsidR="00A4695F" w:rsidRPr="00BB165A">
        <w:t xml:space="preserve"> </w:t>
      </w:r>
      <w:r w:rsidR="00AA6FA8" w:rsidRPr="00BB165A">
        <w:t>(</w:t>
      </w:r>
      <w:r w:rsidR="00CF23F6" w:rsidRPr="00BB165A">
        <w:t>i.e.</w:t>
      </w:r>
      <w:r w:rsidR="00AA6FA8" w:rsidRPr="00BB165A">
        <w:t xml:space="preserve"> not by level of education </w:t>
      </w:r>
      <w:r w:rsidR="004A62BB" w:rsidRPr="00BB165A">
        <w:t>or FOE</w:t>
      </w:r>
      <w:r w:rsidR="00AA6FA8" w:rsidRPr="00BB165A">
        <w:t>)</w:t>
      </w:r>
      <w:r w:rsidRPr="00BB165A">
        <w:t xml:space="preserve">. </w:t>
      </w:r>
      <w:r w:rsidR="002C0004" w:rsidRPr="00BB165A">
        <w:t>More detail on the structure</w:t>
      </w:r>
      <w:r w:rsidR="00D52670" w:rsidRPr="00BB165A">
        <w:t xml:space="preserve"> </w:t>
      </w:r>
      <w:r w:rsidR="002C0004" w:rsidRPr="00BB165A">
        <w:t>of the</w:t>
      </w:r>
      <w:r w:rsidR="00905530" w:rsidRPr="00BB165A">
        <w:t xml:space="preserve"> optional COVID-19 tab can be found in Appendix B. </w:t>
      </w:r>
    </w:p>
    <w:p w14:paraId="08A27183" w14:textId="6D2C9F91" w:rsidR="00905530" w:rsidRPr="00BB165A" w:rsidRDefault="00384A35" w:rsidP="00EC349F">
      <w:r w:rsidRPr="00BB165A">
        <w:t>N</w:t>
      </w:r>
      <w:r w:rsidR="00C46CB3" w:rsidRPr="00BB165A">
        <w:t>ine</w:t>
      </w:r>
      <w:r w:rsidR="009A5642" w:rsidRPr="00BB165A">
        <w:t xml:space="preserve"> universities completed the </w:t>
      </w:r>
      <w:r w:rsidR="00863F20" w:rsidRPr="00BB165A">
        <w:t>optional</w:t>
      </w:r>
      <w:r w:rsidR="009A5642" w:rsidRPr="00BB165A">
        <w:t xml:space="preserve"> COVID-19 tab while another </w:t>
      </w:r>
      <w:r w:rsidR="00C46CB3" w:rsidRPr="00BB165A">
        <w:t>five</w:t>
      </w:r>
      <w:r w:rsidR="009A5642" w:rsidRPr="00BB165A">
        <w:t xml:space="preserve"> </w:t>
      </w:r>
      <w:r w:rsidR="00863F20" w:rsidRPr="00BB165A">
        <w:t>universities</w:t>
      </w:r>
      <w:r w:rsidR="009A5642" w:rsidRPr="00BB165A">
        <w:t xml:space="preserve"> </w:t>
      </w:r>
      <w:r w:rsidR="00F571EC" w:rsidRPr="00BB165A">
        <w:t>provided</w:t>
      </w:r>
      <w:r w:rsidR="00863F20" w:rsidRPr="00BB165A">
        <w:t xml:space="preserve"> information in the </w:t>
      </w:r>
      <w:r w:rsidR="00696857" w:rsidRPr="00BB165A">
        <w:t>S</w:t>
      </w:r>
      <w:r w:rsidR="00863F20" w:rsidRPr="00BB165A">
        <w:t xml:space="preserve">upporting </w:t>
      </w:r>
      <w:r w:rsidR="00696857" w:rsidRPr="00BB165A">
        <w:t>S</w:t>
      </w:r>
      <w:r w:rsidR="00863F20" w:rsidRPr="00BB165A">
        <w:t>tatement</w:t>
      </w:r>
      <w:r w:rsidR="00A56D29" w:rsidRPr="00BB165A">
        <w:t xml:space="preserve"> that allowed further </w:t>
      </w:r>
      <w:r w:rsidR="00D52670" w:rsidRPr="00BB165A">
        <w:t>analysis</w:t>
      </w:r>
      <w:r w:rsidR="00A56D29" w:rsidRPr="00BB165A">
        <w:t xml:space="preserve"> of COVID</w:t>
      </w:r>
      <w:r w:rsidR="0098535F">
        <w:t>-19</w:t>
      </w:r>
      <w:r w:rsidR="00A56D29" w:rsidRPr="00BB165A">
        <w:t xml:space="preserve"> </w:t>
      </w:r>
      <w:r w:rsidR="00D52670" w:rsidRPr="00BB165A">
        <w:t xml:space="preserve">related </w:t>
      </w:r>
      <w:r w:rsidRPr="00BB165A">
        <w:t>costs</w:t>
      </w:r>
      <w:r w:rsidR="00A56D29" w:rsidRPr="00BB165A">
        <w:t xml:space="preserve">. </w:t>
      </w:r>
    </w:p>
    <w:p w14:paraId="234AF158" w14:textId="594D5DCC" w:rsidR="00947B6A" w:rsidRPr="00BB165A" w:rsidRDefault="00025E79" w:rsidP="001C2772">
      <w:r w:rsidRPr="00BB165A">
        <w:t>The nine universities who provided COVID</w:t>
      </w:r>
      <w:r w:rsidR="0098535F">
        <w:t>-19</w:t>
      </w:r>
      <w:r w:rsidR="00A32B4B" w:rsidRPr="00BB165A">
        <w:t xml:space="preserve"> measures data </w:t>
      </w:r>
      <w:r w:rsidR="00AE17A6" w:rsidRPr="00BB165A">
        <w:t xml:space="preserve">reported an average of $23.0 million </w:t>
      </w:r>
      <w:r w:rsidR="00A22125" w:rsidRPr="00BB165A">
        <w:t xml:space="preserve">worth of financial incentives and support, staff costs and non-staff costs. This equates to </w:t>
      </w:r>
      <w:r w:rsidR="00EA05DD" w:rsidRPr="00BB165A">
        <w:t xml:space="preserve">an average of </w:t>
      </w:r>
      <w:r w:rsidR="00374346" w:rsidRPr="00BB165A">
        <w:t>4.9% of total teaching costs for</w:t>
      </w:r>
      <w:r w:rsidR="00A32B4B" w:rsidRPr="00BB165A">
        <w:t xml:space="preserve"> </w:t>
      </w:r>
      <w:r w:rsidR="00EA05DD" w:rsidRPr="00BB165A">
        <w:t xml:space="preserve">those </w:t>
      </w:r>
      <w:r w:rsidR="00CA0AE7" w:rsidRPr="00BB165A">
        <w:t>nine universities</w:t>
      </w:r>
      <w:r w:rsidR="00DF0216" w:rsidRPr="00BB165A">
        <w:t xml:space="preserve"> in 2020</w:t>
      </w:r>
      <w:r w:rsidR="00CA0AE7" w:rsidRPr="00BB165A">
        <w:t>.</w:t>
      </w:r>
      <w:r w:rsidR="00CA0AE7" w:rsidRPr="00BB165A">
        <w:rPr>
          <w:rStyle w:val="FootnoteReference"/>
        </w:rPr>
        <w:footnoteReference w:id="24"/>
      </w:r>
      <w:r w:rsidR="00054EE3" w:rsidRPr="00BB165A">
        <w:t xml:space="preserve"> </w:t>
      </w:r>
    </w:p>
    <w:p w14:paraId="422A34FE" w14:textId="2FD3C4D0" w:rsidR="001C2772" w:rsidRPr="00BB165A" w:rsidRDefault="00FA0D19" w:rsidP="001C2772">
      <w:r w:rsidRPr="00BB165A">
        <w:t>More than three quarters of reported COVID</w:t>
      </w:r>
      <w:r w:rsidR="0098535F">
        <w:t>-19</w:t>
      </w:r>
      <w:r w:rsidRPr="00BB165A">
        <w:t xml:space="preserve"> measures </w:t>
      </w:r>
      <w:r w:rsidR="00DF0216" w:rsidRPr="00BB165A">
        <w:t>related to</w:t>
      </w:r>
      <w:r w:rsidR="001C2772" w:rsidRPr="00BB165A">
        <w:t xml:space="preserve"> redundancy costs, which increased by an average of $17.4 million </w:t>
      </w:r>
      <w:r w:rsidR="00DF0216" w:rsidRPr="00BB165A">
        <w:t>across</w:t>
      </w:r>
      <w:r w:rsidR="001C2772" w:rsidRPr="00BB165A">
        <w:t xml:space="preserve"> the </w:t>
      </w:r>
      <w:r w:rsidR="00DF0216" w:rsidRPr="00BB165A">
        <w:t>nine universities (or 4.2% of total expenses</w:t>
      </w:r>
      <w:r w:rsidR="001C2772" w:rsidRPr="00BB165A">
        <w:t xml:space="preserve"> in 2020</w:t>
      </w:r>
      <w:r w:rsidR="00DF0216" w:rsidRPr="00BB165A">
        <w:t>)</w:t>
      </w:r>
      <w:r w:rsidR="00865E72" w:rsidRPr="00BB165A">
        <w:t>.</w:t>
      </w:r>
      <w:r w:rsidR="001C2772" w:rsidRPr="00BB165A">
        <w:t xml:space="preserve"> Many universities reduce</w:t>
      </w:r>
      <w:r w:rsidR="00865E72" w:rsidRPr="00BB165A">
        <w:t>d</w:t>
      </w:r>
      <w:r w:rsidR="001C2772" w:rsidRPr="00BB165A">
        <w:t xml:space="preserve"> staff numbers in response to COVID</w:t>
      </w:r>
      <w:r w:rsidR="0098535F">
        <w:t>-19</w:t>
      </w:r>
      <w:r w:rsidR="001C2772" w:rsidRPr="00BB165A">
        <w:t xml:space="preserve">, triggering redundancy payments. </w:t>
      </w:r>
    </w:p>
    <w:p w14:paraId="0FF999B6" w14:textId="4FB1847F" w:rsidR="001F3771" w:rsidRPr="00BB165A" w:rsidRDefault="001C2772" w:rsidP="001C2772">
      <w:r w:rsidRPr="00BB165A">
        <w:t xml:space="preserve">Universities also </w:t>
      </w:r>
      <w:r w:rsidR="00D76F77" w:rsidRPr="00BB165A">
        <w:t xml:space="preserve">provided financial incentives and support to students. This included an average of </w:t>
      </w:r>
      <w:r w:rsidR="00B33464" w:rsidRPr="00BB165A">
        <w:t>$3.2 million per university on student scholarships, bursaries, stipends and hardship payments (</w:t>
      </w:r>
      <w:r w:rsidR="00A4310C" w:rsidRPr="00BB165A">
        <w:t xml:space="preserve">or 0.7% of total expenses in 2020). </w:t>
      </w:r>
      <w:r w:rsidR="00416D8C" w:rsidRPr="00BB165A">
        <w:t xml:space="preserve">Universities also offered tuition fee discounts amounting to an average of </w:t>
      </w:r>
      <w:r w:rsidR="006B31DE" w:rsidRPr="00BB165A">
        <w:t xml:space="preserve">$2.7 million per university. </w:t>
      </w:r>
      <w:r w:rsidR="00ED4B9F" w:rsidRPr="00BB165A">
        <w:t xml:space="preserve">Only four of the nine universities that provided </w:t>
      </w:r>
      <w:r w:rsidR="005E17C7" w:rsidRPr="00BB165A">
        <w:t>COVID</w:t>
      </w:r>
      <w:r w:rsidR="0098535F">
        <w:t>-19</w:t>
      </w:r>
      <w:r w:rsidR="005E17C7" w:rsidRPr="00BB165A">
        <w:t xml:space="preserve"> measures data reported changes in revenue for their institution. </w:t>
      </w:r>
      <w:r w:rsidR="009E1FB2" w:rsidRPr="00BB165A">
        <w:t xml:space="preserve">And while tuition fee discounts are recognised as a </w:t>
      </w:r>
      <w:r w:rsidR="00040A8B" w:rsidRPr="00BB165A">
        <w:t>form</w:t>
      </w:r>
      <w:r w:rsidR="001F3771" w:rsidRPr="00BB165A">
        <w:t xml:space="preserve"> of student hardship assistance </w:t>
      </w:r>
      <w:r w:rsidR="00040A8B" w:rsidRPr="00BB165A">
        <w:t>provided in 2020,</w:t>
      </w:r>
      <w:r w:rsidR="001F3771" w:rsidRPr="00BB165A">
        <w:t xml:space="preserve"> the focus of the exercise remains on understanding the costs of teaching and scholarship.</w:t>
      </w:r>
    </w:p>
    <w:p w14:paraId="1FD7C2B1" w14:textId="407D90B2" w:rsidR="00DF69E5" w:rsidRPr="00BB165A" w:rsidRDefault="00DF69E5" w:rsidP="001C2772">
      <w:r w:rsidRPr="00BB165A">
        <w:t xml:space="preserve">Reductions in staff </w:t>
      </w:r>
      <w:r w:rsidR="00661B98" w:rsidRPr="00BB165A">
        <w:t xml:space="preserve">remuneration or delays in scheduled pay increases reduced </w:t>
      </w:r>
      <w:r w:rsidR="00DC689E">
        <w:t xml:space="preserve">staff </w:t>
      </w:r>
      <w:r w:rsidR="00661B98" w:rsidRPr="00BB165A">
        <w:t>costs by an average of $1.7 million per university</w:t>
      </w:r>
      <w:r w:rsidR="00FC6543" w:rsidRPr="00BB165A">
        <w:t xml:space="preserve"> (or around 0.2% of total expenses in 2020). </w:t>
      </w:r>
      <w:r w:rsidR="00F42E46" w:rsidRPr="00BB165A">
        <w:t>Only one university reported changes in expenses due to leave provisions (</w:t>
      </w:r>
      <w:r w:rsidR="00881E21" w:rsidRPr="00BB165A">
        <w:t>e.g.</w:t>
      </w:r>
      <w:r w:rsidR="00F42E46" w:rsidRPr="00BB165A">
        <w:t xml:space="preserve"> the com</w:t>
      </w:r>
      <w:r w:rsidR="00881E21" w:rsidRPr="00BB165A">
        <w:t>pulsory use of leave), while there were smaller changes in response to other staff costs</w:t>
      </w:r>
      <w:r w:rsidR="008F0932">
        <w:t>.</w:t>
      </w:r>
      <w:r w:rsidR="00CE4F70" w:rsidDel="00CE4F70">
        <w:t xml:space="preserve"> </w:t>
      </w:r>
    </w:p>
    <w:p w14:paraId="74878C16" w14:textId="39807412" w:rsidR="00ED03AF" w:rsidRPr="00BB165A" w:rsidRDefault="00ED03AF" w:rsidP="001C2772">
      <w:r w:rsidRPr="00BB165A">
        <w:t xml:space="preserve">Eight </w:t>
      </w:r>
      <w:r w:rsidR="00004B63" w:rsidRPr="00BB165A">
        <w:t>universities</w:t>
      </w:r>
      <w:r w:rsidRPr="00BB165A">
        <w:t xml:space="preserve"> reported an increase in </w:t>
      </w:r>
      <w:r w:rsidR="00004B63" w:rsidRPr="00BB165A">
        <w:t xml:space="preserve">expenditure relating to non-staff costs. This includes </w:t>
      </w:r>
      <w:r w:rsidR="00FF6EF3" w:rsidRPr="00BB165A">
        <w:t xml:space="preserve">actions such as higher investment in IT and costs related to cleaning and </w:t>
      </w:r>
      <w:r w:rsidR="002E63EC" w:rsidRPr="00BB165A">
        <w:t>the purchase of consumables, as well as lower spending on travel</w:t>
      </w:r>
      <w:r w:rsidR="00255D40" w:rsidRPr="00BB165A">
        <w:t>, conferences</w:t>
      </w:r>
      <w:r w:rsidR="002E63EC" w:rsidRPr="00BB165A">
        <w:t xml:space="preserve"> and </w:t>
      </w:r>
      <w:r w:rsidR="00255D40" w:rsidRPr="00BB165A">
        <w:t xml:space="preserve">events. One university reported a decrease in </w:t>
      </w:r>
      <w:r w:rsidR="00B364EB" w:rsidRPr="00BB165A">
        <w:t>non-staff costs</w:t>
      </w:r>
      <w:r w:rsidR="00782DA3" w:rsidRPr="00BB165A">
        <w:t xml:space="preserve"> amounting to 1.9% of total teaching expenses. </w:t>
      </w:r>
    </w:p>
    <w:p w14:paraId="1E70D349" w14:textId="7077AFB7" w:rsidR="001D681C" w:rsidRPr="000E7D5B" w:rsidRDefault="00645B53" w:rsidP="001D681C">
      <w:pPr>
        <w:pStyle w:val="CaptionTable"/>
      </w:pPr>
      <w:bookmarkStart w:id="696" w:name="_Toc105776720"/>
      <w:r>
        <w:t>:</w:t>
      </w:r>
      <w:r w:rsidR="00213185" w:rsidRPr="00BB165A">
        <w:t xml:space="preserve"> </w:t>
      </w:r>
      <w:r w:rsidR="002D4831" w:rsidRPr="000E7D5B">
        <w:t>I</w:t>
      </w:r>
      <w:r w:rsidR="001D681C" w:rsidRPr="000E7D5B">
        <w:t>mpact of COVID-19 costs on teaching and scholarship costs</w:t>
      </w:r>
      <w:r w:rsidR="00213185" w:rsidRPr="000E7D5B">
        <w:t xml:space="preserve"> </w:t>
      </w:r>
      <w:r w:rsidR="002D4831" w:rsidRPr="000E7D5B">
        <w:t xml:space="preserve">for universities that completed the COVID-measures tab </w:t>
      </w:r>
      <w:r w:rsidR="00213185" w:rsidRPr="000E7D5B">
        <w:t>(</w:t>
      </w:r>
      <w:r w:rsidR="001D681C" w:rsidRPr="000E7D5B">
        <w:t>2020</w:t>
      </w:r>
      <w:r w:rsidR="00213185" w:rsidRPr="000E7D5B">
        <w:t>)</w:t>
      </w:r>
      <w:bookmarkEnd w:id="696"/>
    </w:p>
    <w:tbl>
      <w:tblPr>
        <w:tblStyle w:val="Deloittetable"/>
        <w:tblW w:w="9126" w:type="dxa"/>
        <w:tblLayout w:type="fixed"/>
        <w:tblCellMar>
          <w:left w:w="57" w:type="dxa"/>
          <w:right w:w="57" w:type="dxa"/>
        </w:tblCellMar>
        <w:tblLook w:val="04A0" w:firstRow="1" w:lastRow="0" w:firstColumn="1" w:lastColumn="0" w:noHBand="0" w:noVBand="1"/>
      </w:tblPr>
      <w:tblGrid>
        <w:gridCol w:w="4365"/>
        <w:gridCol w:w="1587"/>
        <w:gridCol w:w="1587"/>
        <w:gridCol w:w="1587"/>
      </w:tblGrid>
      <w:tr w:rsidR="001D681C" w:rsidRPr="00BA0C5F" w14:paraId="1B3A0CD1" w14:textId="77777777" w:rsidTr="000050E1">
        <w:trPr>
          <w:cnfStyle w:val="100000000000" w:firstRow="1" w:lastRow="0" w:firstColumn="0" w:lastColumn="0" w:oddVBand="0" w:evenVBand="0" w:oddHBand="0" w:evenHBand="0" w:firstRowFirstColumn="0" w:firstRowLastColumn="0" w:lastRowFirstColumn="0" w:lastRowLastColumn="0"/>
          <w:trHeight w:val="170"/>
        </w:trPr>
        <w:tc>
          <w:tcPr>
            <w:tcW w:w="4365" w:type="dxa"/>
            <w:tcBorders>
              <w:left w:val="nil"/>
              <w:bottom w:val="nil"/>
              <w:right w:val="nil"/>
            </w:tcBorders>
            <w:noWrap/>
          </w:tcPr>
          <w:p w14:paraId="696656D5" w14:textId="77777777" w:rsidR="001D681C" w:rsidRPr="00BB165A" w:rsidRDefault="001D681C" w:rsidP="00BA0C5F">
            <w:pPr>
              <w:spacing w:after="0"/>
              <w:rPr>
                <w:rFonts w:asciiTheme="majorHAnsi" w:hAnsiTheme="majorHAnsi" w:cs="Vrinda"/>
                <w:sz w:val="16"/>
                <w:szCs w:val="16"/>
              </w:rPr>
            </w:pPr>
          </w:p>
        </w:tc>
        <w:tc>
          <w:tcPr>
            <w:tcW w:w="1587" w:type="dxa"/>
            <w:tcBorders>
              <w:left w:val="nil"/>
              <w:bottom w:val="nil"/>
              <w:right w:val="nil"/>
            </w:tcBorders>
          </w:tcPr>
          <w:p w14:paraId="61F9CD17" w14:textId="56860BF7" w:rsidR="00D56AEE" w:rsidRPr="00BB165A" w:rsidRDefault="0011443C" w:rsidP="00AE5040">
            <w:pPr>
              <w:spacing w:after="0" w:line="240" w:lineRule="auto"/>
              <w:jc w:val="center"/>
              <w:rPr>
                <w:rFonts w:asciiTheme="majorHAnsi" w:hAnsiTheme="majorHAnsi" w:cs="Vrinda"/>
                <w:i/>
                <w:sz w:val="16"/>
                <w:szCs w:val="16"/>
              </w:rPr>
            </w:pPr>
            <w:r w:rsidRPr="00BB165A">
              <w:rPr>
                <w:rFonts w:asciiTheme="majorHAnsi" w:hAnsiTheme="majorHAnsi" w:cs="Vrinda"/>
                <w:i/>
                <w:sz w:val="16"/>
                <w:szCs w:val="16"/>
              </w:rPr>
              <w:t>Total</w:t>
            </w:r>
          </w:p>
        </w:tc>
        <w:tc>
          <w:tcPr>
            <w:tcW w:w="3174" w:type="dxa"/>
            <w:gridSpan w:val="2"/>
            <w:tcBorders>
              <w:left w:val="nil"/>
              <w:bottom w:val="nil"/>
              <w:right w:val="nil"/>
            </w:tcBorders>
          </w:tcPr>
          <w:p w14:paraId="161E15E1" w14:textId="2FBAEB0F" w:rsidR="001D681C" w:rsidRPr="00BB165A" w:rsidRDefault="00BA0C5F" w:rsidP="00A10247">
            <w:pPr>
              <w:spacing w:after="0" w:line="240" w:lineRule="auto"/>
              <w:jc w:val="center"/>
              <w:rPr>
                <w:rFonts w:asciiTheme="majorHAnsi" w:eastAsia="Times New Roman" w:hAnsiTheme="majorHAnsi" w:cs="Vrinda"/>
                <w:i/>
                <w:sz w:val="16"/>
                <w:szCs w:val="16"/>
                <w:lang w:eastAsia="en-AU"/>
              </w:rPr>
            </w:pPr>
            <w:r w:rsidRPr="00BB165A">
              <w:rPr>
                <w:rFonts w:asciiTheme="majorHAnsi" w:hAnsiTheme="majorHAnsi" w:cs="Vrinda"/>
                <w:i/>
                <w:sz w:val="16"/>
                <w:szCs w:val="16"/>
              </w:rPr>
              <w:t>Average</w:t>
            </w:r>
          </w:p>
        </w:tc>
      </w:tr>
      <w:tr w:rsidR="0011443C" w:rsidRPr="00BA0C5F" w14:paraId="1350DDB9" w14:textId="77777777" w:rsidTr="00BA0C5F">
        <w:trPr>
          <w:trHeight w:val="170"/>
        </w:trPr>
        <w:tc>
          <w:tcPr>
            <w:tcW w:w="4365" w:type="dxa"/>
            <w:tcBorders>
              <w:top w:val="nil"/>
              <w:left w:val="nil"/>
              <w:bottom w:val="single" w:sz="4" w:space="0" w:color="000000" w:themeColor="text1"/>
              <w:right w:val="nil"/>
            </w:tcBorders>
            <w:noWrap/>
          </w:tcPr>
          <w:p w14:paraId="292BA781" w14:textId="77777777" w:rsidR="0011443C" w:rsidRPr="00BB165A" w:rsidRDefault="0011443C" w:rsidP="00BA0C5F">
            <w:pPr>
              <w:spacing w:after="0"/>
              <w:rPr>
                <w:rFonts w:asciiTheme="majorHAnsi" w:hAnsiTheme="majorHAnsi" w:cs="Vrinda"/>
                <w:sz w:val="16"/>
                <w:szCs w:val="16"/>
              </w:rPr>
            </w:pPr>
          </w:p>
        </w:tc>
        <w:tc>
          <w:tcPr>
            <w:tcW w:w="1587" w:type="dxa"/>
            <w:tcBorders>
              <w:top w:val="nil"/>
              <w:left w:val="nil"/>
              <w:bottom w:val="single" w:sz="4" w:space="0" w:color="000000" w:themeColor="text1"/>
              <w:right w:val="nil"/>
            </w:tcBorders>
          </w:tcPr>
          <w:p w14:paraId="0AC5D463" w14:textId="56CE6B79" w:rsidR="0011443C" w:rsidRPr="00BB165A" w:rsidRDefault="0011443C" w:rsidP="0011443C">
            <w:pPr>
              <w:spacing w:after="0" w:line="240" w:lineRule="auto"/>
              <w:jc w:val="center"/>
              <w:rPr>
                <w:rFonts w:asciiTheme="majorHAnsi" w:hAnsiTheme="majorHAnsi" w:cs="Vrinda"/>
                <w:i/>
                <w:sz w:val="16"/>
                <w:szCs w:val="16"/>
              </w:rPr>
            </w:pPr>
            <w:r w:rsidRPr="00BB165A">
              <w:rPr>
                <w:rFonts w:asciiTheme="majorHAnsi" w:hAnsiTheme="majorHAnsi" w:cs="Vrinda"/>
                <w:i/>
                <w:sz w:val="16"/>
                <w:szCs w:val="16"/>
              </w:rPr>
              <w:t xml:space="preserve">$ million </w:t>
            </w:r>
          </w:p>
        </w:tc>
        <w:tc>
          <w:tcPr>
            <w:tcW w:w="1587" w:type="dxa"/>
            <w:tcBorders>
              <w:top w:val="nil"/>
              <w:left w:val="nil"/>
              <w:bottom w:val="single" w:sz="4" w:space="0" w:color="000000" w:themeColor="text1"/>
              <w:right w:val="nil"/>
            </w:tcBorders>
          </w:tcPr>
          <w:p w14:paraId="6271893E" w14:textId="05639D7F" w:rsidR="0011443C" w:rsidRPr="00BB165A" w:rsidRDefault="00BA0C5F" w:rsidP="0011443C">
            <w:pPr>
              <w:spacing w:after="0" w:line="240" w:lineRule="auto"/>
              <w:jc w:val="center"/>
              <w:rPr>
                <w:rFonts w:asciiTheme="majorHAnsi" w:hAnsiTheme="majorHAnsi" w:cs="Vrinda"/>
                <w:i/>
                <w:sz w:val="16"/>
                <w:szCs w:val="16"/>
              </w:rPr>
            </w:pPr>
            <w:r w:rsidRPr="00BB165A">
              <w:rPr>
                <w:rFonts w:asciiTheme="majorHAnsi" w:hAnsiTheme="majorHAnsi" w:cs="Vrinda"/>
                <w:i/>
                <w:sz w:val="16"/>
                <w:szCs w:val="16"/>
              </w:rPr>
              <w:t xml:space="preserve">$ million </w:t>
            </w:r>
          </w:p>
        </w:tc>
        <w:tc>
          <w:tcPr>
            <w:tcW w:w="1587" w:type="dxa"/>
            <w:tcBorders>
              <w:top w:val="nil"/>
              <w:left w:val="nil"/>
              <w:bottom w:val="single" w:sz="4" w:space="0" w:color="000000" w:themeColor="text1"/>
              <w:right w:val="nil"/>
            </w:tcBorders>
            <w:noWrap/>
            <w:vAlign w:val="center"/>
          </w:tcPr>
          <w:p w14:paraId="38AB00F7" w14:textId="6AB10641" w:rsidR="0011443C" w:rsidRPr="00BB165A" w:rsidRDefault="00BA0C5F" w:rsidP="0011443C">
            <w:pPr>
              <w:spacing w:after="0" w:line="240" w:lineRule="auto"/>
              <w:jc w:val="center"/>
              <w:rPr>
                <w:rFonts w:asciiTheme="majorHAnsi" w:eastAsia="Times New Roman" w:hAnsiTheme="majorHAnsi" w:cs="Vrinda"/>
                <w:i/>
                <w:sz w:val="16"/>
                <w:szCs w:val="16"/>
                <w:lang w:eastAsia="en-AU"/>
              </w:rPr>
            </w:pPr>
            <w:r w:rsidRPr="00BB165A">
              <w:rPr>
                <w:rFonts w:asciiTheme="majorHAnsi" w:eastAsia="Times New Roman" w:hAnsiTheme="majorHAnsi" w:cs="Vrinda"/>
                <w:i/>
                <w:sz w:val="16"/>
                <w:szCs w:val="16"/>
                <w:lang w:eastAsia="en-AU"/>
              </w:rPr>
              <w:t xml:space="preserve">% share of teaching costs </w:t>
            </w:r>
          </w:p>
        </w:tc>
      </w:tr>
      <w:tr w:rsidR="001D681C" w:rsidRPr="00213185" w14:paraId="7791F24B" w14:textId="77777777" w:rsidTr="00BA0C5F">
        <w:trPr>
          <w:trHeight w:val="221"/>
        </w:trPr>
        <w:tc>
          <w:tcPr>
            <w:tcW w:w="4365" w:type="dxa"/>
            <w:tcBorders>
              <w:top w:val="single" w:sz="4" w:space="0" w:color="000000" w:themeColor="text1"/>
              <w:left w:val="nil"/>
              <w:bottom w:val="single" w:sz="4" w:space="0" w:color="auto"/>
              <w:right w:val="nil"/>
            </w:tcBorders>
            <w:shd w:val="clear" w:color="auto" w:fill="auto"/>
            <w:noWrap/>
            <w:vAlign w:val="bottom"/>
          </w:tcPr>
          <w:p w14:paraId="1D0A6A9F" w14:textId="5588ECF6" w:rsidR="001D681C" w:rsidRPr="00BB165A" w:rsidRDefault="009D5C4E" w:rsidP="00A10247">
            <w:pPr>
              <w:spacing w:after="0" w:line="240" w:lineRule="auto"/>
              <w:rPr>
                <w:rFonts w:cs="Arial"/>
                <w:sz w:val="16"/>
                <w:szCs w:val="16"/>
              </w:rPr>
            </w:pPr>
            <w:r w:rsidRPr="00BB165A">
              <w:rPr>
                <w:rFonts w:cs="Arial"/>
                <w:b/>
                <w:sz w:val="16"/>
                <w:szCs w:val="16"/>
              </w:rPr>
              <w:t>Financial incentives and support</w:t>
            </w:r>
          </w:p>
        </w:tc>
        <w:tc>
          <w:tcPr>
            <w:tcW w:w="1587" w:type="dxa"/>
            <w:tcBorders>
              <w:top w:val="single" w:sz="4" w:space="0" w:color="000000" w:themeColor="text1"/>
              <w:left w:val="nil"/>
              <w:bottom w:val="single" w:sz="4" w:space="0" w:color="auto"/>
              <w:right w:val="nil"/>
            </w:tcBorders>
            <w:shd w:val="clear" w:color="auto" w:fill="auto"/>
            <w:vAlign w:val="bottom"/>
          </w:tcPr>
          <w:p w14:paraId="2C43A9B0" w14:textId="77777777" w:rsidR="00D56AEE" w:rsidRPr="00BB165A" w:rsidRDefault="00D56AEE" w:rsidP="00AE5040">
            <w:pPr>
              <w:spacing w:after="0" w:line="240" w:lineRule="auto"/>
              <w:jc w:val="center"/>
              <w:rPr>
                <w:rFonts w:cs="Arial"/>
                <w:sz w:val="16"/>
                <w:szCs w:val="16"/>
              </w:rPr>
            </w:pPr>
          </w:p>
        </w:tc>
        <w:tc>
          <w:tcPr>
            <w:tcW w:w="1587" w:type="dxa"/>
            <w:tcBorders>
              <w:top w:val="single" w:sz="4" w:space="0" w:color="000000" w:themeColor="text1"/>
              <w:left w:val="nil"/>
              <w:bottom w:val="single" w:sz="4" w:space="0" w:color="auto"/>
              <w:right w:val="nil"/>
            </w:tcBorders>
            <w:shd w:val="clear" w:color="auto" w:fill="auto"/>
            <w:vAlign w:val="bottom"/>
          </w:tcPr>
          <w:p w14:paraId="4BE9447B" w14:textId="2EE89909" w:rsidR="00D56AEE" w:rsidRPr="00BB165A" w:rsidRDefault="00D56AEE" w:rsidP="00AE5040">
            <w:pPr>
              <w:spacing w:after="0" w:line="240" w:lineRule="auto"/>
              <w:jc w:val="center"/>
              <w:rPr>
                <w:rFonts w:cs="Arial"/>
                <w:sz w:val="16"/>
                <w:szCs w:val="16"/>
              </w:rPr>
            </w:pPr>
          </w:p>
        </w:tc>
        <w:tc>
          <w:tcPr>
            <w:tcW w:w="1587" w:type="dxa"/>
            <w:tcBorders>
              <w:top w:val="single" w:sz="4" w:space="0" w:color="000000" w:themeColor="text1"/>
              <w:left w:val="nil"/>
              <w:bottom w:val="single" w:sz="4" w:space="0" w:color="auto"/>
              <w:right w:val="nil"/>
            </w:tcBorders>
            <w:shd w:val="clear" w:color="auto" w:fill="auto"/>
            <w:noWrap/>
            <w:vAlign w:val="bottom"/>
          </w:tcPr>
          <w:p w14:paraId="33A90E2F" w14:textId="0AAAD5A9" w:rsidR="001D681C" w:rsidRPr="00BB165A" w:rsidRDefault="001D681C" w:rsidP="00A10247">
            <w:pPr>
              <w:spacing w:after="0" w:line="240" w:lineRule="auto"/>
              <w:jc w:val="center"/>
              <w:rPr>
                <w:rFonts w:cs="Arial"/>
                <w:sz w:val="16"/>
                <w:szCs w:val="16"/>
              </w:rPr>
            </w:pPr>
          </w:p>
        </w:tc>
      </w:tr>
      <w:tr w:rsidR="001D681C" w:rsidRPr="00213185" w14:paraId="03A6CABA"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3509238E" w14:textId="00F76C18" w:rsidR="001D681C" w:rsidRPr="00BB165A" w:rsidRDefault="009D5C4E" w:rsidP="00E42A78">
            <w:pPr>
              <w:spacing w:after="0" w:line="240" w:lineRule="auto"/>
              <w:ind w:left="88"/>
              <w:rPr>
                <w:rFonts w:cs="Arial"/>
                <w:sz w:val="16"/>
                <w:szCs w:val="16"/>
              </w:rPr>
            </w:pPr>
            <w:r w:rsidRPr="00BB165A">
              <w:rPr>
                <w:rFonts w:cs="Arial"/>
                <w:sz w:val="16"/>
                <w:szCs w:val="16"/>
              </w:rPr>
              <w:t>Changes in expenditure (includes student scholarships, bursaries, stipends and hardship payments)</w:t>
            </w:r>
          </w:p>
        </w:tc>
        <w:tc>
          <w:tcPr>
            <w:tcW w:w="1587" w:type="dxa"/>
            <w:tcBorders>
              <w:top w:val="single" w:sz="4" w:space="0" w:color="auto"/>
              <w:left w:val="nil"/>
              <w:bottom w:val="single" w:sz="4" w:space="0" w:color="auto"/>
              <w:right w:val="nil"/>
            </w:tcBorders>
            <w:shd w:val="clear" w:color="auto" w:fill="auto"/>
            <w:vAlign w:val="center"/>
          </w:tcPr>
          <w:p w14:paraId="379861BF" w14:textId="2EFA7637" w:rsidR="00D56AEE" w:rsidRPr="00BB165A" w:rsidRDefault="009D5C4E" w:rsidP="00AE5040">
            <w:pPr>
              <w:spacing w:after="0" w:line="240" w:lineRule="auto"/>
              <w:jc w:val="center"/>
              <w:rPr>
                <w:rFonts w:cs="Arial"/>
                <w:sz w:val="16"/>
                <w:szCs w:val="16"/>
              </w:rPr>
            </w:pPr>
            <w:r w:rsidRPr="00BB165A">
              <w:rPr>
                <w:rFonts w:cs="Arial"/>
                <w:sz w:val="16"/>
                <w:szCs w:val="16"/>
              </w:rPr>
              <w:t>$25,632,965</w:t>
            </w:r>
          </w:p>
        </w:tc>
        <w:tc>
          <w:tcPr>
            <w:tcW w:w="1587" w:type="dxa"/>
            <w:tcBorders>
              <w:top w:val="single" w:sz="4" w:space="0" w:color="auto"/>
              <w:left w:val="nil"/>
              <w:bottom w:val="single" w:sz="4" w:space="0" w:color="auto"/>
              <w:right w:val="nil"/>
            </w:tcBorders>
            <w:shd w:val="clear" w:color="auto" w:fill="auto"/>
            <w:vAlign w:val="center"/>
          </w:tcPr>
          <w:p w14:paraId="1BA8BE8C" w14:textId="5995D6E0" w:rsidR="00D56AEE" w:rsidRPr="00BB165A" w:rsidRDefault="009D5C4E" w:rsidP="00AE5040">
            <w:pPr>
              <w:spacing w:after="0" w:line="240" w:lineRule="auto"/>
              <w:jc w:val="center"/>
              <w:rPr>
                <w:rFonts w:cs="Arial"/>
                <w:sz w:val="16"/>
                <w:szCs w:val="16"/>
              </w:rPr>
            </w:pPr>
            <w:r w:rsidRPr="00BB165A">
              <w:rPr>
                <w:rFonts w:cs="Arial"/>
                <w:sz w:val="16"/>
                <w:szCs w:val="16"/>
              </w:rPr>
              <w:t>$3,204,121</w:t>
            </w:r>
          </w:p>
        </w:tc>
        <w:tc>
          <w:tcPr>
            <w:tcW w:w="1587" w:type="dxa"/>
            <w:tcBorders>
              <w:top w:val="single" w:sz="4" w:space="0" w:color="auto"/>
              <w:left w:val="nil"/>
              <w:bottom w:val="single" w:sz="4" w:space="0" w:color="auto"/>
              <w:right w:val="nil"/>
            </w:tcBorders>
            <w:shd w:val="clear" w:color="auto" w:fill="auto"/>
            <w:noWrap/>
            <w:vAlign w:val="center"/>
          </w:tcPr>
          <w:p w14:paraId="3AA5BF40" w14:textId="64612BDF" w:rsidR="001D681C" w:rsidRPr="00BB165A" w:rsidRDefault="009D5C4E" w:rsidP="00A10247">
            <w:pPr>
              <w:spacing w:after="0" w:line="240" w:lineRule="auto"/>
              <w:jc w:val="center"/>
              <w:rPr>
                <w:rFonts w:cs="Arial"/>
                <w:sz w:val="16"/>
                <w:szCs w:val="16"/>
              </w:rPr>
            </w:pPr>
            <w:r w:rsidRPr="00BB165A">
              <w:rPr>
                <w:rFonts w:cs="Arial"/>
                <w:sz w:val="16"/>
                <w:szCs w:val="16"/>
              </w:rPr>
              <w:t>0.7%</w:t>
            </w:r>
          </w:p>
        </w:tc>
      </w:tr>
      <w:tr w:rsidR="001D681C" w:rsidRPr="00213185" w14:paraId="04D32EB5"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30BBF832" w14:textId="7EDD0018" w:rsidR="001D681C" w:rsidRPr="00BB165A" w:rsidRDefault="009D5C4E" w:rsidP="00E42A78">
            <w:pPr>
              <w:spacing w:after="0" w:line="240" w:lineRule="auto"/>
              <w:ind w:left="88"/>
              <w:rPr>
                <w:rFonts w:cs="Arial"/>
                <w:sz w:val="16"/>
                <w:szCs w:val="16"/>
              </w:rPr>
            </w:pPr>
            <w:r w:rsidRPr="00BB165A">
              <w:rPr>
                <w:rFonts w:cs="Arial"/>
                <w:sz w:val="16"/>
                <w:szCs w:val="16"/>
              </w:rPr>
              <w:t>Changes in revenue (includes tuition fee discounts)</w:t>
            </w:r>
          </w:p>
        </w:tc>
        <w:tc>
          <w:tcPr>
            <w:tcW w:w="1587" w:type="dxa"/>
            <w:tcBorders>
              <w:top w:val="single" w:sz="4" w:space="0" w:color="auto"/>
              <w:left w:val="nil"/>
              <w:bottom w:val="single" w:sz="4" w:space="0" w:color="auto"/>
              <w:right w:val="nil"/>
            </w:tcBorders>
            <w:shd w:val="clear" w:color="auto" w:fill="auto"/>
            <w:vAlign w:val="center"/>
          </w:tcPr>
          <w:p w14:paraId="47EDABFC" w14:textId="7F59A31C" w:rsidR="00D56AEE" w:rsidRPr="00BB165A" w:rsidRDefault="009D5C4E" w:rsidP="00AE5040">
            <w:pPr>
              <w:spacing w:after="0" w:line="240" w:lineRule="auto"/>
              <w:jc w:val="center"/>
              <w:rPr>
                <w:rFonts w:cs="Arial"/>
                <w:sz w:val="16"/>
                <w:szCs w:val="16"/>
              </w:rPr>
            </w:pPr>
            <w:r w:rsidRPr="00BB165A">
              <w:rPr>
                <w:rFonts w:cs="Arial"/>
                <w:sz w:val="16"/>
                <w:szCs w:val="16"/>
              </w:rPr>
              <w:t>$19,059,775</w:t>
            </w:r>
          </w:p>
        </w:tc>
        <w:tc>
          <w:tcPr>
            <w:tcW w:w="1587" w:type="dxa"/>
            <w:tcBorders>
              <w:top w:val="single" w:sz="4" w:space="0" w:color="auto"/>
              <w:left w:val="nil"/>
              <w:bottom w:val="single" w:sz="4" w:space="0" w:color="auto"/>
              <w:right w:val="nil"/>
            </w:tcBorders>
            <w:shd w:val="clear" w:color="auto" w:fill="auto"/>
            <w:vAlign w:val="center"/>
          </w:tcPr>
          <w:p w14:paraId="2E66693F" w14:textId="2CD355E5" w:rsidR="00D56AEE" w:rsidRPr="00BB165A" w:rsidRDefault="009D5C4E" w:rsidP="00AE5040">
            <w:pPr>
              <w:spacing w:after="0" w:line="240" w:lineRule="auto"/>
              <w:jc w:val="center"/>
              <w:rPr>
                <w:rFonts w:cs="Arial"/>
                <w:sz w:val="16"/>
                <w:szCs w:val="16"/>
              </w:rPr>
            </w:pPr>
            <w:r w:rsidRPr="00BB165A">
              <w:rPr>
                <w:rFonts w:cs="Arial"/>
                <w:sz w:val="16"/>
                <w:szCs w:val="16"/>
              </w:rPr>
              <w:t>$2,722,825</w:t>
            </w:r>
          </w:p>
        </w:tc>
        <w:tc>
          <w:tcPr>
            <w:tcW w:w="1587" w:type="dxa"/>
            <w:tcBorders>
              <w:top w:val="single" w:sz="4" w:space="0" w:color="auto"/>
              <w:left w:val="nil"/>
              <w:bottom w:val="single" w:sz="4" w:space="0" w:color="auto"/>
              <w:right w:val="nil"/>
            </w:tcBorders>
            <w:shd w:val="clear" w:color="auto" w:fill="auto"/>
            <w:noWrap/>
            <w:vAlign w:val="center"/>
          </w:tcPr>
          <w:p w14:paraId="362D599A" w14:textId="4292FB3F" w:rsidR="001D681C" w:rsidRPr="00BB165A" w:rsidRDefault="009D5C4E" w:rsidP="00A10247">
            <w:pPr>
              <w:spacing w:after="0" w:line="240" w:lineRule="auto"/>
              <w:jc w:val="center"/>
              <w:rPr>
                <w:rFonts w:cs="Arial"/>
                <w:sz w:val="16"/>
                <w:szCs w:val="16"/>
              </w:rPr>
            </w:pPr>
            <w:r w:rsidRPr="00BB165A">
              <w:rPr>
                <w:rFonts w:cs="Arial"/>
                <w:sz w:val="16"/>
                <w:szCs w:val="16"/>
              </w:rPr>
              <w:t>-</w:t>
            </w:r>
          </w:p>
        </w:tc>
      </w:tr>
      <w:tr w:rsidR="00C30BC0" w:rsidRPr="00213185" w14:paraId="553EB7F2"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1C46488E" w14:textId="1BBD7D8D" w:rsidR="00C30BC0" w:rsidRPr="00BB165A" w:rsidRDefault="009D5C4E" w:rsidP="00E42A78">
            <w:pPr>
              <w:spacing w:after="0" w:line="240" w:lineRule="auto"/>
              <w:ind w:left="88"/>
              <w:rPr>
                <w:rFonts w:cs="Arial"/>
                <w:sz w:val="16"/>
                <w:szCs w:val="16"/>
              </w:rPr>
            </w:pPr>
            <w:r w:rsidRPr="00BB165A">
              <w:rPr>
                <w:rFonts w:cs="Arial"/>
                <w:sz w:val="16"/>
                <w:szCs w:val="16"/>
              </w:rPr>
              <w:t>Total*</w:t>
            </w:r>
          </w:p>
        </w:tc>
        <w:tc>
          <w:tcPr>
            <w:tcW w:w="1587" w:type="dxa"/>
            <w:tcBorders>
              <w:top w:val="single" w:sz="4" w:space="0" w:color="auto"/>
              <w:left w:val="nil"/>
              <w:bottom w:val="single" w:sz="4" w:space="0" w:color="auto"/>
              <w:right w:val="nil"/>
            </w:tcBorders>
            <w:shd w:val="clear" w:color="auto" w:fill="auto"/>
            <w:vAlign w:val="center"/>
          </w:tcPr>
          <w:p w14:paraId="4F5A399D" w14:textId="4F863FA5" w:rsidR="00C30BC0" w:rsidRPr="00BB165A" w:rsidRDefault="009D5C4E" w:rsidP="00AE5040">
            <w:pPr>
              <w:spacing w:after="0" w:line="240" w:lineRule="auto"/>
              <w:jc w:val="center"/>
              <w:rPr>
                <w:rFonts w:cs="Arial"/>
                <w:b/>
                <w:sz w:val="16"/>
                <w:szCs w:val="16"/>
              </w:rPr>
            </w:pPr>
            <w:r w:rsidRPr="00BB165A">
              <w:rPr>
                <w:rFonts w:cs="Arial"/>
                <w:sz w:val="16"/>
                <w:szCs w:val="16"/>
              </w:rPr>
              <w:t>$44,692,740</w:t>
            </w:r>
          </w:p>
        </w:tc>
        <w:tc>
          <w:tcPr>
            <w:tcW w:w="1587" w:type="dxa"/>
            <w:tcBorders>
              <w:top w:val="single" w:sz="4" w:space="0" w:color="auto"/>
              <w:left w:val="nil"/>
              <w:bottom w:val="single" w:sz="4" w:space="0" w:color="auto"/>
              <w:right w:val="nil"/>
            </w:tcBorders>
            <w:shd w:val="clear" w:color="auto" w:fill="auto"/>
            <w:vAlign w:val="center"/>
          </w:tcPr>
          <w:p w14:paraId="5361278E" w14:textId="6C448A56" w:rsidR="00C30BC0" w:rsidRPr="00BB165A" w:rsidRDefault="009D5C4E" w:rsidP="00AE5040">
            <w:pPr>
              <w:spacing w:after="0" w:line="240" w:lineRule="auto"/>
              <w:jc w:val="center"/>
              <w:rPr>
                <w:rFonts w:cs="Arial"/>
                <w:b/>
                <w:sz w:val="16"/>
                <w:szCs w:val="16"/>
              </w:rPr>
            </w:pPr>
            <w:r w:rsidRPr="00BB165A">
              <w:rPr>
                <w:rFonts w:cs="Arial"/>
                <w:sz w:val="16"/>
                <w:szCs w:val="16"/>
              </w:rPr>
              <w:t>$5,926,946</w:t>
            </w:r>
          </w:p>
        </w:tc>
        <w:tc>
          <w:tcPr>
            <w:tcW w:w="1587" w:type="dxa"/>
            <w:tcBorders>
              <w:top w:val="single" w:sz="4" w:space="0" w:color="auto"/>
              <w:left w:val="nil"/>
              <w:bottom w:val="single" w:sz="4" w:space="0" w:color="auto"/>
              <w:right w:val="nil"/>
            </w:tcBorders>
            <w:shd w:val="clear" w:color="auto" w:fill="auto"/>
            <w:noWrap/>
            <w:vAlign w:val="center"/>
          </w:tcPr>
          <w:p w14:paraId="51376586" w14:textId="1C7BE694" w:rsidR="00C30BC0" w:rsidRPr="00BB165A" w:rsidRDefault="009D5C4E" w:rsidP="00AE5040">
            <w:pPr>
              <w:spacing w:after="0" w:line="240" w:lineRule="auto"/>
              <w:jc w:val="center"/>
              <w:rPr>
                <w:rFonts w:cs="Arial"/>
                <w:b/>
                <w:sz w:val="16"/>
                <w:szCs w:val="16"/>
              </w:rPr>
            </w:pPr>
            <w:r w:rsidRPr="00BB165A">
              <w:rPr>
                <w:rFonts w:cs="Arial"/>
                <w:sz w:val="16"/>
                <w:szCs w:val="16"/>
              </w:rPr>
              <w:t>0.7%</w:t>
            </w:r>
          </w:p>
        </w:tc>
      </w:tr>
      <w:tr w:rsidR="00C30BC0" w:rsidRPr="00213185" w14:paraId="6050986F"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14A7B6F8" w14:textId="58496D71" w:rsidR="00C30BC0" w:rsidRPr="00BB165A" w:rsidRDefault="009D5C4E" w:rsidP="00AE5040">
            <w:pPr>
              <w:spacing w:after="0" w:line="240" w:lineRule="auto"/>
              <w:rPr>
                <w:rFonts w:cs="Arial"/>
                <w:b/>
                <w:sz w:val="16"/>
                <w:szCs w:val="16"/>
              </w:rPr>
            </w:pPr>
            <w:r w:rsidRPr="00BB165A">
              <w:rPr>
                <w:rFonts w:cs="Arial"/>
                <w:b/>
                <w:sz w:val="16"/>
                <w:szCs w:val="16"/>
              </w:rPr>
              <w:t>Staff costs</w:t>
            </w:r>
          </w:p>
        </w:tc>
        <w:tc>
          <w:tcPr>
            <w:tcW w:w="1587" w:type="dxa"/>
            <w:tcBorders>
              <w:top w:val="single" w:sz="4" w:space="0" w:color="auto"/>
              <w:left w:val="nil"/>
              <w:bottom w:val="single" w:sz="4" w:space="0" w:color="auto"/>
              <w:right w:val="nil"/>
            </w:tcBorders>
            <w:shd w:val="clear" w:color="auto" w:fill="auto"/>
            <w:vAlign w:val="center"/>
          </w:tcPr>
          <w:p w14:paraId="01230444" w14:textId="77777777" w:rsidR="00C30BC0" w:rsidRPr="00BB165A" w:rsidRDefault="00C30BC0" w:rsidP="00AE5040">
            <w:pPr>
              <w:spacing w:after="0" w:line="240" w:lineRule="auto"/>
              <w:jc w:val="center"/>
              <w:rPr>
                <w:rFonts w:cs="Arial"/>
                <w:b/>
                <w:sz w:val="16"/>
                <w:szCs w:val="16"/>
              </w:rPr>
            </w:pPr>
          </w:p>
        </w:tc>
        <w:tc>
          <w:tcPr>
            <w:tcW w:w="1587" w:type="dxa"/>
            <w:tcBorders>
              <w:top w:val="single" w:sz="4" w:space="0" w:color="auto"/>
              <w:left w:val="nil"/>
              <w:bottom w:val="single" w:sz="4" w:space="0" w:color="auto"/>
              <w:right w:val="nil"/>
            </w:tcBorders>
            <w:shd w:val="clear" w:color="auto" w:fill="auto"/>
            <w:vAlign w:val="center"/>
          </w:tcPr>
          <w:p w14:paraId="376752B6" w14:textId="77777777" w:rsidR="00C30BC0" w:rsidRPr="00BB165A" w:rsidRDefault="00C30BC0" w:rsidP="00AE5040">
            <w:pPr>
              <w:spacing w:after="0" w:line="240" w:lineRule="auto"/>
              <w:jc w:val="center"/>
              <w:rPr>
                <w:rFonts w:cs="Arial"/>
                <w:b/>
                <w:sz w:val="16"/>
                <w:szCs w:val="16"/>
              </w:rPr>
            </w:pPr>
          </w:p>
        </w:tc>
        <w:tc>
          <w:tcPr>
            <w:tcW w:w="1587" w:type="dxa"/>
            <w:tcBorders>
              <w:top w:val="single" w:sz="4" w:space="0" w:color="auto"/>
              <w:left w:val="nil"/>
              <w:bottom w:val="single" w:sz="4" w:space="0" w:color="auto"/>
              <w:right w:val="nil"/>
            </w:tcBorders>
            <w:shd w:val="clear" w:color="auto" w:fill="auto"/>
            <w:noWrap/>
            <w:vAlign w:val="center"/>
          </w:tcPr>
          <w:p w14:paraId="11DCD7D4" w14:textId="77777777" w:rsidR="00C30BC0" w:rsidRPr="00BB165A" w:rsidRDefault="00C30BC0" w:rsidP="00AE5040">
            <w:pPr>
              <w:spacing w:after="0" w:line="240" w:lineRule="auto"/>
              <w:jc w:val="center"/>
              <w:rPr>
                <w:rFonts w:cs="Arial"/>
                <w:b/>
                <w:sz w:val="16"/>
                <w:szCs w:val="16"/>
              </w:rPr>
            </w:pPr>
          </w:p>
        </w:tc>
      </w:tr>
      <w:tr w:rsidR="00C30BC0" w:rsidRPr="00213185" w14:paraId="6AFE4639"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47773260" w14:textId="13F8724D" w:rsidR="00C30BC0" w:rsidRPr="00BB165A" w:rsidRDefault="009D5C4E" w:rsidP="00E42A78">
            <w:pPr>
              <w:spacing w:after="0" w:line="240" w:lineRule="auto"/>
              <w:ind w:left="88"/>
              <w:rPr>
                <w:rFonts w:cs="Arial"/>
                <w:sz w:val="16"/>
                <w:szCs w:val="16"/>
              </w:rPr>
            </w:pPr>
            <w:r w:rsidRPr="00BB165A">
              <w:rPr>
                <w:rFonts w:cs="Arial"/>
                <w:sz w:val="16"/>
                <w:szCs w:val="16"/>
              </w:rPr>
              <w:t>Redundancy costs</w:t>
            </w:r>
          </w:p>
        </w:tc>
        <w:tc>
          <w:tcPr>
            <w:tcW w:w="1587" w:type="dxa"/>
            <w:tcBorders>
              <w:top w:val="single" w:sz="4" w:space="0" w:color="auto"/>
              <w:left w:val="nil"/>
              <w:bottom w:val="single" w:sz="4" w:space="0" w:color="auto"/>
              <w:right w:val="nil"/>
            </w:tcBorders>
            <w:shd w:val="clear" w:color="auto" w:fill="auto"/>
            <w:vAlign w:val="center"/>
          </w:tcPr>
          <w:p w14:paraId="42D472ED" w14:textId="3D45BD2E" w:rsidR="00C30BC0" w:rsidRPr="00BB165A" w:rsidRDefault="009D5C4E" w:rsidP="00AE5040">
            <w:pPr>
              <w:spacing w:after="0" w:line="240" w:lineRule="auto"/>
              <w:jc w:val="center"/>
              <w:rPr>
                <w:rFonts w:cs="Arial"/>
                <w:b/>
                <w:sz w:val="16"/>
                <w:szCs w:val="16"/>
              </w:rPr>
            </w:pPr>
            <w:r w:rsidRPr="00BB165A">
              <w:rPr>
                <w:rFonts w:cs="Arial"/>
                <w:sz w:val="16"/>
                <w:szCs w:val="16"/>
              </w:rPr>
              <w:t>$156,715,879</w:t>
            </w:r>
          </w:p>
        </w:tc>
        <w:tc>
          <w:tcPr>
            <w:tcW w:w="1587" w:type="dxa"/>
            <w:tcBorders>
              <w:top w:val="single" w:sz="4" w:space="0" w:color="auto"/>
              <w:left w:val="nil"/>
              <w:bottom w:val="single" w:sz="4" w:space="0" w:color="auto"/>
              <w:right w:val="nil"/>
            </w:tcBorders>
            <w:shd w:val="clear" w:color="auto" w:fill="auto"/>
            <w:vAlign w:val="center"/>
          </w:tcPr>
          <w:p w14:paraId="6B49D712" w14:textId="377752F2" w:rsidR="00C30BC0" w:rsidRPr="00BB165A" w:rsidRDefault="009D5C4E" w:rsidP="00AE5040">
            <w:pPr>
              <w:spacing w:after="0" w:line="240" w:lineRule="auto"/>
              <w:jc w:val="center"/>
              <w:rPr>
                <w:rFonts w:cs="Arial"/>
                <w:b/>
                <w:sz w:val="16"/>
                <w:szCs w:val="16"/>
              </w:rPr>
            </w:pPr>
            <w:r w:rsidRPr="00BB165A">
              <w:rPr>
                <w:rFonts w:cs="Arial"/>
                <w:sz w:val="16"/>
                <w:szCs w:val="16"/>
              </w:rPr>
              <w:t>$17,412,875</w:t>
            </w:r>
          </w:p>
        </w:tc>
        <w:tc>
          <w:tcPr>
            <w:tcW w:w="1587" w:type="dxa"/>
            <w:tcBorders>
              <w:top w:val="single" w:sz="4" w:space="0" w:color="auto"/>
              <w:left w:val="nil"/>
              <w:bottom w:val="single" w:sz="4" w:space="0" w:color="auto"/>
              <w:right w:val="nil"/>
            </w:tcBorders>
            <w:shd w:val="clear" w:color="auto" w:fill="auto"/>
            <w:noWrap/>
            <w:vAlign w:val="center"/>
          </w:tcPr>
          <w:p w14:paraId="0ACCB9BD" w14:textId="77B5E175" w:rsidR="00C30BC0" w:rsidRPr="00BB165A" w:rsidRDefault="009D5C4E" w:rsidP="00AE5040">
            <w:pPr>
              <w:spacing w:after="0" w:line="240" w:lineRule="auto"/>
              <w:jc w:val="center"/>
              <w:rPr>
                <w:rFonts w:cs="Arial"/>
                <w:b/>
                <w:sz w:val="16"/>
                <w:szCs w:val="16"/>
              </w:rPr>
            </w:pPr>
            <w:r w:rsidRPr="00BB165A">
              <w:rPr>
                <w:rFonts w:cs="Arial"/>
                <w:sz w:val="16"/>
                <w:szCs w:val="16"/>
              </w:rPr>
              <w:t>4.2%</w:t>
            </w:r>
          </w:p>
        </w:tc>
      </w:tr>
      <w:tr w:rsidR="00013911" w:rsidRPr="00213185" w14:paraId="48BDCC70"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4B6997EF" w14:textId="179733A7" w:rsidR="00013911" w:rsidRPr="00BB165A" w:rsidRDefault="009D5C4E" w:rsidP="00E42A78">
            <w:pPr>
              <w:spacing w:after="0" w:line="240" w:lineRule="auto"/>
              <w:ind w:left="88"/>
              <w:rPr>
                <w:rFonts w:cs="Arial"/>
                <w:sz w:val="16"/>
                <w:szCs w:val="16"/>
              </w:rPr>
            </w:pPr>
            <w:r w:rsidRPr="00BB165A">
              <w:rPr>
                <w:rFonts w:cs="Arial"/>
                <w:sz w:val="16"/>
                <w:szCs w:val="16"/>
              </w:rPr>
              <w:t>Salary changes including deferral of salary increases</w:t>
            </w:r>
          </w:p>
        </w:tc>
        <w:tc>
          <w:tcPr>
            <w:tcW w:w="1587" w:type="dxa"/>
            <w:tcBorders>
              <w:top w:val="single" w:sz="4" w:space="0" w:color="auto"/>
              <w:left w:val="nil"/>
              <w:bottom w:val="single" w:sz="4" w:space="0" w:color="auto"/>
              <w:right w:val="nil"/>
            </w:tcBorders>
            <w:shd w:val="clear" w:color="auto" w:fill="auto"/>
            <w:vAlign w:val="center"/>
          </w:tcPr>
          <w:p w14:paraId="2CF69912" w14:textId="1EA541BF" w:rsidR="00013911" w:rsidRPr="00BB165A" w:rsidRDefault="009D5C4E" w:rsidP="00AE5040">
            <w:pPr>
              <w:spacing w:after="0" w:line="240" w:lineRule="auto"/>
              <w:jc w:val="center"/>
              <w:rPr>
                <w:rFonts w:cs="Arial"/>
                <w:b/>
                <w:sz w:val="16"/>
                <w:szCs w:val="16"/>
              </w:rPr>
            </w:pPr>
            <w:r w:rsidRPr="00BB165A">
              <w:rPr>
                <w:rFonts w:cs="Arial"/>
                <w:sz w:val="16"/>
                <w:szCs w:val="16"/>
              </w:rPr>
              <w:t>-$8,426,108</w:t>
            </w:r>
          </w:p>
        </w:tc>
        <w:tc>
          <w:tcPr>
            <w:tcW w:w="1587" w:type="dxa"/>
            <w:tcBorders>
              <w:top w:val="single" w:sz="4" w:space="0" w:color="auto"/>
              <w:left w:val="nil"/>
              <w:bottom w:val="single" w:sz="4" w:space="0" w:color="auto"/>
              <w:right w:val="nil"/>
            </w:tcBorders>
            <w:shd w:val="clear" w:color="auto" w:fill="auto"/>
            <w:vAlign w:val="center"/>
          </w:tcPr>
          <w:p w14:paraId="0B5B1AF0" w14:textId="44D7F914" w:rsidR="00013911" w:rsidRPr="00BB165A" w:rsidRDefault="009D5C4E" w:rsidP="00AE5040">
            <w:pPr>
              <w:spacing w:after="0" w:line="240" w:lineRule="auto"/>
              <w:jc w:val="center"/>
              <w:rPr>
                <w:rFonts w:cs="Arial"/>
                <w:b/>
                <w:sz w:val="16"/>
                <w:szCs w:val="16"/>
              </w:rPr>
            </w:pPr>
            <w:r w:rsidRPr="00BB165A">
              <w:rPr>
                <w:rFonts w:cs="Arial"/>
                <w:sz w:val="16"/>
                <w:szCs w:val="16"/>
              </w:rPr>
              <w:t>-$1,685,222</w:t>
            </w:r>
          </w:p>
        </w:tc>
        <w:tc>
          <w:tcPr>
            <w:tcW w:w="1587" w:type="dxa"/>
            <w:tcBorders>
              <w:top w:val="single" w:sz="4" w:space="0" w:color="auto"/>
              <w:left w:val="nil"/>
              <w:bottom w:val="single" w:sz="4" w:space="0" w:color="auto"/>
              <w:right w:val="nil"/>
            </w:tcBorders>
            <w:shd w:val="clear" w:color="auto" w:fill="auto"/>
            <w:noWrap/>
            <w:vAlign w:val="center"/>
          </w:tcPr>
          <w:p w14:paraId="41252308" w14:textId="2C7B530D" w:rsidR="00013911" w:rsidRPr="00BB165A" w:rsidRDefault="009D5C4E" w:rsidP="00AE5040">
            <w:pPr>
              <w:spacing w:after="0" w:line="240" w:lineRule="auto"/>
              <w:jc w:val="center"/>
              <w:rPr>
                <w:rFonts w:cs="Arial"/>
                <w:b/>
                <w:sz w:val="16"/>
                <w:szCs w:val="16"/>
              </w:rPr>
            </w:pPr>
            <w:r w:rsidRPr="00BB165A">
              <w:rPr>
                <w:rFonts w:cs="Arial"/>
                <w:sz w:val="16"/>
                <w:szCs w:val="16"/>
              </w:rPr>
              <w:t>-0.2%</w:t>
            </w:r>
          </w:p>
        </w:tc>
      </w:tr>
      <w:tr w:rsidR="00013911" w:rsidRPr="00213185" w14:paraId="6F2EB684"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7CD11DDC" w14:textId="122DEAF3" w:rsidR="00013911" w:rsidRPr="00BB165A" w:rsidRDefault="009D5C4E" w:rsidP="00E42A78">
            <w:pPr>
              <w:spacing w:after="0" w:line="240" w:lineRule="auto"/>
              <w:ind w:left="88"/>
              <w:rPr>
                <w:rFonts w:cs="Arial"/>
                <w:sz w:val="16"/>
                <w:szCs w:val="16"/>
              </w:rPr>
            </w:pPr>
            <w:r w:rsidRPr="00BB165A">
              <w:rPr>
                <w:rFonts w:cs="Arial"/>
                <w:sz w:val="16"/>
                <w:szCs w:val="16"/>
              </w:rPr>
              <w:t>Leave provisions (e.g. compulsory use of leave)</w:t>
            </w:r>
          </w:p>
        </w:tc>
        <w:tc>
          <w:tcPr>
            <w:tcW w:w="1587" w:type="dxa"/>
            <w:tcBorders>
              <w:top w:val="single" w:sz="4" w:space="0" w:color="auto"/>
              <w:left w:val="nil"/>
              <w:bottom w:val="single" w:sz="4" w:space="0" w:color="auto"/>
              <w:right w:val="nil"/>
            </w:tcBorders>
            <w:shd w:val="clear" w:color="auto" w:fill="auto"/>
            <w:vAlign w:val="center"/>
          </w:tcPr>
          <w:p w14:paraId="7D7387A4" w14:textId="069B1BDC" w:rsidR="00013911" w:rsidRPr="00BB165A" w:rsidRDefault="009D5C4E" w:rsidP="00AE5040">
            <w:pPr>
              <w:spacing w:after="0" w:line="240" w:lineRule="auto"/>
              <w:jc w:val="center"/>
              <w:rPr>
                <w:rFonts w:cs="Arial"/>
                <w:b/>
                <w:sz w:val="16"/>
                <w:szCs w:val="16"/>
              </w:rPr>
            </w:pPr>
            <w:r w:rsidRPr="00BB165A">
              <w:rPr>
                <w:rFonts w:cs="Arial"/>
                <w:sz w:val="16"/>
                <w:szCs w:val="16"/>
              </w:rPr>
              <w:t>$2,233,307</w:t>
            </w:r>
          </w:p>
        </w:tc>
        <w:tc>
          <w:tcPr>
            <w:tcW w:w="1587" w:type="dxa"/>
            <w:tcBorders>
              <w:top w:val="single" w:sz="4" w:space="0" w:color="auto"/>
              <w:left w:val="nil"/>
              <w:bottom w:val="single" w:sz="4" w:space="0" w:color="auto"/>
              <w:right w:val="nil"/>
            </w:tcBorders>
            <w:shd w:val="clear" w:color="auto" w:fill="auto"/>
            <w:vAlign w:val="center"/>
          </w:tcPr>
          <w:p w14:paraId="54278F32" w14:textId="07888784" w:rsidR="00013911" w:rsidRPr="00BB165A" w:rsidRDefault="009D5C4E" w:rsidP="00AE5040">
            <w:pPr>
              <w:spacing w:after="0" w:line="240" w:lineRule="auto"/>
              <w:jc w:val="center"/>
              <w:rPr>
                <w:rFonts w:cs="Arial"/>
                <w:b/>
                <w:sz w:val="16"/>
                <w:szCs w:val="16"/>
              </w:rPr>
            </w:pPr>
            <w:r w:rsidRPr="00BB165A">
              <w:rPr>
                <w:rFonts w:cs="Arial"/>
                <w:sz w:val="16"/>
                <w:szCs w:val="16"/>
              </w:rPr>
              <w:t>$372,218</w:t>
            </w:r>
          </w:p>
        </w:tc>
        <w:tc>
          <w:tcPr>
            <w:tcW w:w="1587" w:type="dxa"/>
            <w:tcBorders>
              <w:top w:val="single" w:sz="4" w:space="0" w:color="auto"/>
              <w:left w:val="nil"/>
              <w:bottom w:val="single" w:sz="4" w:space="0" w:color="auto"/>
              <w:right w:val="nil"/>
            </w:tcBorders>
            <w:shd w:val="clear" w:color="auto" w:fill="auto"/>
            <w:noWrap/>
            <w:vAlign w:val="center"/>
          </w:tcPr>
          <w:p w14:paraId="0CAD4B4E" w14:textId="1BC37619" w:rsidR="00013911" w:rsidRPr="00BB165A" w:rsidRDefault="009D5C4E" w:rsidP="00AE5040">
            <w:pPr>
              <w:spacing w:after="0" w:line="240" w:lineRule="auto"/>
              <w:jc w:val="center"/>
              <w:rPr>
                <w:rFonts w:cs="Arial"/>
                <w:b/>
                <w:sz w:val="16"/>
                <w:szCs w:val="16"/>
              </w:rPr>
            </w:pPr>
            <w:r w:rsidRPr="00BB165A">
              <w:rPr>
                <w:rFonts w:cs="Arial"/>
                <w:sz w:val="16"/>
                <w:szCs w:val="16"/>
              </w:rPr>
              <w:t>0.1%</w:t>
            </w:r>
          </w:p>
        </w:tc>
      </w:tr>
      <w:tr w:rsidR="00C30BC0" w:rsidRPr="00213185" w14:paraId="66756290"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71962A33" w14:textId="349657D4" w:rsidR="00C30BC0" w:rsidRPr="00BB165A" w:rsidRDefault="009D5C4E" w:rsidP="00E42A78">
            <w:pPr>
              <w:spacing w:after="0" w:line="240" w:lineRule="auto"/>
              <w:ind w:left="88"/>
              <w:rPr>
                <w:rFonts w:cs="Arial"/>
                <w:sz w:val="16"/>
                <w:szCs w:val="16"/>
              </w:rPr>
            </w:pPr>
            <w:r w:rsidRPr="00BB165A">
              <w:rPr>
                <w:rFonts w:cs="Arial"/>
                <w:sz w:val="16"/>
                <w:szCs w:val="16"/>
              </w:rPr>
              <w:t>Other costs (e.g. temporary payroll tax exemptions)</w:t>
            </w:r>
          </w:p>
        </w:tc>
        <w:tc>
          <w:tcPr>
            <w:tcW w:w="1587" w:type="dxa"/>
            <w:tcBorders>
              <w:top w:val="single" w:sz="4" w:space="0" w:color="auto"/>
              <w:left w:val="nil"/>
              <w:bottom w:val="single" w:sz="4" w:space="0" w:color="auto"/>
              <w:right w:val="nil"/>
            </w:tcBorders>
            <w:shd w:val="clear" w:color="auto" w:fill="auto"/>
            <w:vAlign w:val="center"/>
          </w:tcPr>
          <w:p w14:paraId="28DDEA41" w14:textId="06B42315" w:rsidR="00C30BC0" w:rsidRPr="00BB165A" w:rsidRDefault="009D5C4E" w:rsidP="00AE5040">
            <w:pPr>
              <w:spacing w:after="0" w:line="240" w:lineRule="auto"/>
              <w:jc w:val="center"/>
              <w:rPr>
                <w:rFonts w:cs="Arial"/>
                <w:b/>
                <w:sz w:val="16"/>
                <w:szCs w:val="16"/>
              </w:rPr>
            </w:pPr>
            <w:r w:rsidRPr="00BB165A">
              <w:rPr>
                <w:rFonts w:cs="Arial"/>
                <w:sz w:val="16"/>
                <w:szCs w:val="16"/>
              </w:rPr>
              <w:t>$438,698</w:t>
            </w:r>
          </w:p>
        </w:tc>
        <w:tc>
          <w:tcPr>
            <w:tcW w:w="1587" w:type="dxa"/>
            <w:tcBorders>
              <w:top w:val="single" w:sz="4" w:space="0" w:color="auto"/>
              <w:left w:val="nil"/>
              <w:bottom w:val="single" w:sz="4" w:space="0" w:color="auto"/>
              <w:right w:val="nil"/>
            </w:tcBorders>
            <w:shd w:val="clear" w:color="auto" w:fill="auto"/>
            <w:vAlign w:val="center"/>
          </w:tcPr>
          <w:p w14:paraId="64707FAD" w14:textId="47B27F8C" w:rsidR="00C30BC0" w:rsidRPr="00BB165A" w:rsidRDefault="009D5C4E" w:rsidP="00AE5040">
            <w:pPr>
              <w:spacing w:after="0" w:line="240" w:lineRule="auto"/>
              <w:jc w:val="center"/>
              <w:rPr>
                <w:rFonts w:cs="Arial"/>
                <w:b/>
                <w:sz w:val="16"/>
                <w:szCs w:val="16"/>
              </w:rPr>
            </w:pPr>
            <w:r w:rsidRPr="00BB165A">
              <w:rPr>
                <w:rFonts w:cs="Arial"/>
                <w:sz w:val="16"/>
                <w:szCs w:val="16"/>
              </w:rPr>
              <w:t>$62,671</w:t>
            </w:r>
          </w:p>
        </w:tc>
        <w:tc>
          <w:tcPr>
            <w:tcW w:w="1587" w:type="dxa"/>
            <w:tcBorders>
              <w:top w:val="single" w:sz="4" w:space="0" w:color="auto"/>
              <w:left w:val="nil"/>
              <w:bottom w:val="single" w:sz="4" w:space="0" w:color="auto"/>
              <w:right w:val="nil"/>
            </w:tcBorders>
            <w:shd w:val="clear" w:color="auto" w:fill="auto"/>
            <w:noWrap/>
            <w:vAlign w:val="center"/>
          </w:tcPr>
          <w:p w14:paraId="4ADEF54D" w14:textId="25D3EA10" w:rsidR="00C30BC0" w:rsidRPr="00BB165A" w:rsidRDefault="009D5C4E" w:rsidP="00AE5040">
            <w:pPr>
              <w:spacing w:after="0" w:line="240" w:lineRule="auto"/>
              <w:jc w:val="center"/>
              <w:rPr>
                <w:rFonts w:cs="Arial"/>
                <w:b/>
                <w:sz w:val="16"/>
                <w:szCs w:val="16"/>
              </w:rPr>
            </w:pPr>
            <w:r w:rsidRPr="00BB165A">
              <w:rPr>
                <w:rFonts w:cs="Arial"/>
                <w:sz w:val="16"/>
                <w:szCs w:val="16"/>
              </w:rPr>
              <w:t>0.0%</w:t>
            </w:r>
          </w:p>
        </w:tc>
      </w:tr>
      <w:tr w:rsidR="00C30BC0" w:rsidRPr="00213185" w14:paraId="5446059C"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7D9C27E7" w14:textId="4DC7373C" w:rsidR="00C30BC0" w:rsidRPr="00BB165A" w:rsidRDefault="009D5C4E" w:rsidP="00E42A78">
            <w:pPr>
              <w:spacing w:after="0" w:line="240" w:lineRule="auto"/>
              <w:ind w:left="88"/>
              <w:rPr>
                <w:rFonts w:cs="Arial"/>
                <w:sz w:val="16"/>
                <w:szCs w:val="16"/>
              </w:rPr>
            </w:pPr>
            <w:r w:rsidRPr="00BB165A">
              <w:rPr>
                <w:rFonts w:cs="Arial"/>
                <w:sz w:val="16"/>
                <w:szCs w:val="16"/>
              </w:rPr>
              <w:t>Total</w:t>
            </w:r>
          </w:p>
        </w:tc>
        <w:tc>
          <w:tcPr>
            <w:tcW w:w="1587" w:type="dxa"/>
            <w:tcBorders>
              <w:top w:val="single" w:sz="4" w:space="0" w:color="auto"/>
              <w:left w:val="nil"/>
              <w:bottom w:val="single" w:sz="4" w:space="0" w:color="auto"/>
              <w:right w:val="nil"/>
            </w:tcBorders>
            <w:shd w:val="clear" w:color="auto" w:fill="auto"/>
            <w:vAlign w:val="center"/>
          </w:tcPr>
          <w:p w14:paraId="6AB3B902" w14:textId="6E9EE750" w:rsidR="00C30BC0" w:rsidRPr="00BB165A" w:rsidRDefault="009D5C4E" w:rsidP="00AE5040">
            <w:pPr>
              <w:spacing w:after="0" w:line="240" w:lineRule="auto"/>
              <w:jc w:val="center"/>
              <w:rPr>
                <w:rFonts w:cs="Arial"/>
                <w:b/>
                <w:sz w:val="16"/>
                <w:szCs w:val="16"/>
              </w:rPr>
            </w:pPr>
            <w:r w:rsidRPr="00BB165A">
              <w:rPr>
                <w:rFonts w:cs="Arial"/>
                <w:sz w:val="16"/>
                <w:szCs w:val="16"/>
              </w:rPr>
              <w:t>$150,961,776</w:t>
            </w:r>
          </w:p>
        </w:tc>
        <w:tc>
          <w:tcPr>
            <w:tcW w:w="1587" w:type="dxa"/>
            <w:tcBorders>
              <w:top w:val="single" w:sz="4" w:space="0" w:color="auto"/>
              <w:left w:val="nil"/>
              <w:bottom w:val="single" w:sz="4" w:space="0" w:color="auto"/>
              <w:right w:val="nil"/>
            </w:tcBorders>
            <w:shd w:val="clear" w:color="auto" w:fill="auto"/>
            <w:vAlign w:val="center"/>
          </w:tcPr>
          <w:p w14:paraId="0BCD77BE" w14:textId="611CE531" w:rsidR="00C30BC0" w:rsidRPr="00BB165A" w:rsidRDefault="009D5C4E" w:rsidP="00AE5040">
            <w:pPr>
              <w:spacing w:after="0" w:line="240" w:lineRule="auto"/>
              <w:jc w:val="center"/>
              <w:rPr>
                <w:rFonts w:cs="Arial"/>
                <w:b/>
                <w:sz w:val="16"/>
                <w:szCs w:val="16"/>
              </w:rPr>
            </w:pPr>
            <w:r w:rsidRPr="00BB165A">
              <w:rPr>
                <w:rFonts w:cs="Arial"/>
                <w:sz w:val="16"/>
                <w:szCs w:val="16"/>
              </w:rPr>
              <w:t>$16,162,543</w:t>
            </w:r>
          </w:p>
        </w:tc>
        <w:tc>
          <w:tcPr>
            <w:tcW w:w="1587" w:type="dxa"/>
            <w:tcBorders>
              <w:top w:val="single" w:sz="4" w:space="0" w:color="auto"/>
              <w:left w:val="nil"/>
              <w:bottom w:val="single" w:sz="4" w:space="0" w:color="auto"/>
              <w:right w:val="nil"/>
            </w:tcBorders>
            <w:shd w:val="clear" w:color="auto" w:fill="auto"/>
            <w:noWrap/>
            <w:vAlign w:val="center"/>
          </w:tcPr>
          <w:p w14:paraId="64776AB8" w14:textId="2C916FD4" w:rsidR="00C30BC0" w:rsidRPr="00BB165A" w:rsidRDefault="009D5C4E" w:rsidP="00AE5040">
            <w:pPr>
              <w:spacing w:after="0" w:line="240" w:lineRule="auto"/>
              <w:jc w:val="center"/>
              <w:rPr>
                <w:rFonts w:cs="Arial"/>
                <w:b/>
                <w:sz w:val="16"/>
                <w:szCs w:val="16"/>
              </w:rPr>
            </w:pPr>
            <w:r w:rsidRPr="00BB165A">
              <w:rPr>
                <w:rFonts w:cs="Arial"/>
                <w:sz w:val="16"/>
                <w:szCs w:val="16"/>
              </w:rPr>
              <w:t>4.0%</w:t>
            </w:r>
          </w:p>
        </w:tc>
      </w:tr>
      <w:tr w:rsidR="00C30BC0" w:rsidRPr="00213185" w14:paraId="14F7AE23"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7F7BBBA6" w14:textId="627BE87D" w:rsidR="00C30BC0" w:rsidRPr="00BB165A" w:rsidRDefault="009D5C4E" w:rsidP="00AE5040">
            <w:pPr>
              <w:spacing w:after="0" w:line="240" w:lineRule="auto"/>
              <w:rPr>
                <w:rFonts w:cs="Arial"/>
                <w:b/>
                <w:sz w:val="16"/>
                <w:szCs w:val="16"/>
              </w:rPr>
            </w:pPr>
            <w:r w:rsidRPr="00BB165A">
              <w:rPr>
                <w:rFonts w:cs="Arial"/>
                <w:b/>
                <w:sz w:val="16"/>
                <w:szCs w:val="16"/>
              </w:rPr>
              <w:t>Non-staff costs</w:t>
            </w:r>
          </w:p>
        </w:tc>
        <w:tc>
          <w:tcPr>
            <w:tcW w:w="1587" w:type="dxa"/>
            <w:tcBorders>
              <w:top w:val="single" w:sz="4" w:space="0" w:color="auto"/>
              <w:left w:val="nil"/>
              <w:bottom w:val="single" w:sz="4" w:space="0" w:color="auto"/>
              <w:right w:val="nil"/>
            </w:tcBorders>
            <w:shd w:val="clear" w:color="auto" w:fill="auto"/>
            <w:vAlign w:val="center"/>
          </w:tcPr>
          <w:p w14:paraId="48DAB9B4" w14:textId="77777777" w:rsidR="00C30BC0" w:rsidRPr="00BB165A" w:rsidRDefault="00C30BC0" w:rsidP="00AE5040">
            <w:pPr>
              <w:spacing w:after="0" w:line="240" w:lineRule="auto"/>
              <w:jc w:val="center"/>
              <w:rPr>
                <w:rFonts w:cs="Arial"/>
                <w:b/>
                <w:sz w:val="16"/>
                <w:szCs w:val="16"/>
              </w:rPr>
            </w:pPr>
          </w:p>
        </w:tc>
        <w:tc>
          <w:tcPr>
            <w:tcW w:w="1587" w:type="dxa"/>
            <w:tcBorders>
              <w:top w:val="single" w:sz="4" w:space="0" w:color="auto"/>
              <w:left w:val="nil"/>
              <w:bottom w:val="single" w:sz="4" w:space="0" w:color="auto"/>
              <w:right w:val="nil"/>
            </w:tcBorders>
            <w:shd w:val="clear" w:color="auto" w:fill="auto"/>
            <w:vAlign w:val="center"/>
          </w:tcPr>
          <w:p w14:paraId="0A130589" w14:textId="77777777" w:rsidR="00C30BC0" w:rsidRPr="00BB165A" w:rsidRDefault="00C30BC0" w:rsidP="00AE5040">
            <w:pPr>
              <w:spacing w:after="0" w:line="240" w:lineRule="auto"/>
              <w:jc w:val="center"/>
              <w:rPr>
                <w:rFonts w:cs="Arial"/>
                <w:b/>
                <w:sz w:val="16"/>
                <w:szCs w:val="16"/>
              </w:rPr>
            </w:pPr>
          </w:p>
        </w:tc>
        <w:tc>
          <w:tcPr>
            <w:tcW w:w="1587" w:type="dxa"/>
            <w:tcBorders>
              <w:top w:val="single" w:sz="4" w:space="0" w:color="auto"/>
              <w:left w:val="nil"/>
              <w:bottom w:val="single" w:sz="4" w:space="0" w:color="auto"/>
              <w:right w:val="nil"/>
            </w:tcBorders>
            <w:shd w:val="clear" w:color="auto" w:fill="auto"/>
            <w:noWrap/>
            <w:vAlign w:val="center"/>
          </w:tcPr>
          <w:p w14:paraId="16C815C4" w14:textId="77777777" w:rsidR="00C30BC0" w:rsidRPr="00BB165A" w:rsidRDefault="00C30BC0" w:rsidP="00AE5040">
            <w:pPr>
              <w:spacing w:after="0" w:line="240" w:lineRule="auto"/>
              <w:jc w:val="center"/>
              <w:rPr>
                <w:rFonts w:cs="Arial"/>
                <w:b/>
                <w:sz w:val="16"/>
                <w:szCs w:val="16"/>
              </w:rPr>
            </w:pPr>
          </w:p>
        </w:tc>
      </w:tr>
      <w:tr w:rsidR="00BB1AE5" w:rsidRPr="00213185" w14:paraId="26AB215C"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1D561102" w14:textId="4692E065" w:rsidR="00BB1AE5" w:rsidRPr="00BB165A" w:rsidRDefault="009D5C4E" w:rsidP="00E42A78">
            <w:pPr>
              <w:spacing w:after="0" w:line="240" w:lineRule="auto"/>
              <w:ind w:left="88"/>
              <w:rPr>
                <w:rFonts w:cs="Arial"/>
                <w:b/>
                <w:sz w:val="16"/>
                <w:szCs w:val="16"/>
              </w:rPr>
            </w:pPr>
            <w:r w:rsidRPr="00BB165A">
              <w:rPr>
                <w:rFonts w:cs="Arial"/>
                <w:sz w:val="16"/>
                <w:szCs w:val="16"/>
              </w:rPr>
              <w:t>Changes in expenditure (includes higher IT investment and costs for cleaning and purchase of consumables, reduction in travel expenses)</w:t>
            </w:r>
          </w:p>
        </w:tc>
        <w:tc>
          <w:tcPr>
            <w:tcW w:w="1587" w:type="dxa"/>
            <w:tcBorders>
              <w:top w:val="single" w:sz="4" w:space="0" w:color="auto"/>
              <w:left w:val="nil"/>
              <w:bottom w:val="single" w:sz="4" w:space="0" w:color="auto"/>
              <w:right w:val="nil"/>
            </w:tcBorders>
            <w:shd w:val="clear" w:color="auto" w:fill="auto"/>
            <w:vAlign w:val="center"/>
          </w:tcPr>
          <w:p w14:paraId="09D74C27" w14:textId="0BB76C7E" w:rsidR="00BB1AE5" w:rsidRPr="00BB165A" w:rsidRDefault="009D5C4E" w:rsidP="00AE5040">
            <w:pPr>
              <w:spacing w:after="0" w:line="240" w:lineRule="auto"/>
              <w:jc w:val="center"/>
              <w:rPr>
                <w:rFonts w:cs="Arial"/>
                <w:b/>
                <w:sz w:val="16"/>
                <w:szCs w:val="16"/>
              </w:rPr>
            </w:pPr>
            <w:r w:rsidRPr="00BB165A">
              <w:rPr>
                <w:rFonts w:cs="Arial"/>
                <w:sz w:val="16"/>
                <w:szCs w:val="16"/>
              </w:rPr>
              <w:t>$8,337,246</w:t>
            </w:r>
          </w:p>
        </w:tc>
        <w:tc>
          <w:tcPr>
            <w:tcW w:w="1587" w:type="dxa"/>
            <w:tcBorders>
              <w:top w:val="single" w:sz="4" w:space="0" w:color="auto"/>
              <w:left w:val="nil"/>
              <w:bottom w:val="single" w:sz="4" w:space="0" w:color="auto"/>
              <w:right w:val="nil"/>
            </w:tcBorders>
            <w:shd w:val="clear" w:color="auto" w:fill="auto"/>
            <w:vAlign w:val="center"/>
          </w:tcPr>
          <w:p w14:paraId="23912027" w14:textId="16C9E389" w:rsidR="00BB1AE5" w:rsidRPr="00BB165A" w:rsidRDefault="009D5C4E" w:rsidP="00AE5040">
            <w:pPr>
              <w:spacing w:after="0" w:line="240" w:lineRule="auto"/>
              <w:jc w:val="center"/>
              <w:rPr>
                <w:rFonts w:cs="Arial"/>
                <w:b/>
                <w:sz w:val="16"/>
                <w:szCs w:val="16"/>
              </w:rPr>
            </w:pPr>
            <w:r w:rsidRPr="00BB165A">
              <w:rPr>
                <w:rFonts w:cs="Arial"/>
                <w:sz w:val="16"/>
                <w:szCs w:val="16"/>
              </w:rPr>
              <w:t>$926,361</w:t>
            </w:r>
          </w:p>
        </w:tc>
        <w:tc>
          <w:tcPr>
            <w:tcW w:w="1587" w:type="dxa"/>
            <w:tcBorders>
              <w:top w:val="single" w:sz="4" w:space="0" w:color="auto"/>
              <w:left w:val="nil"/>
              <w:bottom w:val="single" w:sz="4" w:space="0" w:color="auto"/>
              <w:right w:val="nil"/>
            </w:tcBorders>
            <w:shd w:val="clear" w:color="auto" w:fill="auto"/>
            <w:noWrap/>
            <w:vAlign w:val="center"/>
          </w:tcPr>
          <w:p w14:paraId="118B438D" w14:textId="5A2AB65D" w:rsidR="00BB1AE5" w:rsidRPr="00BB165A" w:rsidRDefault="009D5C4E" w:rsidP="00AE5040">
            <w:pPr>
              <w:spacing w:after="0" w:line="240" w:lineRule="auto"/>
              <w:jc w:val="center"/>
              <w:rPr>
                <w:rFonts w:cs="Arial"/>
                <w:b/>
                <w:sz w:val="16"/>
                <w:szCs w:val="16"/>
              </w:rPr>
            </w:pPr>
            <w:r w:rsidRPr="00BB165A">
              <w:rPr>
                <w:rFonts w:cs="Arial"/>
                <w:sz w:val="16"/>
                <w:szCs w:val="16"/>
              </w:rPr>
              <w:t>0.2%</w:t>
            </w:r>
          </w:p>
        </w:tc>
      </w:tr>
      <w:tr w:rsidR="001D681C" w:rsidRPr="00213185" w14:paraId="7E419B2E" w14:textId="77777777" w:rsidTr="00BA0C5F">
        <w:trPr>
          <w:trHeight w:val="221"/>
        </w:trPr>
        <w:tc>
          <w:tcPr>
            <w:tcW w:w="4365" w:type="dxa"/>
            <w:tcBorders>
              <w:top w:val="single" w:sz="4" w:space="0" w:color="auto"/>
              <w:left w:val="nil"/>
              <w:bottom w:val="single" w:sz="4" w:space="0" w:color="auto"/>
              <w:right w:val="nil"/>
            </w:tcBorders>
            <w:shd w:val="clear" w:color="auto" w:fill="auto"/>
            <w:noWrap/>
            <w:vAlign w:val="bottom"/>
          </w:tcPr>
          <w:p w14:paraId="34B38D5A" w14:textId="33A30572" w:rsidR="001D681C" w:rsidRPr="00BB165A" w:rsidRDefault="009D5C4E" w:rsidP="00A10247">
            <w:pPr>
              <w:spacing w:after="0" w:line="240" w:lineRule="auto"/>
              <w:rPr>
                <w:rFonts w:cs="Arial"/>
                <w:b/>
                <w:sz w:val="16"/>
                <w:szCs w:val="16"/>
              </w:rPr>
            </w:pPr>
            <w:r w:rsidRPr="00BB165A">
              <w:rPr>
                <w:rFonts w:cs="Arial"/>
                <w:b/>
                <w:sz w:val="16"/>
                <w:szCs w:val="16"/>
              </w:rPr>
              <w:t>Total*</w:t>
            </w:r>
          </w:p>
        </w:tc>
        <w:tc>
          <w:tcPr>
            <w:tcW w:w="1587" w:type="dxa"/>
            <w:tcBorders>
              <w:top w:val="single" w:sz="4" w:space="0" w:color="auto"/>
              <w:left w:val="nil"/>
              <w:bottom w:val="single" w:sz="4" w:space="0" w:color="auto"/>
              <w:right w:val="nil"/>
            </w:tcBorders>
            <w:shd w:val="clear" w:color="auto" w:fill="auto"/>
            <w:vAlign w:val="center"/>
          </w:tcPr>
          <w:p w14:paraId="0B9449AF" w14:textId="1014C354" w:rsidR="00D56AEE" w:rsidRPr="00BB165A" w:rsidRDefault="009D5C4E" w:rsidP="00AE5040">
            <w:pPr>
              <w:spacing w:after="0" w:line="240" w:lineRule="auto"/>
              <w:jc w:val="center"/>
              <w:rPr>
                <w:rFonts w:cs="Arial"/>
                <w:b/>
                <w:sz w:val="16"/>
                <w:szCs w:val="16"/>
              </w:rPr>
            </w:pPr>
            <w:r w:rsidRPr="00BB165A">
              <w:rPr>
                <w:rFonts w:cs="Arial"/>
                <w:b/>
                <w:sz w:val="16"/>
                <w:szCs w:val="16"/>
              </w:rPr>
              <w:t>$203,991,762</w:t>
            </w:r>
          </w:p>
        </w:tc>
        <w:tc>
          <w:tcPr>
            <w:tcW w:w="1587" w:type="dxa"/>
            <w:tcBorders>
              <w:top w:val="single" w:sz="4" w:space="0" w:color="auto"/>
              <w:left w:val="nil"/>
              <w:bottom w:val="single" w:sz="4" w:space="0" w:color="auto"/>
              <w:right w:val="nil"/>
            </w:tcBorders>
            <w:shd w:val="clear" w:color="auto" w:fill="auto"/>
            <w:vAlign w:val="center"/>
          </w:tcPr>
          <w:p w14:paraId="29D5F13D" w14:textId="079629FD" w:rsidR="00D56AEE" w:rsidRPr="00BB165A" w:rsidRDefault="009D5C4E" w:rsidP="00AE5040">
            <w:pPr>
              <w:spacing w:after="0" w:line="240" w:lineRule="auto"/>
              <w:jc w:val="center"/>
              <w:rPr>
                <w:rFonts w:cs="Arial"/>
                <w:b/>
                <w:sz w:val="16"/>
                <w:szCs w:val="16"/>
              </w:rPr>
            </w:pPr>
            <w:r w:rsidRPr="00BB165A">
              <w:rPr>
                <w:rFonts w:cs="Arial"/>
                <w:b/>
                <w:sz w:val="16"/>
                <w:szCs w:val="16"/>
              </w:rPr>
              <w:t>$23,015,849</w:t>
            </w:r>
          </w:p>
        </w:tc>
        <w:tc>
          <w:tcPr>
            <w:tcW w:w="1587" w:type="dxa"/>
            <w:tcBorders>
              <w:top w:val="single" w:sz="4" w:space="0" w:color="auto"/>
              <w:left w:val="nil"/>
              <w:bottom w:val="single" w:sz="4" w:space="0" w:color="auto"/>
              <w:right w:val="nil"/>
            </w:tcBorders>
            <w:shd w:val="clear" w:color="auto" w:fill="auto"/>
            <w:noWrap/>
            <w:vAlign w:val="center"/>
          </w:tcPr>
          <w:p w14:paraId="674286FE" w14:textId="26D5726E" w:rsidR="001D681C" w:rsidRPr="00BB165A" w:rsidRDefault="009D5C4E" w:rsidP="00A10247">
            <w:pPr>
              <w:spacing w:after="0" w:line="240" w:lineRule="auto"/>
              <w:jc w:val="center"/>
              <w:rPr>
                <w:rFonts w:cs="Arial"/>
                <w:b/>
                <w:sz w:val="16"/>
                <w:szCs w:val="16"/>
              </w:rPr>
            </w:pPr>
            <w:r w:rsidRPr="00BB165A">
              <w:rPr>
                <w:rFonts w:cs="Arial"/>
                <w:b/>
                <w:sz w:val="16"/>
                <w:szCs w:val="16"/>
              </w:rPr>
              <w:t>4.9%</w:t>
            </w:r>
          </w:p>
        </w:tc>
      </w:tr>
    </w:tbl>
    <w:p w14:paraId="64678067" w14:textId="047D091F" w:rsidR="006B357B" w:rsidRPr="00BB165A" w:rsidRDefault="00E73C4D" w:rsidP="006B357B">
      <w:pPr>
        <w:pStyle w:val="Source"/>
      </w:pPr>
      <w:r w:rsidRPr="00BB165A">
        <w:t>*</w:t>
      </w:r>
      <w:r w:rsidR="006B357B" w:rsidRPr="00BB165A">
        <w:t>Note:</w:t>
      </w:r>
      <w:r w:rsidRPr="00BB165A">
        <w:t xml:space="preserve"> </w:t>
      </w:r>
      <w:r w:rsidR="00CA0AE7" w:rsidRPr="00BB165A">
        <w:t>the percentage</w:t>
      </w:r>
      <w:r w:rsidR="006E193F" w:rsidRPr="00BB165A">
        <w:t xml:space="preserve"> share of teaching costs excludes </w:t>
      </w:r>
      <w:r w:rsidR="006D5B75" w:rsidRPr="00BB165A">
        <w:t>costs associated with</w:t>
      </w:r>
      <w:r w:rsidR="00213185" w:rsidRPr="00BB165A">
        <w:t xml:space="preserve"> changes in revenue </w:t>
      </w:r>
    </w:p>
    <w:p w14:paraId="267FC6EF" w14:textId="2A856DDE" w:rsidR="005B761A" w:rsidRPr="00BB165A" w:rsidRDefault="00B573D8" w:rsidP="00EC349F">
      <w:r w:rsidRPr="00BB165A">
        <w:t>Teaching</w:t>
      </w:r>
      <w:r w:rsidR="00ED165E" w:rsidRPr="00BB165A">
        <w:t xml:space="preserve"> costs per EFTSL </w:t>
      </w:r>
      <w:r w:rsidRPr="00BB165A">
        <w:t>were</w:t>
      </w:r>
      <w:r w:rsidR="00D51030" w:rsidRPr="00BB165A">
        <w:t xml:space="preserve"> an average of </w:t>
      </w:r>
      <w:r w:rsidR="00ED165E" w:rsidRPr="00BB165A">
        <w:t>$</w:t>
      </w:r>
      <w:r w:rsidR="004D34E1" w:rsidRPr="00BB165A">
        <w:t>1,100</w:t>
      </w:r>
      <w:r w:rsidR="00ED165E" w:rsidRPr="00BB165A">
        <w:t xml:space="preserve"> (or </w:t>
      </w:r>
      <w:r w:rsidR="004D34E1" w:rsidRPr="00BB165A">
        <w:t>5.5</w:t>
      </w:r>
      <w:r w:rsidR="00ED165E" w:rsidRPr="00BB165A">
        <w:t xml:space="preserve">%) </w:t>
      </w:r>
      <w:r w:rsidR="00D51030" w:rsidRPr="00BB165A">
        <w:t xml:space="preserve">higher </w:t>
      </w:r>
      <w:r w:rsidR="00ED165E" w:rsidRPr="00BB165A">
        <w:t>for the nine universities that comp</w:t>
      </w:r>
      <w:r w:rsidR="009C1FCC">
        <w:t>l</w:t>
      </w:r>
      <w:r w:rsidR="00ED165E" w:rsidRPr="00BB165A">
        <w:t>eted the optional COVID</w:t>
      </w:r>
      <w:r w:rsidR="0098535F">
        <w:t>-19</w:t>
      </w:r>
      <w:r w:rsidR="00ED165E" w:rsidRPr="00BB165A">
        <w:t xml:space="preserve"> tab. </w:t>
      </w:r>
      <w:r w:rsidR="004C21B1">
        <w:t xml:space="preserve">That is, </w:t>
      </w:r>
      <w:r w:rsidR="004D23E4">
        <w:t xml:space="preserve">COVID-19 measures introduced by these </w:t>
      </w:r>
      <w:r w:rsidR="00727EB7">
        <w:t xml:space="preserve">nine universities </w:t>
      </w:r>
      <w:r w:rsidR="00E84E8A">
        <w:t>accounted for 5.5%</w:t>
      </w:r>
      <w:r w:rsidR="006163FA">
        <w:t xml:space="preserve"> of the</w:t>
      </w:r>
      <w:r w:rsidR="00553F12">
        <w:t xml:space="preserve"> teaching</w:t>
      </w:r>
      <w:r w:rsidR="006163FA">
        <w:t xml:space="preserve"> </w:t>
      </w:r>
      <w:r w:rsidR="00553F12">
        <w:t xml:space="preserve">costs </w:t>
      </w:r>
      <w:r w:rsidR="00A54886">
        <w:t xml:space="preserve">recorded </w:t>
      </w:r>
      <w:r w:rsidR="005D2827">
        <w:t>‘</w:t>
      </w:r>
      <w:r w:rsidR="00A54886">
        <w:t>above the line</w:t>
      </w:r>
      <w:r w:rsidR="005D2827">
        <w:t>’</w:t>
      </w:r>
      <w:r w:rsidR="00A54886">
        <w:t xml:space="preserve"> </w:t>
      </w:r>
      <w:r w:rsidR="00553F12">
        <w:t>in 2020.</w:t>
      </w:r>
      <w:r w:rsidR="00FD0F9E">
        <w:t xml:space="preserve"> </w:t>
      </w:r>
      <w:r w:rsidR="00D55517" w:rsidRPr="00BB165A">
        <w:t xml:space="preserve">A further </w:t>
      </w:r>
      <w:r w:rsidR="00E00BD1" w:rsidRPr="00BB165A">
        <w:t xml:space="preserve">five universities provided data in the Supporting Statement </w:t>
      </w:r>
      <w:r w:rsidR="009124A6" w:rsidRPr="00BB165A">
        <w:t>quantifying the impact of COVID</w:t>
      </w:r>
      <w:r w:rsidR="0098535F">
        <w:t>-19</w:t>
      </w:r>
      <w:r w:rsidR="009124A6" w:rsidRPr="00BB165A">
        <w:t xml:space="preserve"> measures on total teaching costs in 2020. </w:t>
      </w:r>
      <w:r w:rsidR="005B761A" w:rsidRPr="00BB165A">
        <w:t>For the fourteen universities that</w:t>
      </w:r>
      <w:r w:rsidR="00FB2BED" w:rsidRPr="00BB165A">
        <w:t xml:space="preserve"> reported</w:t>
      </w:r>
      <w:r w:rsidR="00D51030" w:rsidRPr="00BB165A">
        <w:t xml:space="preserve">, </w:t>
      </w:r>
      <w:r w:rsidRPr="00BB165A">
        <w:t>teaching costs per EFTSL were</w:t>
      </w:r>
      <w:r w:rsidR="00FB2BED" w:rsidRPr="00BB165A">
        <w:t xml:space="preserve"> </w:t>
      </w:r>
      <w:r w:rsidR="00D51030" w:rsidRPr="00BB165A">
        <w:t xml:space="preserve">an average of </w:t>
      </w:r>
      <w:r w:rsidR="00FB2BED" w:rsidRPr="00BB165A">
        <w:t>$</w:t>
      </w:r>
      <w:r w:rsidR="00024516" w:rsidRPr="00BB165A">
        <w:t>600</w:t>
      </w:r>
      <w:r w:rsidR="00FB2BED" w:rsidRPr="00BB165A">
        <w:t xml:space="preserve"> (</w:t>
      </w:r>
      <w:r w:rsidR="00024516" w:rsidRPr="00BB165A">
        <w:t>3.2</w:t>
      </w:r>
      <w:r w:rsidR="00FB2BED" w:rsidRPr="00BB165A">
        <w:t>%)</w:t>
      </w:r>
      <w:r w:rsidRPr="00BB165A">
        <w:t xml:space="preserve"> higher </w:t>
      </w:r>
      <w:r w:rsidR="00FF66E6" w:rsidRPr="00BB165A">
        <w:t xml:space="preserve">due to the effect of </w:t>
      </w:r>
      <w:r w:rsidR="005D1AD8" w:rsidRPr="00BB165A">
        <w:t>COVID</w:t>
      </w:r>
      <w:r w:rsidR="00612990">
        <w:t>-19</w:t>
      </w:r>
      <w:r w:rsidR="005D1AD8" w:rsidRPr="00BB165A">
        <w:t xml:space="preserve"> measures</w:t>
      </w:r>
      <w:r w:rsidR="00FB2BED" w:rsidRPr="00BB165A">
        <w:t>.</w:t>
      </w:r>
    </w:p>
    <w:p w14:paraId="7C3DBA63" w14:textId="4A76E214" w:rsidR="003E1E95" w:rsidRPr="00BB165A" w:rsidRDefault="00ED0408" w:rsidP="00EC349F">
      <w:r w:rsidRPr="00BB165A">
        <w:t>I</w:t>
      </w:r>
      <w:r w:rsidR="003E1E95" w:rsidRPr="00BB165A">
        <w:t xml:space="preserve">t should be noted that many universities were unable to </w:t>
      </w:r>
      <w:r w:rsidR="00C461F2" w:rsidRPr="00BB165A">
        <w:t>separate</w:t>
      </w:r>
      <w:r w:rsidR="003E1E95" w:rsidRPr="00BB165A">
        <w:t xml:space="preserve"> COVID</w:t>
      </w:r>
      <w:r w:rsidR="00612990">
        <w:t>-19</w:t>
      </w:r>
      <w:r w:rsidR="003E1E95" w:rsidRPr="00BB165A">
        <w:t xml:space="preserve"> costs from </w:t>
      </w:r>
      <w:r w:rsidR="00C461F2" w:rsidRPr="00BB165A">
        <w:t xml:space="preserve">other costs and were therefore unable to complete the optional tab or provide more detailed COIVD cost estimates. </w:t>
      </w:r>
    </w:p>
    <w:p w14:paraId="113A82F2" w14:textId="7E4CBDA0" w:rsidR="00C0545D" w:rsidRPr="005D2827" w:rsidRDefault="00C0545D" w:rsidP="00C0545D">
      <w:pPr>
        <w:pStyle w:val="CaptionTable"/>
      </w:pPr>
      <w:r w:rsidRPr="00BB165A">
        <w:t xml:space="preserve"> </w:t>
      </w:r>
      <w:bookmarkStart w:id="697" w:name="_Toc105776721"/>
      <w:r w:rsidRPr="00E61E82">
        <w:t>Total averag</w:t>
      </w:r>
      <w:r w:rsidRPr="005D2827">
        <w:t xml:space="preserve">e impact </w:t>
      </w:r>
      <w:r w:rsidR="00996432" w:rsidRPr="005D2827">
        <w:t>of COVID</w:t>
      </w:r>
      <w:r w:rsidRPr="005D2827">
        <w:t xml:space="preserve">-19 costs on teaching and scholarship costs </w:t>
      </w:r>
      <w:r w:rsidR="00AA4696" w:rsidRPr="005D2827">
        <w:t>(</w:t>
      </w:r>
      <w:r w:rsidRPr="005D2827">
        <w:t>2020</w:t>
      </w:r>
      <w:r w:rsidR="00AA4696" w:rsidRPr="005D2827">
        <w:t>)</w:t>
      </w:r>
      <w:bookmarkEnd w:id="697"/>
    </w:p>
    <w:tbl>
      <w:tblPr>
        <w:tblStyle w:val="Deloittetable"/>
        <w:tblW w:w="9239" w:type="dxa"/>
        <w:tblLayout w:type="fixed"/>
        <w:tblCellMar>
          <w:left w:w="57" w:type="dxa"/>
          <w:right w:w="57" w:type="dxa"/>
        </w:tblCellMar>
        <w:tblLook w:val="04A0" w:firstRow="1" w:lastRow="0" w:firstColumn="1" w:lastColumn="0" w:noHBand="0" w:noVBand="1"/>
      </w:tblPr>
      <w:tblGrid>
        <w:gridCol w:w="2154"/>
        <w:gridCol w:w="1417"/>
        <w:gridCol w:w="1417"/>
        <w:gridCol w:w="1417"/>
        <w:gridCol w:w="1417"/>
        <w:gridCol w:w="1417"/>
      </w:tblGrid>
      <w:tr w:rsidR="00205818" w:rsidRPr="00ED0408" w14:paraId="0ACBCD40" w14:textId="77777777" w:rsidTr="00ED0408">
        <w:trPr>
          <w:cnfStyle w:val="100000000000" w:firstRow="1" w:lastRow="0" w:firstColumn="0" w:lastColumn="0" w:oddVBand="0" w:evenVBand="0" w:oddHBand="0" w:evenHBand="0" w:firstRowFirstColumn="0" w:firstRowLastColumn="0" w:lastRowFirstColumn="0" w:lastRowLastColumn="0"/>
          <w:trHeight w:val="510"/>
        </w:trPr>
        <w:tc>
          <w:tcPr>
            <w:tcW w:w="2154" w:type="dxa"/>
            <w:tcBorders>
              <w:left w:val="nil"/>
              <w:bottom w:val="single" w:sz="4" w:space="0" w:color="000000" w:themeColor="text1"/>
              <w:right w:val="nil"/>
            </w:tcBorders>
            <w:noWrap/>
            <w:hideMark/>
          </w:tcPr>
          <w:p w14:paraId="0CBE4207" w14:textId="77777777" w:rsidR="00205818" w:rsidRPr="00BB165A" w:rsidRDefault="00205818" w:rsidP="00205818"/>
        </w:tc>
        <w:tc>
          <w:tcPr>
            <w:tcW w:w="1417" w:type="dxa"/>
            <w:tcBorders>
              <w:left w:val="nil"/>
              <w:bottom w:val="single" w:sz="4" w:space="0" w:color="000000" w:themeColor="text1"/>
              <w:right w:val="nil"/>
            </w:tcBorders>
            <w:noWrap/>
            <w:vAlign w:val="center"/>
            <w:hideMark/>
          </w:tcPr>
          <w:p w14:paraId="79F7BE49" w14:textId="3D0F54E0" w:rsidR="00205818" w:rsidRPr="00BB165A" w:rsidRDefault="00205818" w:rsidP="00205818">
            <w:pPr>
              <w:spacing w:after="0" w:line="240" w:lineRule="auto"/>
              <w:jc w:val="center"/>
              <w:rPr>
                <w:rFonts w:eastAsia="Times New Roman" w:cs="Arial"/>
                <w:b/>
                <w:i/>
                <w:sz w:val="16"/>
                <w:szCs w:val="16"/>
                <w:lang w:eastAsia="en-AU"/>
              </w:rPr>
            </w:pPr>
            <w:r w:rsidRPr="00BB165A">
              <w:rPr>
                <w:rFonts w:cs="Arial"/>
                <w:i/>
                <w:sz w:val="16"/>
                <w:szCs w:val="16"/>
              </w:rPr>
              <w:t>Impact on cost per EFTSL</w:t>
            </w:r>
            <w:r w:rsidR="00355443" w:rsidRPr="00BB165A">
              <w:rPr>
                <w:rFonts w:cs="Arial"/>
                <w:i/>
                <w:sz w:val="16"/>
                <w:szCs w:val="16"/>
              </w:rPr>
              <w:t xml:space="preserve"> (all universities)</w:t>
            </w:r>
          </w:p>
        </w:tc>
        <w:tc>
          <w:tcPr>
            <w:tcW w:w="1417" w:type="dxa"/>
            <w:tcBorders>
              <w:left w:val="nil"/>
              <w:bottom w:val="single" w:sz="4" w:space="0" w:color="000000" w:themeColor="text1"/>
              <w:right w:val="nil"/>
            </w:tcBorders>
            <w:vAlign w:val="center"/>
            <w:hideMark/>
          </w:tcPr>
          <w:p w14:paraId="304BFC1E" w14:textId="260B882F" w:rsidR="00205818" w:rsidRPr="00BB165A" w:rsidRDefault="00205818" w:rsidP="00205818">
            <w:pPr>
              <w:spacing w:after="0" w:line="240" w:lineRule="auto"/>
              <w:jc w:val="center"/>
              <w:rPr>
                <w:rFonts w:eastAsia="Times New Roman" w:cs="Arial"/>
                <w:b/>
                <w:i/>
                <w:sz w:val="16"/>
                <w:szCs w:val="16"/>
                <w:lang w:eastAsia="en-AU"/>
              </w:rPr>
            </w:pPr>
            <w:r w:rsidRPr="00BB165A">
              <w:rPr>
                <w:rFonts w:cs="Arial"/>
                <w:i/>
                <w:sz w:val="16"/>
                <w:szCs w:val="16"/>
              </w:rPr>
              <w:t>% impact on total teaching and scholarship costs per EFTSL</w:t>
            </w:r>
            <w:r w:rsidR="00355443" w:rsidRPr="00BB165A">
              <w:rPr>
                <w:rFonts w:cs="Arial"/>
                <w:i/>
                <w:sz w:val="16"/>
                <w:szCs w:val="16"/>
              </w:rPr>
              <w:t xml:space="preserve"> (all universities)</w:t>
            </w:r>
          </w:p>
        </w:tc>
        <w:tc>
          <w:tcPr>
            <w:tcW w:w="1417" w:type="dxa"/>
            <w:tcBorders>
              <w:left w:val="nil"/>
              <w:bottom w:val="single" w:sz="4" w:space="0" w:color="000000" w:themeColor="text1"/>
              <w:right w:val="nil"/>
            </w:tcBorders>
            <w:vAlign w:val="center"/>
          </w:tcPr>
          <w:p w14:paraId="6E13DFA4" w14:textId="7128F275" w:rsidR="00205818" w:rsidRPr="00BB165A" w:rsidRDefault="00205818" w:rsidP="00205818">
            <w:pPr>
              <w:spacing w:after="0" w:line="240" w:lineRule="auto"/>
              <w:jc w:val="center"/>
              <w:rPr>
                <w:rFonts w:eastAsia="Times New Roman" w:cs="Arial"/>
                <w:b/>
                <w:i/>
                <w:sz w:val="16"/>
                <w:szCs w:val="16"/>
                <w:lang w:eastAsia="en-AU"/>
              </w:rPr>
            </w:pPr>
            <w:r w:rsidRPr="00BB165A">
              <w:rPr>
                <w:rFonts w:cs="Arial"/>
                <w:i/>
                <w:sz w:val="16"/>
                <w:szCs w:val="16"/>
              </w:rPr>
              <w:t>Impact on cost per EFTSL (for universities who report)</w:t>
            </w:r>
          </w:p>
        </w:tc>
        <w:tc>
          <w:tcPr>
            <w:tcW w:w="1417" w:type="dxa"/>
            <w:tcBorders>
              <w:left w:val="nil"/>
              <w:bottom w:val="single" w:sz="4" w:space="0" w:color="000000" w:themeColor="text1"/>
              <w:right w:val="nil"/>
            </w:tcBorders>
            <w:vAlign w:val="center"/>
          </w:tcPr>
          <w:p w14:paraId="0B778121" w14:textId="68271BEC" w:rsidR="00205818" w:rsidRPr="00BB165A" w:rsidRDefault="00205818" w:rsidP="00205818">
            <w:pPr>
              <w:spacing w:after="0" w:line="240" w:lineRule="auto"/>
              <w:jc w:val="center"/>
              <w:rPr>
                <w:rFonts w:eastAsia="Times New Roman" w:cs="Arial"/>
                <w:b/>
                <w:i/>
                <w:sz w:val="16"/>
                <w:szCs w:val="16"/>
                <w:lang w:eastAsia="en-AU"/>
              </w:rPr>
            </w:pPr>
            <w:r w:rsidRPr="00BB165A">
              <w:rPr>
                <w:rFonts w:cs="Arial"/>
                <w:i/>
                <w:sz w:val="16"/>
                <w:szCs w:val="16"/>
              </w:rPr>
              <w:t>% impact on total teaching and scholarship costs per EFTSL (for universities who report)</w:t>
            </w:r>
          </w:p>
        </w:tc>
        <w:tc>
          <w:tcPr>
            <w:tcW w:w="1417" w:type="dxa"/>
            <w:tcBorders>
              <w:left w:val="nil"/>
              <w:bottom w:val="single" w:sz="4" w:space="0" w:color="000000" w:themeColor="text1"/>
              <w:right w:val="nil"/>
            </w:tcBorders>
            <w:vAlign w:val="center"/>
          </w:tcPr>
          <w:p w14:paraId="02A18DDB" w14:textId="73AB2DF7" w:rsidR="00205818" w:rsidRPr="00BB165A" w:rsidRDefault="00205818" w:rsidP="00205818">
            <w:pPr>
              <w:spacing w:after="0" w:line="240" w:lineRule="auto"/>
              <w:jc w:val="center"/>
              <w:rPr>
                <w:rFonts w:eastAsia="Times New Roman" w:cs="Arial"/>
                <w:b/>
                <w:i/>
                <w:sz w:val="16"/>
                <w:szCs w:val="16"/>
                <w:lang w:eastAsia="en-AU"/>
              </w:rPr>
            </w:pPr>
            <w:r w:rsidRPr="00BB165A">
              <w:rPr>
                <w:rFonts w:cs="Arial"/>
                <w:i/>
                <w:sz w:val="16"/>
                <w:szCs w:val="16"/>
              </w:rPr>
              <w:t>Number of universities reporting COVID-</w:t>
            </w:r>
            <w:r w:rsidR="006E0B68" w:rsidRPr="00BB165A">
              <w:rPr>
                <w:rFonts w:cs="Arial"/>
                <w:i/>
                <w:sz w:val="16"/>
                <w:szCs w:val="16"/>
              </w:rPr>
              <w:t>19</w:t>
            </w:r>
            <w:r w:rsidRPr="00BB165A">
              <w:rPr>
                <w:rFonts w:cs="Arial"/>
                <w:i/>
                <w:sz w:val="16"/>
                <w:szCs w:val="16"/>
              </w:rPr>
              <w:t xml:space="preserve"> costs</w:t>
            </w:r>
          </w:p>
        </w:tc>
      </w:tr>
      <w:tr w:rsidR="00996432" w:rsidRPr="00ED0408" w14:paraId="15396B1D" w14:textId="77777777" w:rsidTr="00ED0408">
        <w:trPr>
          <w:trHeight w:val="226"/>
        </w:trPr>
        <w:tc>
          <w:tcPr>
            <w:tcW w:w="2154" w:type="dxa"/>
            <w:tcBorders>
              <w:top w:val="single" w:sz="4" w:space="0" w:color="000000" w:themeColor="text1"/>
              <w:left w:val="nil"/>
              <w:bottom w:val="single" w:sz="4" w:space="0" w:color="000000" w:themeColor="text1"/>
              <w:right w:val="nil"/>
            </w:tcBorders>
            <w:noWrap/>
            <w:vAlign w:val="bottom"/>
            <w:hideMark/>
          </w:tcPr>
          <w:p w14:paraId="6512D3C3" w14:textId="4372139A" w:rsidR="00996432" w:rsidRPr="00BB165A" w:rsidRDefault="00996432" w:rsidP="00996432">
            <w:pPr>
              <w:spacing w:after="0" w:line="240" w:lineRule="auto"/>
              <w:rPr>
                <w:rFonts w:eastAsia="Times New Roman" w:cs="Arial"/>
                <w:b/>
                <w:sz w:val="16"/>
                <w:szCs w:val="16"/>
                <w:lang w:eastAsia="en-AU"/>
              </w:rPr>
            </w:pPr>
            <w:r w:rsidRPr="00BB165A">
              <w:rPr>
                <w:rFonts w:cs="Arial"/>
                <w:sz w:val="16"/>
                <w:szCs w:val="16"/>
              </w:rPr>
              <w:t>COVID</w:t>
            </w:r>
            <w:r w:rsidR="006D480B">
              <w:rPr>
                <w:rFonts w:cs="Arial"/>
                <w:sz w:val="16"/>
                <w:szCs w:val="16"/>
              </w:rPr>
              <w:t>-19</w:t>
            </w:r>
            <w:r w:rsidRPr="00BB165A">
              <w:rPr>
                <w:rFonts w:cs="Arial"/>
                <w:sz w:val="16"/>
                <w:szCs w:val="16"/>
              </w:rPr>
              <w:t xml:space="preserve"> optional tab costs</w:t>
            </w:r>
          </w:p>
        </w:tc>
        <w:tc>
          <w:tcPr>
            <w:tcW w:w="1417" w:type="dxa"/>
            <w:tcBorders>
              <w:top w:val="single" w:sz="4" w:space="0" w:color="000000" w:themeColor="text1"/>
              <w:left w:val="nil"/>
              <w:bottom w:val="single" w:sz="4" w:space="0" w:color="000000" w:themeColor="text1"/>
              <w:right w:val="nil"/>
            </w:tcBorders>
            <w:noWrap/>
            <w:vAlign w:val="bottom"/>
            <w:hideMark/>
          </w:tcPr>
          <w:p w14:paraId="1E52CDB0" w14:textId="4292BF70"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$225</w:t>
            </w:r>
          </w:p>
        </w:tc>
        <w:tc>
          <w:tcPr>
            <w:tcW w:w="1417" w:type="dxa"/>
            <w:tcBorders>
              <w:top w:val="single" w:sz="4" w:space="0" w:color="000000" w:themeColor="text1"/>
              <w:left w:val="nil"/>
              <w:bottom w:val="single" w:sz="4" w:space="0" w:color="000000" w:themeColor="text1"/>
              <w:right w:val="nil"/>
            </w:tcBorders>
            <w:noWrap/>
            <w:vAlign w:val="bottom"/>
            <w:hideMark/>
          </w:tcPr>
          <w:p w14:paraId="69A9975A" w14:textId="75407F56"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1.2%</w:t>
            </w:r>
          </w:p>
        </w:tc>
        <w:tc>
          <w:tcPr>
            <w:tcW w:w="1417" w:type="dxa"/>
            <w:tcBorders>
              <w:top w:val="single" w:sz="4" w:space="0" w:color="000000" w:themeColor="text1"/>
              <w:left w:val="nil"/>
              <w:bottom w:val="single" w:sz="4" w:space="0" w:color="000000" w:themeColor="text1"/>
              <w:right w:val="nil"/>
            </w:tcBorders>
            <w:vAlign w:val="bottom"/>
          </w:tcPr>
          <w:p w14:paraId="2A203D4D" w14:textId="3D9B3730"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$1,101</w:t>
            </w:r>
          </w:p>
        </w:tc>
        <w:tc>
          <w:tcPr>
            <w:tcW w:w="1417" w:type="dxa"/>
            <w:tcBorders>
              <w:top w:val="single" w:sz="4" w:space="0" w:color="000000" w:themeColor="text1"/>
              <w:left w:val="nil"/>
              <w:bottom w:val="single" w:sz="4" w:space="0" w:color="000000" w:themeColor="text1"/>
              <w:right w:val="nil"/>
            </w:tcBorders>
            <w:vAlign w:val="bottom"/>
          </w:tcPr>
          <w:p w14:paraId="31DC7223" w14:textId="13CE26D2"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5.</w:t>
            </w:r>
            <w:r w:rsidR="007D0D53" w:rsidRPr="00BB165A">
              <w:rPr>
                <w:rFonts w:cs="Arial"/>
                <w:sz w:val="16"/>
                <w:szCs w:val="16"/>
              </w:rPr>
              <w:t>5</w:t>
            </w:r>
            <w:r w:rsidRPr="00BB165A">
              <w:rPr>
                <w:rFonts w:cs="Arial"/>
                <w:sz w:val="16"/>
                <w:szCs w:val="16"/>
              </w:rPr>
              <w:t>%</w:t>
            </w:r>
          </w:p>
        </w:tc>
        <w:tc>
          <w:tcPr>
            <w:tcW w:w="1417" w:type="dxa"/>
            <w:tcBorders>
              <w:top w:val="single" w:sz="4" w:space="0" w:color="000000" w:themeColor="text1"/>
              <w:left w:val="nil"/>
              <w:bottom w:val="single" w:sz="4" w:space="0" w:color="000000" w:themeColor="text1"/>
              <w:right w:val="nil"/>
            </w:tcBorders>
            <w:vAlign w:val="bottom"/>
          </w:tcPr>
          <w:p w14:paraId="71138746" w14:textId="7C2D81D7"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9</w:t>
            </w:r>
          </w:p>
        </w:tc>
      </w:tr>
      <w:tr w:rsidR="00996432" w:rsidRPr="00ED0408" w14:paraId="10C9DD05" w14:textId="77777777" w:rsidTr="00ED0408">
        <w:trPr>
          <w:trHeight w:val="226"/>
        </w:trPr>
        <w:tc>
          <w:tcPr>
            <w:tcW w:w="2154" w:type="dxa"/>
            <w:tcBorders>
              <w:top w:val="single" w:sz="4" w:space="0" w:color="000000" w:themeColor="text1"/>
              <w:left w:val="nil"/>
              <w:bottom w:val="single" w:sz="4" w:space="0" w:color="000000" w:themeColor="text1"/>
              <w:right w:val="nil"/>
            </w:tcBorders>
            <w:noWrap/>
            <w:vAlign w:val="bottom"/>
            <w:hideMark/>
          </w:tcPr>
          <w:p w14:paraId="56CEF38D" w14:textId="4FECE320" w:rsidR="00996432" w:rsidRPr="00BB165A" w:rsidRDefault="00996432" w:rsidP="00996432">
            <w:pPr>
              <w:spacing w:after="0" w:line="240" w:lineRule="auto"/>
              <w:rPr>
                <w:rFonts w:eastAsia="Times New Roman" w:cs="Arial"/>
                <w:b/>
                <w:sz w:val="16"/>
                <w:szCs w:val="16"/>
                <w:lang w:eastAsia="en-AU"/>
              </w:rPr>
            </w:pPr>
            <w:r w:rsidRPr="00BB165A">
              <w:rPr>
                <w:rFonts w:cs="Arial"/>
                <w:sz w:val="16"/>
                <w:szCs w:val="16"/>
              </w:rPr>
              <w:t>COVID</w:t>
            </w:r>
            <w:r w:rsidR="006D480B">
              <w:rPr>
                <w:rFonts w:cs="Arial"/>
                <w:sz w:val="16"/>
                <w:szCs w:val="16"/>
              </w:rPr>
              <w:t>-19</w:t>
            </w:r>
            <w:r w:rsidRPr="00BB165A">
              <w:rPr>
                <w:rFonts w:cs="Arial"/>
                <w:sz w:val="16"/>
                <w:szCs w:val="16"/>
              </w:rPr>
              <w:t xml:space="preserve"> optional tab plus info from supporting statements</w:t>
            </w:r>
          </w:p>
        </w:tc>
        <w:tc>
          <w:tcPr>
            <w:tcW w:w="1417" w:type="dxa"/>
            <w:tcBorders>
              <w:top w:val="single" w:sz="4" w:space="0" w:color="000000" w:themeColor="text1"/>
              <w:left w:val="nil"/>
              <w:bottom w:val="single" w:sz="4" w:space="0" w:color="000000" w:themeColor="text1"/>
              <w:right w:val="nil"/>
            </w:tcBorders>
            <w:noWrap/>
            <w:vAlign w:val="bottom"/>
            <w:hideMark/>
          </w:tcPr>
          <w:p w14:paraId="5C625504" w14:textId="78DB05CB"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$195</w:t>
            </w:r>
          </w:p>
        </w:tc>
        <w:tc>
          <w:tcPr>
            <w:tcW w:w="1417" w:type="dxa"/>
            <w:tcBorders>
              <w:top w:val="single" w:sz="4" w:space="0" w:color="000000" w:themeColor="text1"/>
              <w:left w:val="nil"/>
              <w:bottom w:val="single" w:sz="4" w:space="0" w:color="000000" w:themeColor="text1"/>
              <w:right w:val="nil"/>
            </w:tcBorders>
            <w:noWrap/>
            <w:vAlign w:val="bottom"/>
            <w:hideMark/>
          </w:tcPr>
          <w:p w14:paraId="436470C4" w14:textId="3E94FB9C"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1.0%</w:t>
            </w:r>
          </w:p>
        </w:tc>
        <w:tc>
          <w:tcPr>
            <w:tcW w:w="1417" w:type="dxa"/>
            <w:tcBorders>
              <w:top w:val="single" w:sz="4" w:space="0" w:color="000000" w:themeColor="text1"/>
              <w:left w:val="nil"/>
              <w:bottom w:val="single" w:sz="4" w:space="0" w:color="000000" w:themeColor="text1"/>
              <w:right w:val="nil"/>
            </w:tcBorders>
            <w:vAlign w:val="bottom"/>
          </w:tcPr>
          <w:p w14:paraId="7F46E1C5" w14:textId="07D0B2FA"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$613</w:t>
            </w:r>
          </w:p>
        </w:tc>
        <w:tc>
          <w:tcPr>
            <w:tcW w:w="1417" w:type="dxa"/>
            <w:tcBorders>
              <w:top w:val="single" w:sz="4" w:space="0" w:color="000000" w:themeColor="text1"/>
              <w:left w:val="nil"/>
              <w:bottom w:val="single" w:sz="4" w:space="0" w:color="000000" w:themeColor="text1"/>
              <w:right w:val="nil"/>
            </w:tcBorders>
            <w:vAlign w:val="bottom"/>
          </w:tcPr>
          <w:p w14:paraId="5D504936" w14:textId="016FA43B"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3.2%</w:t>
            </w:r>
          </w:p>
        </w:tc>
        <w:tc>
          <w:tcPr>
            <w:tcW w:w="1417" w:type="dxa"/>
            <w:tcBorders>
              <w:top w:val="single" w:sz="4" w:space="0" w:color="000000" w:themeColor="text1"/>
              <w:left w:val="nil"/>
              <w:bottom w:val="single" w:sz="4" w:space="0" w:color="000000" w:themeColor="text1"/>
              <w:right w:val="nil"/>
            </w:tcBorders>
            <w:vAlign w:val="bottom"/>
          </w:tcPr>
          <w:p w14:paraId="6C158630" w14:textId="0E881352" w:rsidR="00996432" w:rsidRPr="00BB165A" w:rsidRDefault="00996432" w:rsidP="00996432">
            <w:pPr>
              <w:spacing w:after="0" w:line="240" w:lineRule="auto"/>
              <w:jc w:val="center"/>
              <w:rPr>
                <w:rFonts w:eastAsia="Times New Roman" w:cs="Arial"/>
                <w:sz w:val="16"/>
                <w:szCs w:val="16"/>
                <w:lang w:eastAsia="en-AU"/>
              </w:rPr>
            </w:pPr>
            <w:r w:rsidRPr="00BB165A">
              <w:rPr>
                <w:rFonts w:cs="Arial"/>
                <w:sz w:val="16"/>
                <w:szCs w:val="16"/>
              </w:rPr>
              <w:t>14</w:t>
            </w:r>
          </w:p>
        </w:tc>
      </w:tr>
    </w:tbl>
    <w:p w14:paraId="66E5ED66" w14:textId="58D19E20" w:rsidR="001F5512" w:rsidRPr="00BB165A" w:rsidRDefault="001F5512" w:rsidP="009C6EF0">
      <w:pPr>
        <w:spacing w:before="240"/>
      </w:pPr>
      <w:r w:rsidRPr="00BB165A">
        <w:t xml:space="preserve">However, not all universities reported increased costs </w:t>
      </w:r>
      <w:r w:rsidR="00841A45" w:rsidRPr="00BB165A">
        <w:t xml:space="preserve">because of </w:t>
      </w:r>
      <w:r w:rsidRPr="00BB165A">
        <w:t>COVID</w:t>
      </w:r>
      <w:r w:rsidR="00612990">
        <w:t>-19</w:t>
      </w:r>
      <w:r w:rsidR="004A64B8" w:rsidRPr="00BB165A">
        <w:t>. Th</w:t>
      </w:r>
      <w:r w:rsidR="006A19F5" w:rsidRPr="00BB165A">
        <w:t>ree</w:t>
      </w:r>
      <w:r w:rsidR="00F5093A" w:rsidRPr="00BB165A">
        <w:t xml:space="preserve"> universities (out of fourteen that reported data) </w:t>
      </w:r>
      <w:r w:rsidR="004A64B8" w:rsidRPr="00BB165A">
        <w:t xml:space="preserve">observed a decrease in costs in 2020 </w:t>
      </w:r>
      <w:r w:rsidR="00B10E87" w:rsidRPr="00BB165A">
        <w:t>because of</w:t>
      </w:r>
      <w:r w:rsidR="004A64B8" w:rsidRPr="00BB165A">
        <w:t xml:space="preserve"> COVID</w:t>
      </w:r>
      <w:r w:rsidR="00612990">
        <w:t>-19</w:t>
      </w:r>
      <w:r w:rsidR="004A64B8" w:rsidRPr="00BB165A">
        <w:t xml:space="preserve"> </w:t>
      </w:r>
      <w:r w:rsidR="00F5093A" w:rsidRPr="00BB165A">
        <w:t>(</w:t>
      </w:r>
      <w:r w:rsidR="00F5093A" w:rsidRPr="00BB165A">
        <w:fldChar w:fldCharType="begin"/>
      </w:r>
      <w:r w:rsidR="00F5093A" w:rsidRPr="00BB165A">
        <w:instrText xml:space="preserve"> REF _Ref101430062 \r \h </w:instrText>
      </w:r>
      <w:r w:rsidR="009C6EF0" w:rsidRPr="00BB165A">
        <w:instrText xml:space="preserve"> \* MERGEFORMAT </w:instrText>
      </w:r>
      <w:r w:rsidR="00F5093A" w:rsidRPr="00BB165A">
        <w:fldChar w:fldCharType="separate"/>
      </w:r>
      <w:r w:rsidR="00E83FB1">
        <w:t>Chart 3.1</w:t>
      </w:r>
      <w:r w:rsidR="00F5093A" w:rsidRPr="00BB165A">
        <w:fldChar w:fldCharType="end"/>
      </w:r>
      <w:r w:rsidR="00F5093A" w:rsidRPr="00BB165A">
        <w:t xml:space="preserve">). </w:t>
      </w:r>
      <w:r w:rsidR="00046807" w:rsidRPr="00BB165A">
        <w:t xml:space="preserve">All three universities </w:t>
      </w:r>
      <w:r w:rsidR="0065617F" w:rsidRPr="00BB165A">
        <w:t>reported COVID</w:t>
      </w:r>
      <w:r w:rsidR="00612990">
        <w:t>-19</w:t>
      </w:r>
      <w:r w:rsidR="0065617F" w:rsidRPr="00BB165A">
        <w:t xml:space="preserve"> costs data via the </w:t>
      </w:r>
      <w:r w:rsidR="00696857" w:rsidRPr="00BB165A">
        <w:t>S</w:t>
      </w:r>
      <w:r w:rsidR="0065617F" w:rsidRPr="00BB165A">
        <w:t xml:space="preserve">upporting </w:t>
      </w:r>
      <w:r w:rsidR="00696857" w:rsidRPr="00BB165A">
        <w:t>S</w:t>
      </w:r>
      <w:r w:rsidR="0065617F" w:rsidRPr="00BB165A">
        <w:t xml:space="preserve">tatements with declines in costs </w:t>
      </w:r>
      <w:r w:rsidR="00BD2FDA" w:rsidRPr="00BB165A">
        <w:t xml:space="preserve">primarily due to </w:t>
      </w:r>
      <w:r w:rsidR="0065617F" w:rsidRPr="00BB165A">
        <w:t xml:space="preserve">falls in non-staff costs </w:t>
      </w:r>
      <w:r w:rsidR="00BD2FDA" w:rsidRPr="00BB165A">
        <w:t>such as declines in travel rated costs.</w:t>
      </w:r>
    </w:p>
    <w:p w14:paraId="72075978" w14:textId="0CFA96A4" w:rsidR="001F5512" w:rsidRPr="00BB165A" w:rsidRDefault="001F5512" w:rsidP="001F5512">
      <w:pPr>
        <w:pStyle w:val="CaptionChart"/>
      </w:pPr>
      <w:bookmarkStart w:id="698" w:name="_Ref101430062"/>
      <w:bookmarkStart w:id="699" w:name="_Toc105776383"/>
      <w:r w:rsidRPr="00BB165A">
        <w:t xml:space="preserve">: </w:t>
      </w:r>
      <w:r w:rsidR="00AD5B00" w:rsidRPr="00BB165A">
        <w:t xml:space="preserve">Total </w:t>
      </w:r>
      <w:r w:rsidRPr="00BB165A">
        <w:t xml:space="preserve">COVID-19 related costs </w:t>
      </w:r>
      <w:r w:rsidR="00AD5B00" w:rsidRPr="00BB165A">
        <w:t>by university as a percentage of above the line costs</w:t>
      </w:r>
      <w:bookmarkEnd w:id="698"/>
      <w:r w:rsidR="00382A37">
        <w:t xml:space="preserve"> (2020)</w:t>
      </w:r>
      <w:bookmarkEnd w:id="699"/>
    </w:p>
    <w:p w14:paraId="1F005538" w14:textId="489BED14" w:rsidR="001F5512" w:rsidRPr="00BB165A" w:rsidRDefault="008D5E4E" w:rsidP="001F5512">
      <w:r>
        <w:rPr>
          <w:noProof/>
        </w:rPr>
        <w:drawing>
          <wp:inline distT="0" distB="0" distL="0" distR="0" wp14:anchorId="0AF48C31" wp14:editId="3268FB7A">
            <wp:extent cx="4762500" cy="2743200"/>
            <wp:effectExtent l="0" t="0" r="0" b="0"/>
            <wp:docPr id="24" name="Chart 24" descr="Chart showing Total COVID-19 related costs by university as a percentage of above the line costs (2020). Columns are presented deidentified for each of the universities that reported COVID-19 related costs. Lines are also presented for the percentage of average COVID costs and the average COVID costs for those with data.">
              <a:extLst xmlns:a="http://schemas.openxmlformats.org/drawingml/2006/main">
                <a:ext uri="{FF2B5EF4-FFF2-40B4-BE49-F238E27FC236}">
                  <a16:creationId xmlns:a16="http://schemas.microsoft.com/office/drawing/2014/main" id="{6110DDD5-686A-4E04-95D8-9359E029DA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34783D4" w14:textId="69664B2A" w:rsidR="003F4010" w:rsidRPr="00BB165A" w:rsidRDefault="00FC54A5" w:rsidP="00D730B9">
      <w:pPr>
        <w:spacing w:before="240"/>
      </w:pPr>
      <w:r w:rsidRPr="00BB165A">
        <w:t>O</w:t>
      </w:r>
      <w:r w:rsidR="00977EF3" w:rsidRPr="00BB165A">
        <w:t xml:space="preserve">verall changes in costs per EFTSL between 2019 and 2020 </w:t>
      </w:r>
      <w:r w:rsidR="004A3A85" w:rsidRPr="00BB165A">
        <w:t>provide</w:t>
      </w:r>
      <w:r w:rsidR="000E2E89" w:rsidRPr="00BB165A">
        <w:t>s</w:t>
      </w:r>
      <w:r w:rsidR="004A3A85" w:rsidRPr="00BB165A">
        <w:t xml:space="preserve"> a broader look at how </w:t>
      </w:r>
      <w:r w:rsidR="00612990">
        <w:br/>
      </w:r>
      <w:r w:rsidR="004A3A85" w:rsidRPr="00BB165A">
        <w:t>COVID</w:t>
      </w:r>
      <w:r w:rsidR="00612990">
        <w:t>-19</w:t>
      </w:r>
      <w:r w:rsidR="004A3A85" w:rsidRPr="00BB165A">
        <w:t xml:space="preserve"> affected </w:t>
      </w:r>
      <w:r w:rsidR="002918B3" w:rsidRPr="00BB165A">
        <w:t xml:space="preserve">university teaching costs. This is particularly useful given that many universities did not complete the COVID-19 optional tab or provide sufficient information to analyse their costs in the </w:t>
      </w:r>
      <w:r w:rsidR="004225F3" w:rsidRPr="00BB165A">
        <w:t>Supporting Statement</w:t>
      </w:r>
      <w:r w:rsidR="002918B3" w:rsidRPr="00BB165A">
        <w:t>.</w:t>
      </w:r>
      <w:r w:rsidR="003F4010" w:rsidRPr="00BB165A">
        <w:t xml:space="preserve"> </w:t>
      </w:r>
    </w:p>
    <w:p w14:paraId="15B648D4" w14:textId="28DDE0EE" w:rsidR="00101F54" w:rsidRPr="00BB165A" w:rsidRDefault="00E410BC" w:rsidP="00D732C8">
      <w:r w:rsidRPr="00BB165A">
        <w:t xml:space="preserve">Overall </w:t>
      </w:r>
      <w:r w:rsidR="00EB110E" w:rsidRPr="00BB165A">
        <w:t>cost per EFTSL</w:t>
      </w:r>
      <w:r w:rsidRPr="00BB165A">
        <w:t xml:space="preserve"> increased </w:t>
      </w:r>
      <w:r w:rsidR="002468D9" w:rsidRPr="00BB165A">
        <w:t xml:space="preserve">from </w:t>
      </w:r>
      <w:r w:rsidR="0007587C" w:rsidRPr="00BB165A">
        <w:t>$</w:t>
      </w:r>
      <w:r w:rsidR="0061056A" w:rsidRPr="00BB165A">
        <w:t>1</w:t>
      </w:r>
      <w:r w:rsidR="00B62FF1" w:rsidRPr="00BB165A">
        <w:t>8</w:t>
      </w:r>
      <w:r w:rsidR="0061056A" w:rsidRPr="00BB165A">
        <w:t>,</w:t>
      </w:r>
      <w:r w:rsidR="007E11AF">
        <w:t>700</w:t>
      </w:r>
      <w:r w:rsidR="0061056A" w:rsidRPr="00BB165A">
        <w:t xml:space="preserve"> in 2019 to $18,</w:t>
      </w:r>
      <w:r w:rsidR="007E11AF">
        <w:t>8</w:t>
      </w:r>
      <w:r w:rsidR="007D7182" w:rsidRPr="00BB165A">
        <w:t>00</w:t>
      </w:r>
      <w:r w:rsidR="0061056A" w:rsidRPr="00BB165A">
        <w:t xml:space="preserve"> in 2020, a gain of </w:t>
      </w:r>
      <w:r w:rsidR="0007587C" w:rsidRPr="00BB165A">
        <w:t xml:space="preserve">0.5%. </w:t>
      </w:r>
      <w:r w:rsidR="00297EA2" w:rsidRPr="00BB165A">
        <w:t>A total of 2</w:t>
      </w:r>
      <w:r w:rsidR="005174B8">
        <w:t>3</w:t>
      </w:r>
      <w:r w:rsidR="00297EA2" w:rsidRPr="00BB165A">
        <w:t xml:space="preserve"> universities </w:t>
      </w:r>
      <w:r w:rsidR="00231BFD" w:rsidRPr="00BB165A">
        <w:t xml:space="preserve">saw </w:t>
      </w:r>
      <w:r w:rsidR="00D732C8" w:rsidRPr="00BB165A">
        <w:t xml:space="preserve">costs </w:t>
      </w:r>
      <w:r w:rsidR="00231BFD" w:rsidRPr="00BB165A">
        <w:t>increase</w:t>
      </w:r>
      <w:r w:rsidR="00671ECC" w:rsidRPr="00BB165A">
        <w:t xml:space="preserve"> </w:t>
      </w:r>
      <w:r w:rsidR="00497EED" w:rsidRPr="00BB165A">
        <w:t xml:space="preserve">(by an average of </w:t>
      </w:r>
      <w:r w:rsidR="00ED76B6" w:rsidRPr="00BB165A">
        <w:t>$</w:t>
      </w:r>
      <w:r w:rsidR="0027174D">
        <w:t>93</w:t>
      </w:r>
      <w:r w:rsidR="004E6BAE">
        <w:t>3</w:t>
      </w:r>
      <w:r w:rsidR="00ED76B6" w:rsidRPr="00BB165A">
        <w:t xml:space="preserve"> per EFTSL</w:t>
      </w:r>
      <w:r w:rsidR="004A42C4" w:rsidRPr="00BB165A">
        <w:t xml:space="preserve">, or </w:t>
      </w:r>
      <w:r w:rsidR="004E6BAE">
        <w:t>5</w:t>
      </w:r>
      <w:r w:rsidR="004A42C4" w:rsidRPr="00BB165A">
        <w:t>.1%</w:t>
      </w:r>
      <w:r w:rsidR="00ED76B6" w:rsidRPr="00BB165A">
        <w:t>) and 1</w:t>
      </w:r>
      <w:r w:rsidR="00543A94">
        <w:t>4</w:t>
      </w:r>
      <w:r w:rsidR="00ED76B6" w:rsidRPr="00BB165A">
        <w:t xml:space="preserve"> universities saw costs decrease (by an average of $1,</w:t>
      </w:r>
      <w:r w:rsidR="005B5A08" w:rsidRPr="00BB165A">
        <w:t>0</w:t>
      </w:r>
      <w:r w:rsidR="00EE1673">
        <w:t>79</w:t>
      </w:r>
      <w:r w:rsidR="00ED76B6" w:rsidRPr="00BB165A">
        <w:t xml:space="preserve"> per EFTSL</w:t>
      </w:r>
      <w:r w:rsidR="005B5A08" w:rsidRPr="00BB165A">
        <w:t>, or 5.</w:t>
      </w:r>
      <w:r w:rsidR="00543A94">
        <w:t>8</w:t>
      </w:r>
      <w:r w:rsidR="005B5A08" w:rsidRPr="00BB165A">
        <w:t>%</w:t>
      </w:r>
      <w:r w:rsidR="00ED76B6" w:rsidRPr="00BB165A">
        <w:t>).</w:t>
      </w:r>
      <w:r w:rsidR="00EC0B48" w:rsidRPr="00BB165A">
        <w:t xml:space="preserve"> </w:t>
      </w:r>
    </w:p>
    <w:p w14:paraId="4A0EE51E" w14:textId="27AE19DB" w:rsidR="00101F54" w:rsidRPr="00BB165A" w:rsidRDefault="00435577" w:rsidP="00D732C8">
      <w:r w:rsidRPr="00BB165A">
        <w:t xml:space="preserve">A total of </w:t>
      </w:r>
      <w:r w:rsidR="005F73E5" w:rsidRPr="00BB165A">
        <w:t xml:space="preserve">22 of the 37 universities saw </w:t>
      </w:r>
      <w:r w:rsidR="00101F54" w:rsidRPr="00BB165A">
        <w:t xml:space="preserve">total cost per EFTSL increase or decrease by no more than 5% in 2020. Yet there were several universities that </w:t>
      </w:r>
      <w:r w:rsidRPr="00BB165A">
        <w:t>reported large cost changes</w:t>
      </w:r>
      <w:r w:rsidR="00750069" w:rsidRPr="00BB165A">
        <w:t xml:space="preserve">. The largest </w:t>
      </w:r>
      <w:r w:rsidR="00542355" w:rsidRPr="00BB165A">
        <w:t>increase in</w:t>
      </w:r>
      <w:r w:rsidRPr="00BB165A">
        <w:t xml:space="preserve"> </w:t>
      </w:r>
      <w:r w:rsidR="00C35344" w:rsidRPr="00BB165A">
        <w:t xml:space="preserve">the </w:t>
      </w:r>
      <w:r w:rsidR="00542355" w:rsidRPr="00BB165A">
        <w:t xml:space="preserve">total cost per EFTSL at a university was 32.7%, while the </w:t>
      </w:r>
      <w:r w:rsidR="004A6A94" w:rsidRPr="00BB165A">
        <w:t>largest decrease was 15.1%.</w:t>
      </w:r>
      <w:r w:rsidRPr="00BB165A">
        <w:t xml:space="preserve"> </w:t>
      </w:r>
      <w:r w:rsidR="00DA310C" w:rsidRPr="00BB165A">
        <w:t xml:space="preserve">The university that reported </w:t>
      </w:r>
      <w:r w:rsidR="00FA2040" w:rsidRPr="00BB165A">
        <w:t xml:space="preserve">a 32.7% increase in costs per EFTSL saw a 15.4% increase in total teaching costs and a </w:t>
      </w:r>
      <w:r w:rsidR="003A7EC4" w:rsidRPr="00BB165A">
        <w:t>13.0% decrease in EFTSL</w:t>
      </w:r>
      <w:r w:rsidR="008152B1" w:rsidRPr="00BB165A">
        <w:t xml:space="preserve">, while the university that saw a </w:t>
      </w:r>
      <w:r w:rsidR="00562540" w:rsidRPr="00BB165A">
        <w:t>15.1% decrease in the cost per EFTSL saw a</w:t>
      </w:r>
      <w:r w:rsidR="00BD4793" w:rsidRPr="00BB165A">
        <w:t xml:space="preserve"> 0.3% increase in costs and a</w:t>
      </w:r>
      <w:r w:rsidR="00BE6009" w:rsidRPr="00BB165A">
        <w:t xml:space="preserve"> 18.2% increase in EFTSL. </w:t>
      </w:r>
      <w:r w:rsidR="00D54928">
        <w:t>In 2020</w:t>
      </w:r>
      <w:r w:rsidR="00942318">
        <w:t>,</w:t>
      </w:r>
      <w:r w:rsidR="00747108">
        <w:t xml:space="preserve"> increases in teaching costs were largely driven by increased redundancy and restr</w:t>
      </w:r>
      <w:r w:rsidR="004A363C">
        <w:t>ucturing</w:t>
      </w:r>
      <w:r w:rsidR="00747108">
        <w:t xml:space="preserve"> costs. The rest of this chapter discus</w:t>
      </w:r>
      <w:r w:rsidR="00BC7A03">
        <w:t>s</w:t>
      </w:r>
      <w:r w:rsidR="00747108">
        <w:t xml:space="preserve">es this in more detail. </w:t>
      </w:r>
    </w:p>
    <w:p w14:paraId="63C505A6" w14:textId="5EE67B81" w:rsidR="003445A2" w:rsidRPr="00BB165A" w:rsidRDefault="003445A2" w:rsidP="003F4010">
      <w:r w:rsidRPr="00BB165A">
        <w:t>This points to some universities being heavily impacted by COVID</w:t>
      </w:r>
      <w:r w:rsidR="0076625E" w:rsidRPr="00BB165A">
        <w:t>, with relatively large increases or decreases in unit costs</w:t>
      </w:r>
      <w:r w:rsidRPr="00BB165A">
        <w:t xml:space="preserve"> (noting that</w:t>
      </w:r>
      <w:r w:rsidR="00150B6A" w:rsidRPr="00BB165A">
        <w:t xml:space="preserve"> other events in 2020 could have </w:t>
      </w:r>
      <w:r w:rsidR="00EE2495" w:rsidRPr="00BB165A">
        <w:t xml:space="preserve">also </w:t>
      </w:r>
      <w:r w:rsidR="00150B6A" w:rsidRPr="00BB165A">
        <w:t>affected unit costs)</w:t>
      </w:r>
      <w:r w:rsidR="00624D4F" w:rsidRPr="00BB165A">
        <w:t xml:space="preserve"> while other </w:t>
      </w:r>
      <w:r w:rsidR="00EE2495" w:rsidRPr="00BB165A">
        <w:t xml:space="preserve">universities </w:t>
      </w:r>
      <w:r w:rsidR="00624D4F" w:rsidRPr="00BB165A">
        <w:t xml:space="preserve">were less </w:t>
      </w:r>
      <w:r w:rsidR="00C157E6" w:rsidRPr="00BB165A">
        <w:t>affected</w:t>
      </w:r>
      <w:r w:rsidR="005D71C3" w:rsidRPr="00BB165A">
        <w:t xml:space="preserve">. It is also possible that many universities </w:t>
      </w:r>
      <w:r w:rsidR="002743D8" w:rsidRPr="00BB165A">
        <w:t>were forced to cut expenditure drastically to</w:t>
      </w:r>
      <w:r w:rsidR="00671ECC" w:rsidRPr="00BB165A">
        <w:t xml:space="preserve"> offset</w:t>
      </w:r>
      <w:r w:rsidR="002743D8" w:rsidRPr="00BB165A">
        <w:t xml:space="preserve"> declining revenue and </w:t>
      </w:r>
      <w:r w:rsidR="00671ECC" w:rsidRPr="00BB165A">
        <w:t xml:space="preserve">therefore appeared to have little change in cost per EFTSL. </w:t>
      </w:r>
    </w:p>
    <w:p w14:paraId="730CC305" w14:textId="458F64B5" w:rsidR="003F4010" w:rsidRPr="00BB165A" w:rsidRDefault="00403832" w:rsidP="008A5ED9">
      <w:pPr>
        <w:pStyle w:val="CaptionChart"/>
      </w:pPr>
      <w:bookmarkStart w:id="700" w:name="_Toc105776384"/>
      <w:bookmarkStart w:id="701" w:name="_Ref101444031"/>
      <w:r w:rsidRPr="00BB165A">
        <w:t xml:space="preserve">: Average unit costs by university (all fields and all levels) </w:t>
      </w:r>
      <w:r w:rsidR="00800A9D" w:rsidRPr="00BB165A">
        <w:t>% change in</w:t>
      </w:r>
      <w:r w:rsidRPr="00BB165A">
        <w:t xml:space="preserve"> 2020</w:t>
      </w:r>
      <w:bookmarkEnd w:id="700"/>
      <w:r w:rsidRPr="00BB165A">
        <w:t xml:space="preserve"> </w:t>
      </w:r>
      <w:bookmarkEnd w:id="701"/>
    </w:p>
    <w:p w14:paraId="4D8422AE" w14:textId="3F4DE940" w:rsidR="00C90127" w:rsidRPr="00BB165A" w:rsidRDefault="00C90127" w:rsidP="00281A71">
      <w:r>
        <w:rPr>
          <w:noProof/>
        </w:rPr>
        <w:drawing>
          <wp:inline distT="0" distB="0" distL="0" distR="0" wp14:anchorId="2AFA1D6F" wp14:editId="4D496CEA">
            <wp:extent cx="5381625" cy="3209925"/>
            <wp:effectExtent l="0" t="0" r="0" b="0"/>
            <wp:docPr id="597878542" name="Chart 597878542" descr="Chart showing the average unit costs by university (all fields and all levels) % change in 2020. Each universities percentage change is presented as a column with a dotted line for the total percentage change.">
              <a:extLst xmlns:a="http://schemas.openxmlformats.org/drawingml/2006/main">
                <a:ext uri="{FF2B5EF4-FFF2-40B4-BE49-F238E27FC236}">
                  <a16:creationId xmlns:a16="http://schemas.microsoft.com/office/drawing/2014/main" id="{8C001D83-4161-4471-9942-4EF8AF99A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7594494" w14:textId="3EADCD34" w:rsidR="00564F32" w:rsidRPr="00BB165A" w:rsidRDefault="002C0004" w:rsidP="00564F32">
      <w:pPr>
        <w:pStyle w:val="Heading2"/>
      </w:pPr>
      <w:bookmarkStart w:id="702" w:name="_Toc105776195"/>
      <w:r w:rsidRPr="00BB165A">
        <w:t>Reflections from universities</w:t>
      </w:r>
      <w:bookmarkEnd w:id="702"/>
      <w:r w:rsidRPr="00BB165A">
        <w:t xml:space="preserve"> </w:t>
      </w:r>
      <w:r w:rsidR="00081F45" w:rsidRPr="00BB165A">
        <w:t xml:space="preserve"> </w:t>
      </w:r>
    </w:p>
    <w:p w14:paraId="5C6CC2EE" w14:textId="541DFB25" w:rsidR="00F64AA3" w:rsidRPr="00BB165A" w:rsidRDefault="00CB25A2" w:rsidP="002C0004">
      <w:r w:rsidRPr="00BB165A">
        <w:t>T</w:t>
      </w:r>
      <w:r w:rsidR="008B6ADB" w:rsidRPr="00BB165A">
        <w:t xml:space="preserve">he </w:t>
      </w:r>
      <w:r w:rsidR="00260499" w:rsidRPr="00BB165A">
        <w:t>pandemic</w:t>
      </w:r>
      <w:r w:rsidR="008B6ADB" w:rsidRPr="00BB165A">
        <w:t xml:space="preserve"> had </w:t>
      </w:r>
      <w:r w:rsidR="00C16C79" w:rsidRPr="00BB165A">
        <w:t>significant</w:t>
      </w:r>
      <w:r w:rsidR="008B6ADB" w:rsidRPr="00BB165A">
        <w:t xml:space="preserve"> effects on </w:t>
      </w:r>
      <w:r w:rsidR="00C16C79" w:rsidRPr="00BB165A">
        <w:t xml:space="preserve">teaching and scholarship costs </w:t>
      </w:r>
      <w:r w:rsidR="00A97629" w:rsidRPr="00BB165A">
        <w:t>across</w:t>
      </w:r>
      <w:r w:rsidR="00C16C79" w:rsidRPr="00BB165A">
        <w:t xml:space="preserve"> the </w:t>
      </w:r>
      <w:r w:rsidR="008B6ADB" w:rsidRPr="00BB165A">
        <w:t xml:space="preserve">university sector. </w:t>
      </w:r>
      <w:r w:rsidR="009C7594" w:rsidRPr="00BB165A">
        <w:t>N</w:t>
      </w:r>
      <w:r w:rsidR="00C16C79" w:rsidRPr="00BB165A">
        <w:t xml:space="preserve">ot all </w:t>
      </w:r>
      <w:r w:rsidR="00260499" w:rsidRPr="00BB165A">
        <w:t>universities</w:t>
      </w:r>
      <w:r w:rsidR="00C16C79" w:rsidRPr="00BB165A">
        <w:t xml:space="preserve"> </w:t>
      </w:r>
      <w:r w:rsidR="00A97629" w:rsidRPr="00BB165A">
        <w:t>provided</w:t>
      </w:r>
      <w:r w:rsidR="00C16C79" w:rsidRPr="00BB165A">
        <w:t xml:space="preserve"> detailed data on the </w:t>
      </w:r>
      <w:r w:rsidR="00B5494D" w:rsidRPr="00BB165A">
        <w:t>quantitative</w:t>
      </w:r>
      <w:r w:rsidR="00C16C79" w:rsidRPr="00BB165A">
        <w:t xml:space="preserve"> effects </w:t>
      </w:r>
      <w:r w:rsidR="00B5494D" w:rsidRPr="00BB165A">
        <w:t>of</w:t>
      </w:r>
      <w:r w:rsidR="00C16C79" w:rsidRPr="00BB165A">
        <w:t xml:space="preserve"> the </w:t>
      </w:r>
      <w:r w:rsidR="00260499" w:rsidRPr="00BB165A">
        <w:t>pandemic</w:t>
      </w:r>
      <w:r w:rsidR="00C16C79" w:rsidRPr="00BB165A">
        <w:t xml:space="preserve"> on university </w:t>
      </w:r>
      <w:r w:rsidR="00260499" w:rsidRPr="00BB165A">
        <w:t>finances</w:t>
      </w:r>
      <w:r w:rsidR="00C16C79" w:rsidRPr="00BB165A">
        <w:t xml:space="preserve">. </w:t>
      </w:r>
      <w:r w:rsidR="003D15FD" w:rsidRPr="00BB165A">
        <w:t xml:space="preserve">However, many universities provided </w:t>
      </w:r>
      <w:r w:rsidR="004A22E7" w:rsidRPr="00BB165A">
        <w:t xml:space="preserve">broader qualitative </w:t>
      </w:r>
      <w:r w:rsidR="003D15FD" w:rsidRPr="00BB165A">
        <w:t>reflections on how COVID</w:t>
      </w:r>
      <w:r w:rsidR="00612990">
        <w:t>-19</w:t>
      </w:r>
      <w:r w:rsidR="003D15FD" w:rsidRPr="00BB165A">
        <w:t xml:space="preserve"> has affected</w:t>
      </w:r>
      <w:r w:rsidR="00A97629" w:rsidRPr="00BB165A">
        <w:t xml:space="preserve"> their university and</w:t>
      </w:r>
      <w:r w:rsidR="003D15FD" w:rsidRPr="00BB165A">
        <w:t xml:space="preserve"> </w:t>
      </w:r>
      <w:r w:rsidR="00AF2FC1" w:rsidRPr="00BB165A">
        <w:t>the sector</w:t>
      </w:r>
      <w:r w:rsidR="00A97629" w:rsidRPr="00BB165A">
        <w:t xml:space="preserve"> at large</w:t>
      </w:r>
      <w:r w:rsidR="00AF2FC1" w:rsidRPr="00BB165A">
        <w:t xml:space="preserve">. </w:t>
      </w:r>
    </w:p>
    <w:p w14:paraId="3B596048" w14:textId="6513E597" w:rsidR="007E5A6A" w:rsidRPr="00BB165A" w:rsidRDefault="00BA547E" w:rsidP="002C0004">
      <w:r w:rsidRPr="00BB165A">
        <w:t xml:space="preserve">Universities </w:t>
      </w:r>
      <w:r w:rsidR="00131594" w:rsidRPr="00BB165A">
        <w:t>identified</w:t>
      </w:r>
      <w:r w:rsidRPr="00BB165A">
        <w:t xml:space="preserve"> a range </w:t>
      </w:r>
      <w:r w:rsidR="007E5A6A" w:rsidRPr="00BB165A">
        <w:t xml:space="preserve">of areas </w:t>
      </w:r>
      <w:r w:rsidR="00D92858">
        <w:t>in which</w:t>
      </w:r>
      <w:r w:rsidR="00D92858" w:rsidRPr="00BB165A">
        <w:t xml:space="preserve"> </w:t>
      </w:r>
      <w:r w:rsidR="007E5A6A" w:rsidRPr="00BB165A">
        <w:t>the</w:t>
      </w:r>
      <w:r w:rsidR="0080210A" w:rsidRPr="00BB165A">
        <w:t xml:space="preserve"> pandemic </w:t>
      </w:r>
      <w:r w:rsidR="00F125DD">
        <w:t>impacted</w:t>
      </w:r>
      <w:r w:rsidR="00D92858">
        <w:t xml:space="preserve"> their </w:t>
      </w:r>
      <w:r w:rsidR="00F125DD">
        <w:t>operations</w:t>
      </w:r>
      <w:r w:rsidR="00B07647" w:rsidRPr="00BB165A">
        <w:t>,</w:t>
      </w:r>
      <w:r w:rsidR="0080210A" w:rsidRPr="00BB165A">
        <w:t xml:space="preserve"> </w:t>
      </w:r>
      <w:r w:rsidR="00131594" w:rsidRPr="00BB165A">
        <w:t>including</w:t>
      </w:r>
      <w:r w:rsidR="007E5A6A" w:rsidRPr="00BB165A">
        <w:t>:</w:t>
      </w:r>
    </w:p>
    <w:p w14:paraId="30F8A501" w14:textId="01667602" w:rsidR="007E5A6A" w:rsidRPr="00BB165A" w:rsidRDefault="00897DDA" w:rsidP="007B09DB">
      <w:pPr>
        <w:pStyle w:val="ListParagraph"/>
        <w:numPr>
          <w:ilvl w:val="0"/>
          <w:numId w:val="30"/>
        </w:numPr>
      </w:pPr>
      <w:r w:rsidRPr="00BB165A">
        <w:t xml:space="preserve">Travel </w:t>
      </w:r>
      <w:r w:rsidR="009A4415" w:rsidRPr="00BB165A">
        <w:t>restrictions</w:t>
      </w:r>
      <w:r w:rsidRPr="00BB165A">
        <w:t xml:space="preserve"> and i</w:t>
      </w:r>
      <w:r w:rsidR="007E5A6A" w:rsidRPr="00BB165A">
        <w:t>nternational students</w:t>
      </w:r>
    </w:p>
    <w:p w14:paraId="05B1CD77" w14:textId="5DC4E60A" w:rsidR="001D2466" w:rsidRPr="00BB165A" w:rsidRDefault="001D2466" w:rsidP="007B09DB">
      <w:pPr>
        <w:pStyle w:val="ListParagraph"/>
        <w:numPr>
          <w:ilvl w:val="0"/>
          <w:numId w:val="30"/>
        </w:numPr>
      </w:pPr>
      <w:r w:rsidRPr="00BB165A">
        <w:t xml:space="preserve">Changes to staff </w:t>
      </w:r>
      <w:r w:rsidR="00B07647" w:rsidRPr="00BB165A">
        <w:t>arrangements</w:t>
      </w:r>
    </w:p>
    <w:p w14:paraId="54ACC90C" w14:textId="124D104A" w:rsidR="007E5A6A" w:rsidRPr="00BB165A" w:rsidRDefault="007E5A6A" w:rsidP="007B09DB">
      <w:pPr>
        <w:pStyle w:val="ListParagraph"/>
        <w:numPr>
          <w:ilvl w:val="0"/>
          <w:numId w:val="30"/>
        </w:numPr>
      </w:pPr>
      <w:r w:rsidRPr="00BB165A">
        <w:t>Online learning/teaching</w:t>
      </w:r>
    </w:p>
    <w:p w14:paraId="2EE42365" w14:textId="2011CA5E" w:rsidR="007E5A6A" w:rsidRPr="00BB165A" w:rsidRDefault="003C74FF" w:rsidP="007B09DB">
      <w:pPr>
        <w:pStyle w:val="ListParagraph"/>
        <w:numPr>
          <w:ilvl w:val="0"/>
          <w:numId w:val="30"/>
        </w:numPr>
      </w:pPr>
      <w:r w:rsidRPr="00BB165A">
        <w:t>O</w:t>
      </w:r>
      <w:r w:rsidR="009A4415" w:rsidRPr="00BB165A">
        <w:t>ngoing</w:t>
      </w:r>
      <w:r w:rsidR="007E5A6A" w:rsidRPr="00BB165A">
        <w:t xml:space="preserve"> effects of the </w:t>
      </w:r>
      <w:r w:rsidR="009A4415" w:rsidRPr="00BB165A">
        <w:t>pandemic</w:t>
      </w:r>
      <w:r w:rsidRPr="00BB165A">
        <w:t xml:space="preserve"> in 2021 and early 2022 as well as potential </w:t>
      </w:r>
      <w:r w:rsidR="00D32CFE" w:rsidRPr="00BB165A">
        <w:t>future effects.</w:t>
      </w:r>
      <w:r w:rsidR="007E5A6A" w:rsidRPr="00BB165A">
        <w:t xml:space="preserve"> </w:t>
      </w:r>
    </w:p>
    <w:p w14:paraId="44E0AE2E" w14:textId="774D27D7" w:rsidR="007D4714" w:rsidRPr="00BB165A" w:rsidRDefault="007D4714" w:rsidP="007D4714">
      <w:r w:rsidRPr="00BB165A">
        <w:t xml:space="preserve">These are </w:t>
      </w:r>
      <w:r w:rsidR="007106C2" w:rsidRPr="00BB165A">
        <w:t>discussed</w:t>
      </w:r>
      <w:r w:rsidRPr="00BB165A">
        <w:t xml:space="preserve"> in more detail in the sections below. </w:t>
      </w:r>
    </w:p>
    <w:p w14:paraId="0C0470BD" w14:textId="0723AB82" w:rsidR="00D60E77" w:rsidRPr="00BB165A" w:rsidRDefault="00FD1689" w:rsidP="00EE6415">
      <w:pPr>
        <w:pStyle w:val="Heading3un-numbered"/>
      </w:pPr>
      <w:r w:rsidRPr="00BB165A">
        <w:t>Travel restrictions and i</w:t>
      </w:r>
      <w:r w:rsidR="00D60E77" w:rsidRPr="00BB165A">
        <w:t>nternational students</w:t>
      </w:r>
    </w:p>
    <w:p w14:paraId="60B7195D" w14:textId="49F4E3B0" w:rsidR="006B47D2" w:rsidRPr="00BB165A" w:rsidRDefault="006B47D2" w:rsidP="006B47D2">
      <w:r w:rsidRPr="00BB165A">
        <w:t xml:space="preserve">With </w:t>
      </w:r>
      <w:r w:rsidR="00AB21D6" w:rsidRPr="00BB165A">
        <w:t>Australi</w:t>
      </w:r>
      <w:r w:rsidRPr="00BB165A">
        <w:t xml:space="preserve">a’s international border closed for much of 2020 the number of international students that could enter the country and enrol at </w:t>
      </w:r>
      <w:r w:rsidR="00AC17F4" w:rsidRPr="00BB165A">
        <w:t>Australian</w:t>
      </w:r>
      <w:r w:rsidRPr="00BB165A">
        <w:t xml:space="preserve"> universities</w:t>
      </w:r>
      <w:r w:rsidR="005F08AB" w:rsidRPr="00BB165A">
        <w:t xml:space="preserve"> was restricted</w:t>
      </w:r>
      <w:r w:rsidRPr="00BB165A">
        <w:t xml:space="preserve">. </w:t>
      </w:r>
      <w:r w:rsidR="00AC17F4" w:rsidRPr="00BB165A">
        <w:t>This led to</w:t>
      </w:r>
      <w:r w:rsidR="006359B0">
        <w:t xml:space="preserve"> a</w:t>
      </w:r>
      <w:r w:rsidR="00AC17F4" w:rsidRPr="00BB165A">
        <w:t xml:space="preserve"> decline in international students across many universities. However, some universities noted that the </w:t>
      </w:r>
      <w:r w:rsidRPr="00BB165A">
        <w:t>Semester 1 commencement date</w:t>
      </w:r>
      <w:r w:rsidR="00AC17F4" w:rsidRPr="00BB165A">
        <w:t xml:space="preserve"> </w:t>
      </w:r>
      <w:r w:rsidR="00B33414" w:rsidRPr="00BB165A">
        <w:t>was before</w:t>
      </w:r>
      <w:r w:rsidR="00427CBE" w:rsidRPr="00BB165A">
        <w:t xml:space="preserve"> the</w:t>
      </w:r>
      <w:r w:rsidR="00467866" w:rsidRPr="00BB165A">
        <w:t xml:space="preserve"> </w:t>
      </w:r>
      <w:r w:rsidR="00B42430" w:rsidRPr="00BB165A">
        <w:t>international border closed</w:t>
      </w:r>
      <w:r w:rsidR="00902189" w:rsidRPr="00BB165A">
        <w:t xml:space="preserve"> (on 20 March 2020)</w:t>
      </w:r>
      <w:r w:rsidR="00682DBB" w:rsidRPr="00BB165A">
        <w:t>. This meant that for some universities</w:t>
      </w:r>
      <w:r w:rsidR="00117A9C" w:rsidRPr="00BB165A">
        <w:t>,</w:t>
      </w:r>
      <w:r w:rsidRPr="00BB165A">
        <w:t xml:space="preserve"> </w:t>
      </w:r>
      <w:r w:rsidR="00682DBB" w:rsidRPr="00BB165A">
        <w:t>much</w:t>
      </w:r>
      <w:r w:rsidRPr="00BB165A">
        <w:t xml:space="preserve"> of the international student cohort were already in Australia before the introduction of travel restrictions</w:t>
      </w:r>
      <w:r w:rsidR="00682DBB" w:rsidRPr="00BB165A">
        <w:t>.</w:t>
      </w:r>
    </w:p>
    <w:p w14:paraId="65081AB4" w14:textId="1056DEDC" w:rsidR="004F4EB1" w:rsidRPr="00BB165A" w:rsidRDefault="004F4EB1" w:rsidP="006B47D2">
      <w:r w:rsidRPr="00BB165A">
        <w:t>However</w:t>
      </w:r>
      <w:r w:rsidR="00E17A0B" w:rsidRPr="00BB165A">
        <w:t xml:space="preserve">, </w:t>
      </w:r>
      <w:r w:rsidRPr="00BB165A">
        <w:t>most universities r</w:t>
      </w:r>
      <w:r w:rsidR="00E17A0B" w:rsidRPr="00BB165A">
        <w:t>e</w:t>
      </w:r>
      <w:r w:rsidRPr="00BB165A">
        <w:t xml:space="preserve">ported that </w:t>
      </w:r>
      <w:r w:rsidR="00F75CAC" w:rsidRPr="00BB165A">
        <w:t xml:space="preserve">declines in </w:t>
      </w:r>
      <w:r w:rsidR="00E17A0B" w:rsidRPr="00BB165A">
        <w:t>international</w:t>
      </w:r>
      <w:r w:rsidR="00F75CAC" w:rsidRPr="00BB165A">
        <w:t xml:space="preserve"> student enrolment</w:t>
      </w:r>
      <w:r w:rsidR="00E17A0B" w:rsidRPr="00BB165A">
        <w:t xml:space="preserve"> and revenues </w:t>
      </w:r>
      <w:r w:rsidR="0028265F" w:rsidRPr="00BB165A">
        <w:t>had</w:t>
      </w:r>
      <w:r w:rsidR="00F75CAC" w:rsidRPr="00BB165A">
        <w:t xml:space="preserve"> applied </w:t>
      </w:r>
      <w:r w:rsidR="00E17A0B" w:rsidRPr="00BB165A">
        <w:t>financial</w:t>
      </w:r>
      <w:r w:rsidR="00F75CAC" w:rsidRPr="00BB165A">
        <w:t xml:space="preserve"> pressure</w:t>
      </w:r>
      <w:r w:rsidR="00D266C4" w:rsidRPr="00BB165A">
        <w:t xml:space="preserve"> to the university</w:t>
      </w:r>
      <w:r w:rsidR="003A18FB" w:rsidRPr="00BB165A">
        <w:t xml:space="preserve">, particularly with uncertainty over future international student numbers. </w:t>
      </w:r>
    </w:p>
    <w:p w14:paraId="21530F2A" w14:textId="184CB2DC" w:rsidR="00A67233" w:rsidRPr="00BB165A" w:rsidRDefault="003A18FB" w:rsidP="00FD1689">
      <w:r w:rsidRPr="00BB165A">
        <w:t xml:space="preserve">Many universities reported </w:t>
      </w:r>
      <w:r w:rsidR="007E5D2F" w:rsidRPr="00BB165A">
        <w:t>declines in non-staff costs</w:t>
      </w:r>
      <w:r w:rsidR="00FB7648" w:rsidRPr="00BB165A">
        <w:t xml:space="preserve">. The closure of the international border, state </w:t>
      </w:r>
      <w:r w:rsidR="00871F5D" w:rsidRPr="00BB165A">
        <w:t>borders</w:t>
      </w:r>
      <w:r w:rsidR="00FB7648" w:rsidRPr="00BB165A">
        <w:t xml:space="preserve"> and other restrictions on mobility </w:t>
      </w:r>
      <w:r w:rsidR="00871F5D" w:rsidRPr="00BB165A">
        <w:t xml:space="preserve">placed downward pressure on university expenditure on travel, events and conferences. </w:t>
      </w:r>
    </w:p>
    <w:p w14:paraId="056E752A" w14:textId="2460141D" w:rsidR="002462C4" w:rsidRDefault="002462C4" w:rsidP="00FD1689">
      <w:r w:rsidRPr="00BB165A">
        <w:t xml:space="preserve">These measures implemented in 2020 may have resulted in lower average cost per EFTSL </w:t>
      </w:r>
      <w:r w:rsidR="00C1714C">
        <w:t xml:space="preserve">relative to </w:t>
      </w:r>
      <w:r w:rsidRPr="00BB165A">
        <w:t>prior years. However, some universities noted that these savings were temporary and were achieved largely due to the restrictions imposed in 2020 (e.g. bans on international travel, stay</w:t>
      </w:r>
      <w:r w:rsidRPr="00BB165A">
        <w:rPr>
          <w:rFonts w:ascii="Cambria Math" w:hAnsi="Cambria Math" w:cs="Cambria Math"/>
        </w:rPr>
        <w:t>‐</w:t>
      </w:r>
      <w:r w:rsidRPr="00BB165A">
        <w:t>at</w:t>
      </w:r>
      <w:r w:rsidRPr="00BB165A">
        <w:rPr>
          <w:rFonts w:ascii="Cambria Math" w:hAnsi="Cambria Math" w:cs="Cambria Math"/>
        </w:rPr>
        <w:t>‐</w:t>
      </w:r>
      <w:r w:rsidRPr="00BB165A">
        <w:t xml:space="preserve">home orders) and </w:t>
      </w:r>
      <w:r w:rsidR="00C122A8" w:rsidRPr="00BB165A">
        <w:t xml:space="preserve">costs </w:t>
      </w:r>
      <w:r w:rsidRPr="00BB165A">
        <w:t>could increase over the coming years.</w:t>
      </w:r>
      <w:r>
        <w:t xml:space="preserve"> </w:t>
      </w:r>
    </w:p>
    <w:p w14:paraId="75ED3DA3" w14:textId="017F238C" w:rsidR="00B07647" w:rsidRPr="00BB165A" w:rsidRDefault="00B07647" w:rsidP="00B07647">
      <w:pPr>
        <w:pStyle w:val="Heading3un-numbered"/>
      </w:pPr>
      <w:r w:rsidRPr="00BB165A">
        <w:t>Changes to staff costs</w:t>
      </w:r>
    </w:p>
    <w:p w14:paraId="52A888F9" w14:textId="559DCC7B" w:rsidR="008C77AD" w:rsidRPr="00BB165A" w:rsidRDefault="00ED3B3B" w:rsidP="008C77AD">
      <w:r w:rsidRPr="00BB165A">
        <w:t>Teaching related s</w:t>
      </w:r>
      <w:r w:rsidR="006631B1" w:rsidRPr="00BB165A">
        <w:t xml:space="preserve">taff costs </w:t>
      </w:r>
      <w:r w:rsidR="0085751D" w:rsidRPr="00BB165A">
        <w:t xml:space="preserve">per EFTSL </w:t>
      </w:r>
      <w:r w:rsidR="006631B1" w:rsidRPr="00BB165A">
        <w:t xml:space="preserve">rose at </w:t>
      </w:r>
      <w:r w:rsidR="00971464" w:rsidRPr="00BB165A">
        <w:t xml:space="preserve">28 of the 37 universities </w:t>
      </w:r>
      <w:r w:rsidRPr="00BB165A">
        <w:t xml:space="preserve">who provided data in 2020. </w:t>
      </w:r>
      <w:r w:rsidR="0085751D" w:rsidRPr="00BB165A">
        <w:t xml:space="preserve">Approximately one half of the universities reporting higher staff costs in 2020 saw growth of less than 5%, but </w:t>
      </w:r>
      <w:r w:rsidR="00AB73A7" w:rsidRPr="00BB165A">
        <w:t xml:space="preserve">cost increases ranged from 1-30%. Several universities reported that staff costs were higher than </w:t>
      </w:r>
      <w:r w:rsidR="00523A8A" w:rsidRPr="00BB165A">
        <w:t>would otherwise have been expected due to restructuring programs implemented in response to COVID</w:t>
      </w:r>
      <w:r w:rsidR="00612990">
        <w:t>-19</w:t>
      </w:r>
      <w:r w:rsidR="00417C30" w:rsidRPr="00BB165A">
        <w:t xml:space="preserve"> and the associated increase in redundancy costs. </w:t>
      </w:r>
      <w:r w:rsidR="004A0418" w:rsidRPr="00BB165A">
        <w:t>Some universities reported that</w:t>
      </w:r>
      <w:r w:rsidR="008C77AD" w:rsidRPr="00BB165A">
        <w:t xml:space="preserve"> costs increased due to changes in the mix of casual and </w:t>
      </w:r>
      <w:r w:rsidR="0017740A" w:rsidRPr="00BB165A">
        <w:t>full-time</w:t>
      </w:r>
      <w:r w:rsidR="008C77AD" w:rsidRPr="00BB165A">
        <w:t xml:space="preserve"> staff at their institution.</w:t>
      </w:r>
    </w:p>
    <w:p w14:paraId="66A228A5" w14:textId="72D6C046" w:rsidR="00551700" w:rsidRPr="00BB165A" w:rsidRDefault="00551700" w:rsidP="0043220D">
      <w:r w:rsidRPr="00BB165A">
        <w:t>While these measure</w:t>
      </w:r>
      <w:r w:rsidR="00685419" w:rsidRPr="00BB165A">
        <w:t xml:space="preserve">s tended to lead to a one-off increase in staff </w:t>
      </w:r>
      <w:r w:rsidR="00F1782F" w:rsidRPr="00BB165A">
        <w:t>costs</w:t>
      </w:r>
      <w:r w:rsidR="00685419" w:rsidRPr="00BB165A">
        <w:t xml:space="preserve"> </w:t>
      </w:r>
      <w:r w:rsidR="0017740A" w:rsidRPr="00BB165A">
        <w:t>for 2020</w:t>
      </w:r>
      <w:r w:rsidR="00297EB0" w:rsidRPr="00BB165A">
        <w:t xml:space="preserve"> only, </w:t>
      </w:r>
      <w:r w:rsidR="00685419" w:rsidRPr="00BB165A">
        <w:t>other measure</w:t>
      </w:r>
      <w:r w:rsidR="00F1782F" w:rsidRPr="00BB165A">
        <w:t>s</w:t>
      </w:r>
      <w:r w:rsidR="00685419" w:rsidRPr="00BB165A">
        <w:t xml:space="preserve"> (such as deferral of </w:t>
      </w:r>
      <w:r w:rsidR="00F1782F" w:rsidRPr="00BB165A">
        <w:t xml:space="preserve">salary increases) </w:t>
      </w:r>
      <w:r w:rsidR="00223304" w:rsidRPr="00BB165A">
        <w:t xml:space="preserve">reduced costs in 2020 but </w:t>
      </w:r>
      <w:r w:rsidR="0029196E">
        <w:t xml:space="preserve">were expected </w:t>
      </w:r>
      <w:r w:rsidR="00A2784D">
        <w:t>to lead to cost growth</w:t>
      </w:r>
      <w:r w:rsidR="0029196E" w:rsidRPr="00BB165A">
        <w:t xml:space="preserve"> </w:t>
      </w:r>
      <w:r w:rsidR="00223304" w:rsidRPr="00BB165A">
        <w:t xml:space="preserve">in 2021 and beyond. </w:t>
      </w:r>
    </w:p>
    <w:p w14:paraId="14AD3BD2" w14:textId="7286D8AE" w:rsidR="00777D11" w:rsidRPr="00BB165A" w:rsidRDefault="00C4554C" w:rsidP="0043220D">
      <w:r w:rsidRPr="00BB165A">
        <w:t xml:space="preserve">A small number of universities reported that restructures undertaken prior to </w:t>
      </w:r>
      <w:r w:rsidR="00612990">
        <w:t>2020</w:t>
      </w:r>
      <w:r w:rsidR="009E1A75" w:rsidRPr="00BB165A">
        <w:t xml:space="preserve"> reduced the impact of COVID</w:t>
      </w:r>
      <w:r w:rsidR="00612990">
        <w:t>-19</w:t>
      </w:r>
      <w:r w:rsidR="009E1A75" w:rsidRPr="00BB165A">
        <w:t xml:space="preserve"> on staff costs </w:t>
      </w:r>
      <w:r w:rsidR="00C9577F" w:rsidRPr="00BB165A">
        <w:t>in 2020.</w:t>
      </w:r>
    </w:p>
    <w:p w14:paraId="5ED6B72D" w14:textId="5FCB40AB" w:rsidR="00710A47" w:rsidRPr="00BB165A" w:rsidRDefault="00710A47" w:rsidP="00CF13D9">
      <w:pPr>
        <w:pStyle w:val="Heading3un-numbered"/>
      </w:pPr>
      <w:r w:rsidRPr="00BB165A">
        <w:t xml:space="preserve">Online </w:t>
      </w:r>
      <w:r w:rsidR="002927D8" w:rsidRPr="00BB165A">
        <w:t>learning/</w:t>
      </w:r>
      <w:r w:rsidRPr="00BB165A">
        <w:t>teaching</w:t>
      </w:r>
    </w:p>
    <w:p w14:paraId="31F499A5" w14:textId="59A8FCB3" w:rsidR="002656FA" w:rsidRPr="00BB165A" w:rsidRDefault="00A63445" w:rsidP="00317E3B">
      <w:r w:rsidRPr="00BB165A">
        <w:t xml:space="preserve">Universities </w:t>
      </w:r>
      <w:r w:rsidR="00317E3B" w:rsidRPr="00BB165A">
        <w:t>with mature online teaching offerings prior to 2020</w:t>
      </w:r>
      <w:r w:rsidR="00BE0B07" w:rsidRPr="00BB165A">
        <w:t xml:space="preserve"> reported fewer </w:t>
      </w:r>
      <w:r w:rsidR="00831ED8" w:rsidRPr="00BB165A">
        <w:t xml:space="preserve">additional </w:t>
      </w:r>
      <w:r w:rsidR="00BE0B07" w:rsidRPr="00BB165A">
        <w:t>costs associated with the shift towards online learning</w:t>
      </w:r>
      <w:r w:rsidR="00831ED8" w:rsidRPr="00BB165A">
        <w:t xml:space="preserve"> that occurred </w:t>
      </w:r>
      <w:r w:rsidR="00AB5F96" w:rsidRPr="00BB165A">
        <w:t>in</w:t>
      </w:r>
      <w:r w:rsidR="00831ED8" w:rsidRPr="00BB165A">
        <w:t xml:space="preserve"> </w:t>
      </w:r>
      <w:r w:rsidR="00AB5F96" w:rsidRPr="00BB165A">
        <w:t>response to COVID</w:t>
      </w:r>
      <w:r w:rsidR="00612990">
        <w:t>-19</w:t>
      </w:r>
      <w:r w:rsidR="00AB5F96" w:rsidRPr="00BB165A">
        <w:t xml:space="preserve"> lockdowns and restrictions in 2020</w:t>
      </w:r>
      <w:r w:rsidR="00BE0B07" w:rsidRPr="00BB165A">
        <w:t xml:space="preserve">. </w:t>
      </w:r>
      <w:r w:rsidR="00892D0E" w:rsidRPr="00BB165A">
        <w:t xml:space="preserve">These </w:t>
      </w:r>
      <w:r w:rsidR="00B13387" w:rsidRPr="00BB165A">
        <w:t>universities</w:t>
      </w:r>
      <w:r w:rsidR="00892D0E" w:rsidRPr="00BB165A">
        <w:t xml:space="preserve"> required smal</w:t>
      </w:r>
      <w:r w:rsidR="00B57D04" w:rsidRPr="00BB165A">
        <w:t xml:space="preserve">ler investments </w:t>
      </w:r>
      <w:r w:rsidR="005D7734" w:rsidRPr="00BB165A">
        <w:t>in IT assets and staff training</w:t>
      </w:r>
      <w:r w:rsidR="00CE7008" w:rsidRPr="00BB165A">
        <w:t xml:space="preserve">. </w:t>
      </w:r>
    </w:p>
    <w:p w14:paraId="1958DFDF" w14:textId="77557A02" w:rsidR="004D01B8" w:rsidRPr="00BB165A" w:rsidRDefault="00B57D04" w:rsidP="002C0004">
      <w:r w:rsidRPr="00BB165A">
        <w:t xml:space="preserve">One </w:t>
      </w:r>
      <w:r w:rsidR="00A674AC" w:rsidRPr="00BB165A">
        <w:t xml:space="preserve">issue reported was </w:t>
      </w:r>
      <w:r w:rsidR="00CE7008" w:rsidRPr="00BB165A">
        <w:t>that</w:t>
      </w:r>
      <w:r w:rsidR="00A674AC" w:rsidRPr="00BB165A">
        <w:t xml:space="preserve"> </w:t>
      </w:r>
      <w:r w:rsidR="00767FA4">
        <w:t>the</w:t>
      </w:r>
      <w:r w:rsidR="00A674AC" w:rsidRPr="00BB165A">
        <w:t xml:space="preserve"> a</w:t>
      </w:r>
      <w:r w:rsidR="00D51844" w:rsidRPr="00BB165A">
        <w:t xml:space="preserve">cademic </w:t>
      </w:r>
      <w:r w:rsidR="00831ED8" w:rsidRPr="00BB165A">
        <w:t>w</w:t>
      </w:r>
      <w:r w:rsidR="00D51844" w:rsidRPr="00BB165A">
        <w:t>ork</w:t>
      </w:r>
      <w:r w:rsidR="00CE7008" w:rsidRPr="00BB165A">
        <w:t xml:space="preserve">load </w:t>
      </w:r>
      <w:r w:rsidR="00831ED8" w:rsidRPr="00BB165A">
        <w:t>allocation</w:t>
      </w:r>
      <w:r w:rsidR="00D51844" w:rsidRPr="00BB165A">
        <w:t xml:space="preserve"> </w:t>
      </w:r>
      <w:r w:rsidR="00831ED8" w:rsidRPr="00BB165A">
        <w:t>systems</w:t>
      </w:r>
      <w:r w:rsidR="00D51844" w:rsidRPr="00BB165A">
        <w:t xml:space="preserve"> did not </w:t>
      </w:r>
      <w:r w:rsidR="00831ED8" w:rsidRPr="00BB165A">
        <w:t xml:space="preserve">necessarily </w:t>
      </w:r>
      <w:r w:rsidR="00D51844" w:rsidRPr="00BB165A">
        <w:t>fully capture the move to online</w:t>
      </w:r>
      <w:r w:rsidR="00831ED8" w:rsidRPr="00BB165A">
        <w:t xml:space="preserve"> teaching</w:t>
      </w:r>
      <w:r w:rsidR="00CE7008" w:rsidRPr="00BB165A">
        <w:t xml:space="preserve"> at some institutions. This was reportedly due to the rapid pace at which </w:t>
      </w:r>
      <w:r w:rsidR="004D01B8" w:rsidRPr="00BB165A">
        <w:t xml:space="preserve">learning shifted online. </w:t>
      </w:r>
    </w:p>
    <w:p w14:paraId="622D1FEC" w14:textId="339B42CE" w:rsidR="00CD70B1" w:rsidRPr="00BB165A" w:rsidRDefault="000E7679" w:rsidP="002C0004">
      <w:r w:rsidRPr="00BB165A">
        <w:t xml:space="preserve">It was also noted </w:t>
      </w:r>
      <w:r w:rsidR="00A30EED" w:rsidRPr="00BB165A">
        <w:t xml:space="preserve">by one university </w:t>
      </w:r>
      <w:r w:rsidRPr="00BB165A">
        <w:t>that the t</w:t>
      </w:r>
      <w:r w:rsidR="00CD70B1" w:rsidRPr="00BB165A">
        <w:t xml:space="preserve">ransition to online learning </w:t>
      </w:r>
      <w:r w:rsidR="00A30EED" w:rsidRPr="00BB165A">
        <w:t>has been accompanied by some</w:t>
      </w:r>
      <w:r w:rsidR="00CD70B1" w:rsidRPr="00BB165A">
        <w:t xml:space="preserve"> efficiency improvements in the delivery of teaching</w:t>
      </w:r>
      <w:r w:rsidR="004D01B8" w:rsidRPr="00BB165A">
        <w:t xml:space="preserve">. The subsequent reduction in </w:t>
      </w:r>
      <w:r w:rsidR="00CD70B1" w:rsidRPr="00BB165A">
        <w:t xml:space="preserve">academic workload </w:t>
      </w:r>
      <w:r w:rsidR="004D01B8" w:rsidRPr="00BB165A">
        <w:t>was</w:t>
      </w:r>
      <w:r w:rsidR="00CD70B1" w:rsidRPr="00BB165A">
        <w:t xml:space="preserve"> reflected in </w:t>
      </w:r>
      <w:r w:rsidR="004D01B8" w:rsidRPr="00BB165A">
        <w:t xml:space="preserve">the university </w:t>
      </w:r>
      <w:r w:rsidR="00CD70B1" w:rsidRPr="00BB165A">
        <w:t xml:space="preserve">costing model by way of reduced delivery hours for some units. </w:t>
      </w:r>
    </w:p>
    <w:p w14:paraId="4949F685" w14:textId="41D7BD8B" w:rsidR="008311DE" w:rsidRPr="00BB165A" w:rsidRDefault="00225979" w:rsidP="002C0004">
      <w:r w:rsidRPr="00BB165A">
        <w:t xml:space="preserve">The shift towards </w:t>
      </w:r>
      <w:r w:rsidR="00916E56" w:rsidRPr="00BB165A">
        <w:t>online</w:t>
      </w:r>
      <w:r w:rsidRPr="00BB165A">
        <w:t xml:space="preserve"> learning/teaching also had implications for </w:t>
      </w:r>
      <w:r w:rsidR="00916E56" w:rsidRPr="00BB165A">
        <w:t>on</w:t>
      </w:r>
      <w:r w:rsidR="004D01B8" w:rsidRPr="00BB165A">
        <w:t>-</w:t>
      </w:r>
      <w:r w:rsidR="00916E56" w:rsidRPr="00BB165A">
        <w:t xml:space="preserve">campus activity. </w:t>
      </w:r>
      <w:r w:rsidR="009C51C3" w:rsidRPr="00BB165A">
        <w:t xml:space="preserve">There were </w:t>
      </w:r>
      <w:r w:rsidR="00E34290" w:rsidRPr="00BB165A">
        <w:t>generally</w:t>
      </w:r>
      <w:r w:rsidR="009C51C3" w:rsidRPr="00BB165A">
        <w:t xml:space="preserve"> mixed results </w:t>
      </w:r>
      <w:r w:rsidR="004D01B8" w:rsidRPr="00BB165A">
        <w:t>across the sector</w:t>
      </w:r>
      <w:r w:rsidR="008311DE" w:rsidRPr="00BB165A">
        <w:t xml:space="preserve">. Some universities reported materially higher costs associated with COVID-compliance measures such as higher cleaning costs, while other institutions noted that these costs were not significant. This variation may reflect the </w:t>
      </w:r>
      <w:r w:rsidR="00840696" w:rsidRPr="00BB165A">
        <w:t>variation in COVID</w:t>
      </w:r>
      <w:r w:rsidR="007A7141">
        <w:t>-19</w:t>
      </w:r>
      <w:r w:rsidR="00840696" w:rsidRPr="00BB165A">
        <w:t xml:space="preserve"> restrictions across Australian states and territories in 2020. </w:t>
      </w:r>
    </w:p>
    <w:p w14:paraId="7A1022FE" w14:textId="5CCC5712" w:rsidR="00757365" w:rsidRPr="00BB165A" w:rsidRDefault="00C87AFA" w:rsidP="002C0004">
      <w:r w:rsidRPr="00BB165A">
        <w:t>Other savings were generally more difficult to quantify</w:t>
      </w:r>
      <w:r w:rsidR="00757365" w:rsidRPr="00BB165A">
        <w:t>. F</w:t>
      </w:r>
      <w:r w:rsidRPr="00BB165A">
        <w:t>or example</w:t>
      </w:r>
      <w:r w:rsidR="00757365" w:rsidRPr="00BB165A">
        <w:t>,</w:t>
      </w:r>
      <w:r w:rsidRPr="00BB165A">
        <w:t xml:space="preserve"> </w:t>
      </w:r>
      <w:r w:rsidR="00562C16" w:rsidRPr="00BB165A">
        <w:t>utilities</w:t>
      </w:r>
      <w:r w:rsidRPr="00BB165A">
        <w:t xml:space="preserve"> costs</w:t>
      </w:r>
      <w:r w:rsidR="000205EE" w:rsidRPr="00BB165A">
        <w:t xml:space="preserve"> (electricity, water</w:t>
      </w:r>
      <w:r w:rsidR="007D515C" w:rsidRPr="00BB165A">
        <w:t>, gas, etc.)</w:t>
      </w:r>
      <w:r w:rsidRPr="00BB165A">
        <w:t xml:space="preserve"> </w:t>
      </w:r>
      <w:r w:rsidR="00757365" w:rsidRPr="00BB165A">
        <w:t>fell</w:t>
      </w:r>
      <w:r w:rsidR="00F51900" w:rsidRPr="00BB165A">
        <w:t xml:space="preserve"> in 2020</w:t>
      </w:r>
      <w:r w:rsidRPr="00BB165A">
        <w:t xml:space="preserve"> </w:t>
      </w:r>
      <w:r w:rsidR="00757365" w:rsidRPr="00BB165A">
        <w:t>at</w:t>
      </w:r>
      <w:r w:rsidR="007D515C" w:rsidRPr="00BB165A">
        <w:t xml:space="preserve"> several </w:t>
      </w:r>
      <w:r w:rsidRPr="00BB165A">
        <w:t>universi</w:t>
      </w:r>
      <w:r w:rsidR="007D515C" w:rsidRPr="00BB165A">
        <w:t>ties</w:t>
      </w:r>
      <w:r w:rsidR="0011396A" w:rsidRPr="00BB165A">
        <w:t xml:space="preserve"> </w:t>
      </w:r>
      <w:r w:rsidR="00757365" w:rsidRPr="00BB165A">
        <w:t xml:space="preserve">amid the reduction in </w:t>
      </w:r>
      <w:r w:rsidR="00B01BDF" w:rsidRPr="00BB165A">
        <w:t xml:space="preserve">the number of people on campus, but universities were unable to </w:t>
      </w:r>
      <w:r w:rsidR="00A138CF" w:rsidRPr="00BB165A">
        <w:t xml:space="preserve">provide an estimate of the </w:t>
      </w:r>
      <w:r w:rsidR="00C76145" w:rsidRPr="00BB165A">
        <w:t xml:space="preserve">change in </w:t>
      </w:r>
      <w:r w:rsidR="00A138CF" w:rsidRPr="00BB165A">
        <w:t>teaching related costs</w:t>
      </w:r>
      <w:r w:rsidR="00C76145" w:rsidRPr="00BB165A">
        <w:t>.</w:t>
      </w:r>
    </w:p>
    <w:p w14:paraId="15B7F7F1" w14:textId="47260537" w:rsidR="00CF13D9" w:rsidRPr="00BB165A" w:rsidRDefault="00CF13D9" w:rsidP="00CF13D9">
      <w:pPr>
        <w:pStyle w:val="Heading3un-numbered"/>
      </w:pPr>
      <w:r w:rsidRPr="00BB165A">
        <w:t>Futu</w:t>
      </w:r>
      <w:r w:rsidR="003C32E6" w:rsidRPr="00BB165A">
        <w:t xml:space="preserve">re/ongoing impacts </w:t>
      </w:r>
    </w:p>
    <w:p w14:paraId="62BFFCDF" w14:textId="5DCFDD29" w:rsidR="007A6640" w:rsidRPr="00BB165A" w:rsidRDefault="00991E1D" w:rsidP="00A524FD">
      <w:r w:rsidRPr="00BB165A">
        <w:t xml:space="preserve">As part of the </w:t>
      </w:r>
      <w:r w:rsidR="00696857" w:rsidRPr="00BB165A">
        <w:t>S</w:t>
      </w:r>
      <w:r w:rsidRPr="00BB165A">
        <w:t xml:space="preserve">upporting </w:t>
      </w:r>
      <w:r w:rsidR="00696857" w:rsidRPr="00BB165A">
        <w:t>S</w:t>
      </w:r>
      <w:r w:rsidR="006A08A6" w:rsidRPr="00BB165A">
        <w:t>tatement</w:t>
      </w:r>
      <w:r w:rsidR="0015102F">
        <w:t>,</w:t>
      </w:r>
      <w:r w:rsidRPr="00BB165A">
        <w:t xml:space="preserve"> universities </w:t>
      </w:r>
      <w:r w:rsidR="00696857" w:rsidRPr="00BB165A">
        <w:t>commented</w:t>
      </w:r>
      <w:r w:rsidRPr="00BB165A">
        <w:t xml:space="preserve"> on how the pandemic </w:t>
      </w:r>
      <w:r w:rsidR="00856F6A" w:rsidRPr="00BB165A">
        <w:t>has affected costs in 2021</w:t>
      </w:r>
      <w:r w:rsidR="00C0058F" w:rsidRPr="00BB165A">
        <w:t xml:space="preserve"> and early 2022 and may affect costs going forward. </w:t>
      </w:r>
      <w:r w:rsidR="005A3C74" w:rsidRPr="00BB165A">
        <w:t>U</w:t>
      </w:r>
      <w:r w:rsidRPr="00BB165A">
        <w:t xml:space="preserve">niversities indicated that there was still significant uncertainty </w:t>
      </w:r>
      <w:r w:rsidR="005A1794" w:rsidRPr="00BB165A">
        <w:t xml:space="preserve">around </w:t>
      </w:r>
      <w:r w:rsidR="005A3C74" w:rsidRPr="00BB165A">
        <w:t>how COVID</w:t>
      </w:r>
      <w:r w:rsidR="007A7141">
        <w:t>-19</w:t>
      </w:r>
      <w:r w:rsidR="005A3C74" w:rsidRPr="00BB165A">
        <w:t xml:space="preserve"> will affect university operations and finances </w:t>
      </w:r>
      <w:r w:rsidR="0015102F">
        <w:t>in the future</w:t>
      </w:r>
      <w:r w:rsidR="005A3C74" w:rsidRPr="00BB165A">
        <w:t xml:space="preserve">. </w:t>
      </w:r>
    </w:p>
    <w:p w14:paraId="1BD6494B" w14:textId="0A645719" w:rsidR="005A49E1" w:rsidRPr="00BB165A" w:rsidRDefault="00EC3F7B" w:rsidP="00A524FD">
      <w:r w:rsidRPr="00BB165A">
        <w:t xml:space="preserve">Several </w:t>
      </w:r>
      <w:r w:rsidR="005A1794" w:rsidRPr="00BB165A">
        <w:t>universities</w:t>
      </w:r>
      <w:r w:rsidRPr="00BB165A">
        <w:t xml:space="preserve"> noted that the negative effect of lower international student enrolments was worse in 2021 compared to 2020. This was due to the continued closure of the international border and the way cohorts of students move through the </w:t>
      </w:r>
      <w:r w:rsidR="00153BB3" w:rsidRPr="00BB165A">
        <w:t>university</w:t>
      </w:r>
      <w:r w:rsidRPr="00BB165A">
        <w:t xml:space="preserve"> (e.g. </w:t>
      </w:r>
      <w:r w:rsidR="00153BB3" w:rsidRPr="00BB165A">
        <w:t xml:space="preserve">the 2020 commencing cohort was lower in 2020, but the commencing and continuing cohort </w:t>
      </w:r>
      <w:r w:rsidR="00336ECF">
        <w:t>were both</w:t>
      </w:r>
      <w:r w:rsidR="00336ECF" w:rsidRPr="00BB165A">
        <w:t xml:space="preserve"> </w:t>
      </w:r>
      <w:r w:rsidR="00153BB3" w:rsidRPr="00BB165A">
        <w:t xml:space="preserve">lower in 2021). </w:t>
      </w:r>
      <w:r w:rsidR="00547C63" w:rsidRPr="00BB165A">
        <w:t xml:space="preserve">This could have flow on effects if universities look to constrain staff and non-staff costs. </w:t>
      </w:r>
      <w:r w:rsidR="00165DD7" w:rsidRPr="00BB165A">
        <w:t xml:space="preserve">Universities are also uncertain whether </w:t>
      </w:r>
      <w:r w:rsidR="005A49E1" w:rsidRPr="00BB165A">
        <w:t>international students will return in 2022 or 2023 at the same scale as in 2019.</w:t>
      </w:r>
    </w:p>
    <w:p w14:paraId="00634C2D" w14:textId="027EC250" w:rsidR="008D3E97" w:rsidRPr="00BB165A" w:rsidRDefault="00053BA3" w:rsidP="00A524FD">
      <w:r w:rsidRPr="00BB165A">
        <w:t>A few universities noted that costs could</w:t>
      </w:r>
      <w:r w:rsidR="005F5FB1" w:rsidRPr="00BB165A">
        <w:t xml:space="preserve"> </w:t>
      </w:r>
      <w:r w:rsidRPr="00BB165A">
        <w:t xml:space="preserve">decrease in 2021 </w:t>
      </w:r>
      <w:r w:rsidR="00D80BCE" w:rsidRPr="00BB165A">
        <w:t>because of</w:t>
      </w:r>
      <w:r w:rsidRPr="00BB165A">
        <w:t xml:space="preserve"> lower staff levels</w:t>
      </w:r>
      <w:r w:rsidR="005D39CD" w:rsidRPr="00BB165A">
        <w:t xml:space="preserve"> </w:t>
      </w:r>
      <w:r w:rsidR="005A3C74" w:rsidRPr="00BB165A">
        <w:t>amid</w:t>
      </w:r>
      <w:r w:rsidR="005D39CD" w:rsidRPr="00BB165A">
        <w:t xml:space="preserve"> redundancies and restructures </w:t>
      </w:r>
      <w:r w:rsidR="005A3C74" w:rsidRPr="00BB165A">
        <w:t xml:space="preserve">implemented </w:t>
      </w:r>
      <w:r w:rsidR="005D39CD" w:rsidRPr="00BB165A">
        <w:t>in 2020.</w:t>
      </w:r>
      <w:r w:rsidRPr="00BB165A">
        <w:t xml:space="preserve"> </w:t>
      </w:r>
      <w:r w:rsidR="005F5FB1" w:rsidRPr="00BB165A">
        <w:t>However</w:t>
      </w:r>
      <w:r w:rsidR="00DE1D44">
        <w:t>,</w:t>
      </w:r>
      <w:r w:rsidR="000E5A04" w:rsidRPr="00BB165A">
        <w:t xml:space="preserve"> additional resources may need to be </w:t>
      </w:r>
      <w:r w:rsidR="005A3C74" w:rsidRPr="00BB165A">
        <w:t xml:space="preserve">deployed if </w:t>
      </w:r>
      <w:r w:rsidR="000E5A04" w:rsidRPr="00BB165A">
        <w:t>international student</w:t>
      </w:r>
      <w:r w:rsidR="000D075B" w:rsidRPr="00BB165A">
        <w:t xml:space="preserve"> enrolments increase faster than previously expected.</w:t>
      </w:r>
      <w:r w:rsidR="006F51C8" w:rsidRPr="00BB165A">
        <w:t xml:space="preserve"> </w:t>
      </w:r>
    </w:p>
    <w:p w14:paraId="13ADDE5A" w14:textId="7560EA4E" w:rsidR="00131594" w:rsidRPr="00BB165A" w:rsidRDefault="007152ED" w:rsidP="00131594">
      <w:r w:rsidRPr="00BB165A">
        <w:t xml:space="preserve">Some universities noted that </w:t>
      </w:r>
      <w:r w:rsidR="00131594" w:rsidRPr="00BB165A">
        <w:t>COVID</w:t>
      </w:r>
      <w:r w:rsidR="007A7141">
        <w:t>-19</w:t>
      </w:r>
      <w:r w:rsidR="00131594" w:rsidRPr="00BB165A">
        <w:t xml:space="preserve"> has changed </w:t>
      </w:r>
      <w:r w:rsidRPr="00BB165A">
        <w:t>university operation</w:t>
      </w:r>
      <w:r w:rsidR="00131594" w:rsidRPr="00BB165A">
        <w:t xml:space="preserve"> for the longer term in areas such as</w:t>
      </w:r>
      <w:r w:rsidR="002E41C9" w:rsidRPr="00BB165A">
        <w:t>:</w:t>
      </w:r>
    </w:p>
    <w:p w14:paraId="1037CCA9" w14:textId="69ADF87B" w:rsidR="00131594" w:rsidRPr="00BB165A" w:rsidRDefault="00131594" w:rsidP="00046245">
      <w:pPr>
        <w:pStyle w:val="ListBullet"/>
      </w:pPr>
      <w:r w:rsidRPr="00BB165A">
        <w:t>Blended work arrangements for some teams</w:t>
      </w:r>
      <w:r w:rsidR="00633300" w:rsidRPr="00BB165A">
        <w:t xml:space="preserve"> with the shift to </w:t>
      </w:r>
      <w:r w:rsidR="002407F4" w:rsidRPr="00BB165A">
        <w:t>working</w:t>
      </w:r>
      <w:r w:rsidR="00633300" w:rsidRPr="00BB165A">
        <w:t xml:space="preserve"> from home </w:t>
      </w:r>
      <w:r w:rsidR="002407F4" w:rsidRPr="00BB165A">
        <w:t xml:space="preserve">and reviews of </w:t>
      </w:r>
      <w:r w:rsidR="003C03B2" w:rsidRPr="00BB165A">
        <w:t>campus space utilisation</w:t>
      </w:r>
    </w:p>
    <w:p w14:paraId="47B31815" w14:textId="4861C421" w:rsidR="00131594" w:rsidRPr="00BB165A" w:rsidRDefault="00131594" w:rsidP="00046245">
      <w:pPr>
        <w:pStyle w:val="ListBullet"/>
      </w:pPr>
      <w:r w:rsidRPr="00BB165A">
        <w:t xml:space="preserve">Increased online </w:t>
      </w:r>
      <w:r w:rsidR="006B4081" w:rsidRPr="00BB165A">
        <w:t>delivery of teaching</w:t>
      </w:r>
      <w:r w:rsidR="008648E9" w:rsidRPr="00BB165A">
        <w:t xml:space="preserve">, </w:t>
      </w:r>
      <w:r w:rsidR="00D6528F" w:rsidRPr="00BB165A">
        <w:t>potentially</w:t>
      </w:r>
      <w:r w:rsidR="008648E9" w:rsidRPr="00BB165A">
        <w:t xml:space="preserve"> </w:t>
      </w:r>
      <w:r w:rsidR="006E495A" w:rsidRPr="00BB165A">
        <w:t>requiring increased</w:t>
      </w:r>
      <w:r w:rsidR="008648E9" w:rsidRPr="00BB165A">
        <w:t xml:space="preserve"> investment into online learning for some </w:t>
      </w:r>
      <w:r w:rsidR="006E495A" w:rsidRPr="00BB165A">
        <w:t>universities</w:t>
      </w:r>
    </w:p>
    <w:p w14:paraId="3CAFA94F" w14:textId="2F0E55C3" w:rsidR="00131594" w:rsidRPr="00BB165A" w:rsidRDefault="00131594" w:rsidP="00046245">
      <w:pPr>
        <w:pStyle w:val="ListBullet"/>
      </w:pPr>
      <w:r w:rsidRPr="00BB165A">
        <w:t xml:space="preserve">Potentially </w:t>
      </w:r>
      <w:r w:rsidR="006B4081" w:rsidRPr="00BB165A">
        <w:t>fewer</w:t>
      </w:r>
      <w:r w:rsidRPr="00BB165A">
        <w:t xml:space="preserve"> travel</w:t>
      </w:r>
      <w:r w:rsidR="00794FA6" w:rsidRPr="00BB165A">
        <w:t xml:space="preserve"> </w:t>
      </w:r>
      <w:r w:rsidR="00D6528F" w:rsidRPr="00BB165A">
        <w:t>costs</w:t>
      </w:r>
      <w:r w:rsidR="006B4081" w:rsidRPr="00BB165A">
        <w:t xml:space="preserve"> compared to pre-COVID</w:t>
      </w:r>
      <w:r w:rsidR="006D480B">
        <w:t>-19</w:t>
      </w:r>
      <w:r w:rsidR="006B4081" w:rsidRPr="00BB165A">
        <w:t xml:space="preserve"> </w:t>
      </w:r>
      <w:r w:rsidR="00373D4D" w:rsidRPr="00BB165A">
        <w:t>levels</w:t>
      </w:r>
    </w:p>
    <w:p w14:paraId="72332203" w14:textId="1C5D7517" w:rsidR="00CA354B" w:rsidRPr="00BB165A" w:rsidRDefault="00CA354B" w:rsidP="00046245">
      <w:pPr>
        <w:pStyle w:val="ListBullet"/>
      </w:pPr>
      <w:r w:rsidRPr="00BB165A">
        <w:t xml:space="preserve">More student hardship payments </w:t>
      </w:r>
      <w:r w:rsidR="003C03B2" w:rsidRPr="00BB165A">
        <w:t>and tuition fee discounts</w:t>
      </w:r>
      <w:r w:rsidR="00874B07" w:rsidRPr="00BB165A">
        <w:t xml:space="preserve"> </w:t>
      </w:r>
      <w:r w:rsidR="00373D4D" w:rsidRPr="00BB165A">
        <w:t>(</w:t>
      </w:r>
      <w:r w:rsidR="00874B07" w:rsidRPr="00BB165A">
        <w:t>which could be</w:t>
      </w:r>
      <w:r w:rsidR="00C33335" w:rsidRPr="00BB165A">
        <w:t xml:space="preserve"> </w:t>
      </w:r>
      <w:r w:rsidR="00874B07" w:rsidRPr="00BB165A">
        <w:t>used to attract international students</w:t>
      </w:r>
      <w:r w:rsidR="00373D4D" w:rsidRPr="00BB165A">
        <w:t>)</w:t>
      </w:r>
    </w:p>
    <w:p w14:paraId="533FD85A" w14:textId="20973FB3" w:rsidR="005B631F" w:rsidRPr="00BB165A" w:rsidRDefault="005B631F" w:rsidP="00046245">
      <w:pPr>
        <w:pStyle w:val="ListBullet"/>
      </w:pPr>
      <w:r w:rsidRPr="00BB165A">
        <w:t>Deferred expenditure in 2020 may mean higher expenditure in future years.</w:t>
      </w:r>
    </w:p>
    <w:p w14:paraId="4B12B411" w14:textId="242E8080" w:rsidR="00BE05CD" w:rsidRPr="00BB165A" w:rsidRDefault="00131594" w:rsidP="00824013">
      <w:r w:rsidRPr="00BB165A">
        <w:t xml:space="preserve">There are many other aspects of </w:t>
      </w:r>
      <w:r w:rsidR="00053BA3" w:rsidRPr="00BB165A">
        <w:t>university</w:t>
      </w:r>
      <w:r w:rsidRPr="00BB165A">
        <w:t xml:space="preserve"> operations that have changed, ranging from recruitment to graduation</w:t>
      </w:r>
      <w:r w:rsidR="00004730" w:rsidRPr="00BB165A">
        <w:t>. A</w:t>
      </w:r>
      <w:r w:rsidRPr="00BB165A">
        <w:t xml:space="preserve">s Australia is in the early stages of </w:t>
      </w:r>
      <w:r w:rsidR="00004730" w:rsidRPr="00BB165A">
        <w:t>living with active community transmission of</w:t>
      </w:r>
      <w:r w:rsidRPr="00BB165A">
        <w:t xml:space="preserve"> COVID, it is unknown whether these changes are permanent or temporary.</w:t>
      </w:r>
    </w:p>
    <w:p w14:paraId="4744E938" w14:textId="752FB27A" w:rsidR="00355DB7" w:rsidRPr="00BB165A" w:rsidRDefault="008D3E97" w:rsidP="00355DB7">
      <w:r w:rsidRPr="00BB165A">
        <w:t xml:space="preserve">Universities also tended to report that </w:t>
      </w:r>
      <w:r w:rsidR="009B2B61" w:rsidRPr="00BB165A">
        <w:t xml:space="preserve">because of financial pressures </w:t>
      </w:r>
      <w:r w:rsidR="006527E3" w:rsidRPr="00BB165A">
        <w:t xml:space="preserve">they made reductions in strategic investments (e.g. capital expenditure in infrastructure and technology). </w:t>
      </w:r>
      <w:r w:rsidR="00CD109B" w:rsidRPr="00BB165A">
        <w:t>The extent to which t</w:t>
      </w:r>
      <w:r w:rsidR="006527E3" w:rsidRPr="00BB165A">
        <w:t xml:space="preserve">hese investments </w:t>
      </w:r>
      <w:r w:rsidR="00CD109B" w:rsidRPr="00BB165A">
        <w:t>are simply being deferred</w:t>
      </w:r>
      <w:r w:rsidR="001F13AE" w:rsidRPr="00BB165A">
        <w:t xml:space="preserve"> </w:t>
      </w:r>
      <w:r w:rsidR="003D10C3">
        <w:t>to</w:t>
      </w:r>
      <w:r w:rsidR="003D10C3" w:rsidRPr="00BB165A">
        <w:t xml:space="preserve"> </w:t>
      </w:r>
      <w:r w:rsidR="001F13AE" w:rsidRPr="00BB165A">
        <w:t>future years or cancelled outright</w:t>
      </w:r>
      <w:r w:rsidR="00CD109B" w:rsidRPr="00BB165A">
        <w:t xml:space="preserve"> remains uncertain</w:t>
      </w:r>
      <w:r w:rsidR="00A41480" w:rsidRPr="00BB165A">
        <w:t xml:space="preserve"> and </w:t>
      </w:r>
      <w:r w:rsidR="00D62C8D">
        <w:t>may differ</w:t>
      </w:r>
      <w:r w:rsidR="00D62C8D" w:rsidRPr="00BB165A">
        <w:t xml:space="preserve"> </w:t>
      </w:r>
      <w:r w:rsidR="00A41480" w:rsidRPr="00BB165A">
        <w:t>across universities</w:t>
      </w:r>
      <w:r w:rsidR="00355DB7" w:rsidRPr="00BB165A">
        <w:t>.</w:t>
      </w:r>
    </w:p>
    <w:p w14:paraId="4137D178" w14:textId="5804F09D" w:rsidR="005B4799" w:rsidRPr="00BB165A" w:rsidRDefault="004E1005" w:rsidP="005B4799">
      <w:r w:rsidRPr="00BB165A">
        <w:t xml:space="preserve">Universities have also considered </w:t>
      </w:r>
      <w:r w:rsidR="005B4799" w:rsidRPr="00BB165A">
        <w:t>changes to their</w:t>
      </w:r>
      <w:r w:rsidR="00FD1D12" w:rsidRPr="00BB165A">
        <w:t xml:space="preserve"> capital </w:t>
      </w:r>
      <w:r w:rsidRPr="00BB165A">
        <w:t>investment program</w:t>
      </w:r>
      <w:r w:rsidR="00FD1D12" w:rsidRPr="00BB165A">
        <w:t xml:space="preserve"> in order to support dual-mode teaching and work-at-home staffing models.</w:t>
      </w:r>
    </w:p>
    <w:p w14:paraId="1BBFB4A0" w14:textId="3155BCC6" w:rsidR="00A509CB" w:rsidRPr="00BB165A" w:rsidRDefault="00EB32C5" w:rsidP="005B4799">
      <w:pPr>
        <w:pStyle w:val="Heading2"/>
      </w:pPr>
      <w:bookmarkStart w:id="703" w:name="_Toc105776196"/>
      <w:r w:rsidRPr="00BB165A">
        <w:t>Considerations</w:t>
      </w:r>
      <w:r w:rsidR="002C0004" w:rsidRPr="00BB165A">
        <w:t xml:space="preserve"> and </w:t>
      </w:r>
      <w:r w:rsidR="00E141F7" w:rsidRPr="00BB165A">
        <w:t>limitations</w:t>
      </w:r>
      <w:bookmarkEnd w:id="703"/>
      <w:r w:rsidR="002C0004" w:rsidRPr="00BB165A">
        <w:t xml:space="preserve"> </w:t>
      </w:r>
    </w:p>
    <w:p w14:paraId="7E8E3662" w14:textId="4CF05D30" w:rsidR="00640D0C" w:rsidRPr="00BB165A" w:rsidRDefault="00E420BE" w:rsidP="00640D0C">
      <w:r>
        <w:t>T</w:t>
      </w:r>
      <w:r w:rsidR="00923DCF">
        <w:t>his chapter has outlined a number of</w:t>
      </w:r>
      <w:r>
        <w:t xml:space="preserve"> </w:t>
      </w:r>
      <w:r w:rsidR="006F27CF">
        <w:t>impacts of COVID-19 on the university sector. However, the data from the COVID-19 tab should be interpreted with a number of important caveats in mind</w:t>
      </w:r>
      <w:r w:rsidR="00C90C7A" w:rsidRPr="00BB165A">
        <w:t>:</w:t>
      </w:r>
    </w:p>
    <w:p w14:paraId="6CBBAA07" w14:textId="10C8AF40" w:rsidR="001E1E8C" w:rsidRPr="00BB165A" w:rsidRDefault="00707355" w:rsidP="007B09DB">
      <w:pPr>
        <w:pStyle w:val="ListParagraph"/>
        <w:numPr>
          <w:ilvl w:val="0"/>
          <w:numId w:val="31"/>
        </w:numPr>
      </w:pPr>
      <w:r w:rsidRPr="00BB165A">
        <w:t>Many u</w:t>
      </w:r>
      <w:r w:rsidR="00A509CB" w:rsidRPr="00BB165A">
        <w:t xml:space="preserve">niversities </w:t>
      </w:r>
      <w:r w:rsidRPr="00BB165A">
        <w:t xml:space="preserve">were </w:t>
      </w:r>
      <w:r w:rsidR="00A509CB" w:rsidRPr="00BB165A">
        <w:t xml:space="preserve">not able to </w:t>
      </w:r>
      <w:r w:rsidR="001E1E8C" w:rsidRPr="00BB165A">
        <w:t>separate</w:t>
      </w:r>
      <w:r w:rsidR="00A509CB" w:rsidRPr="00BB165A">
        <w:t xml:space="preserve"> COVID</w:t>
      </w:r>
      <w:r w:rsidR="006D480B">
        <w:t>-19</w:t>
      </w:r>
      <w:r w:rsidR="00A509CB" w:rsidRPr="00BB165A">
        <w:t xml:space="preserve"> costs</w:t>
      </w:r>
      <w:r w:rsidR="00364266" w:rsidRPr="00BB165A">
        <w:t xml:space="preserve"> from total costs in 2020.</w:t>
      </w:r>
      <w:r w:rsidR="00A61CDD" w:rsidRPr="00BB165A">
        <w:t xml:space="preserve"> This </w:t>
      </w:r>
      <w:r w:rsidR="001E1E8C" w:rsidRPr="00BB165A">
        <w:t xml:space="preserve">was often because internal </w:t>
      </w:r>
      <w:r w:rsidR="00165BCE" w:rsidRPr="00BB165A">
        <w:t>university</w:t>
      </w:r>
      <w:r w:rsidR="001E1E8C" w:rsidRPr="00BB165A">
        <w:t xml:space="preserve"> systems did not code costs as COVID-related</w:t>
      </w:r>
      <w:r w:rsidR="00165BCE" w:rsidRPr="00BB165A">
        <w:t xml:space="preserve"> or </w:t>
      </w:r>
      <w:r w:rsidR="006F27CF">
        <w:t>because</w:t>
      </w:r>
      <w:r w:rsidR="006F27CF" w:rsidRPr="00BB165A">
        <w:t xml:space="preserve"> </w:t>
      </w:r>
      <w:r w:rsidR="00165BCE" w:rsidRPr="00BB165A">
        <w:t xml:space="preserve">costs </w:t>
      </w:r>
      <w:r w:rsidR="006F27CF">
        <w:t>(or savings)</w:t>
      </w:r>
      <w:r w:rsidR="00FC049B">
        <w:t xml:space="preserve"> </w:t>
      </w:r>
      <w:r w:rsidR="00165BCE" w:rsidRPr="00BB165A">
        <w:t>were too small to identify.</w:t>
      </w:r>
    </w:p>
    <w:p w14:paraId="1FD0F0C6" w14:textId="35A3B565" w:rsidR="006F27CF" w:rsidRPr="00BB165A" w:rsidRDefault="008400F2" w:rsidP="007B09DB">
      <w:pPr>
        <w:pStyle w:val="ListParagraph"/>
        <w:numPr>
          <w:ilvl w:val="0"/>
          <w:numId w:val="31"/>
        </w:numPr>
      </w:pPr>
      <w:r>
        <w:t>Eleven of the fourteen</w:t>
      </w:r>
      <w:r w:rsidR="00FD0760">
        <w:t xml:space="preserve"> universities filling out the tab identified </w:t>
      </w:r>
      <w:r w:rsidR="00FE6872">
        <w:t>increases</w:t>
      </w:r>
      <w:r w:rsidR="00FD0760">
        <w:t xml:space="preserve"> in costs</w:t>
      </w:r>
      <w:r w:rsidR="00FE6872">
        <w:t xml:space="preserve"> associated with COVID-19.</w:t>
      </w:r>
      <w:r w:rsidR="00FD0760">
        <w:t xml:space="preserve"> However, teaching costs across the sector only rose by 0.5%</w:t>
      </w:r>
      <w:r w:rsidR="00FE6872">
        <w:t xml:space="preserve"> </w:t>
      </w:r>
      <w:r w:rsidR="00081883">
        <w:t>relative to 2019</w:t>
      </w:r>
      <w:r w:rsidR="00FE6872">
        <w:t xml:space="preserve"> and </w:t>
      </w:r>
      <w:r w:rsidR="00CA6F71">
        <w:t>over</w:t>
      </w:r>
      <w:r w:rsidR="004817A2">
        <w:t xml:space="preserve"> a third of universities saw costs per EFTSL decrease</w:t>
      </w:r>
      <w:r w:rsidR="00CA6F71">
        <w:t xml:space="preserve"> in 2020</w:t>
      </w:r>
      <w:r w:rsidR="00FD0760">
        <w:t xml:space="preserve">. </w:t>
      </w:r>
    </w:p>
    <w:p w14:paraId="360303EB" w14:textId="0BC3F654" w:rsidR="00544A95" w:rsidRPr="00BB165A" w:rsidRDefault="00554922" w:rsidP="007B09DB">
      <w:pPr>
        <w:pStyle w:val="ListParagraph"/>
        <w:numPr>
          <w:ilvl w:val="0"/>
          <w:numId w:val="31"/>
        </w:numPr>
      </w:pPr>
      <w:r w:rsidRPr="00BB165A">
        <w:t>I</w:t>
      </w:r>
      <w:r w:rsidR="00544A95" w:rsidRPr="00BB165A">
        <w:t xml:space="preserve">nstitutions’ response to the pandemic </w:t>
      </w:r>
      <w:r w:rsidRPr="00BB165A">
        <w:t>have been</w:t>
      </w:r>
      <w:r w:rsidR="00544A95" w:rsidRPr="00BB165A">
        <w:t xml:space="preserve"> highly varied</w:t>
      </w:r>
      <w:r w:rsidRPr="00BB165A">
        <w:t xml:space="preserve">, for example some universities have provided </w:t>
      </w:r>
      <w:r w:rsidR="009A1745" w:rsidRPr="00BB165A">
        <w:t xml:space="preserve">students with </w:t>
      </w:r>
      <w:r w:rsidR="00A611B2" w:rsidRPr="00BB165A">
        <w:t>hardship</w:t>
      </w:r>
      <w:r w:rsidR="009A1745" w:rsidRPr="00BB165A">
        <w:t xml:space="preserve"> payments (</w:t>
      </w:r>
      <w:r w:rsidR="00115633" w:rsidRPr="00BB165A">
        <w:t xml:space="preserve">i.e. </w:t>
      </w:r>
      <w:r w:rsidR="009A1745" w:rsidRPr="00BB165A">
        <w:t xml:space="preserve">increased </w:t>
      </w:r>
      <w:r w:rsidR="00115633" w:rsidRPr="00BB165A">
        <w:t>expenditure)</w:t>
      </w:r>
      <w:r w:rsidR="009A1745" w:rsidRPr="00BB165A">
        <w:t xml:space="preserve"> while others have offered tuition </w:t>
      </w:r>
      <w:r w:rsidR="00115633" w:rsidRPr="00BB165A">
        <w:t>discounts (i.e. decreased revenue)</w:t>
      </w:r>
      <w:r w:rsidR="00544A95" w:rsidRPr="00BB165A">
        <w:t xml:space="preserve">. </w:t>
      </w:r>
      <w:r w:rsidR="000933E5" w:rsidRPr="00BB165A">
        <w:t xml:space="preserve">The </w:t>
      </w:r>
      <w:r w:rsidR="00544A95" w:rsidRPr="00BB165A">
        <w:t xml:space="preserve">inclusion of one-off costs in 2020 (specifically those related to the sector’s response to the pandemic) </w:t>
      </w:r>
      <w:r w:rsidR="000933E5" w:rsidRPr="00BB165A">
        <w:t>makes</w:t>
      </w:r>
      <w:r w:rsidR="00544A95" w:rsidRPr="00BB165A">
        <w:t xml:space="preserve"> the 2020 data </w:t>
      </w:r>
      <w:r w:rsidR="000933E5" w:rsidRPr="00BB165A">
        <w:t>more difficult to</w:t>
      </w:r>
      <w:r w:rsidR="00544A95" w:rsidRPr="00BB165A">
        <w:t xml:space="preserve"> </w:t>
      </w:r>
      <w:r w:rsidR="000933E5" w:rsidRPr="00BB165A">
        <w:t>compare across the sector</w:t>
      </w:r>
      <w:r w:rsidR="00544A95" w:rsidRPr="00BB165A">
        <w:t>.</w:t>
      </w:r>
    </w:p>
    <w:p w14:paraId="353E0932" w14:textId="717BA72B" w:rsidR="00A509CB" w:rsidRPr="00BB165A" w:rsidRDefault="008C73A3" w:rsidP="007B09DB">
      <w:pPr>
        <w:pStyle w:val="ListParagraph"/>
        <w:numPr>
          <w:ilvl w:val="0"/>
          <w:numId w:val="31"/>
        </w:numPr>
      </w:pPr>
      <w:r w:rsidRPr="00BB165A">
        <w:t xml:space="preserve">There was heterogeneity </w:t>
      </w:r>
      <w:r w:rsidR="00165BCE" w:rsidRPr="00BB165A">
        <w:t>in the effect of COVID</w:t>
      </w:r>
      <w:r w:rsidR="006D480B">
        <w:t>-19</w:t>
      </w:r>
      <w:r w:rsidR="00165BCE" w:rsidRPr="00BB165A">
        <w:t xml:space="preserve"> on </w:t>
      </w:r>
      <w:r w:rsidRPr="00BB165A">
        <w:t>universities</w:t>
      </w:r>
      <w:r w:rsidR="00864E75" w:rsidRPr="00BB165A">
        <w:t xml:space="preserve">. Several factors contributed to </w:t>
      </w:r>
      <w:r w:rsidR="00165BCE" w:rsidRPr="00BB165A">
        <w:t xml:space="preserve">this including: </w:t>
      </w:r>
    </w:p>
    <w:p w14:paraId="468E86B1" w14:textId="7DEE10A3" w:rsidR="008C73A3" w:rsidRPr="00BB165A" w:rsidRDefault="00165BCE" w:rsidP="007B09DB">
      <w:pPr>
        <w:pStyle w:val="ListParagraph"/>
        <w:numPr>
          <w:ilvl w:val="1"/>
          <w:numId w:val="31"/>
        </w:numPr>
      </w:pPr>
      <w:r w:rsidRPr="00BB165A">
        <w:t>The p</w:t>
      </w:r>
      <w:r w:rsidR="008C73A3" w:rsidRPr="00BB165A">
        <w:t>roportion of international enrolments</w:t>
      </w:r>
      <w:r w:rsidR="003075D4" w:rsidRPr="00BB165A">
        <w:t xml:space="preserve"> typically seen at an institution</w:t>
      </w:r>
    </w:p>
    <w:p w14:paraId="6AE36257" w14:textId="46FE1028" w:rsidR="008C73A3" w:rsidRPr="00BB165A" w:rsidRDefault="008C73A3" w:rsidP="007B09DB">
      <w:pPr>
        <w:pStyle w:val="ListParagraph"/>
        <w:numPr>
          <w:ilvl w:val="1"/>
          <w:numId w:val="31"/>
        </w:numPr>
      </w:pPr>
      <w:r w:rsidRPr="00BB165A">
        <w:t xml:space="preserve">Whether universities had undergone a </w:t>
      </w:r>
      <w:r w:rsidR="00372D0B" w:rsidRPr="00BB165A">
        <w:t xml:space="preserve">restructuring </w:t>
      </w:r>
      <w:r w:rsidR="00AE1EAE" w:rsidRPr="00BB165A">
        <w:t>in prior years</w:t>
      </w:r>
    </w:p>
    <w:p w14:paraId="71E9D490" w14:textId="5E24B038" w:rsidR="00AE1EAE" w:rsidRPr="00BB165A" w:rsidRDefault="00A611B2" w:rsidP="007B09DB">
      <w:pPr>
        <w:pStyle w:val="ListParagraph"/>
        <w:numPr>
          <w:ilvl w:val="1"/>
          <w:numId w:val="31"/>
        </w:numPr>
      </w:pPr>
      <w:r w:rsidRPr="00BB165A">
        <w:t xml:space="preserve">Different </w:t>
      </w:r>
      <w:r w:rsidR="003075D4" w:rsidRPr="00BB165A">
        <w:t>state and territory COVID</w:t>
      </w:r>
      <w:r w:rsidR="006D480B">
        <w:t>-19</w:t>
      </w:r>
      <w:r w:rsidR="003075D4" w:rsidRPr="00BB165A">
        <w:t xml:space="preserve"> </w:t>
      </w:r>
      <w:r w:rsidRPr="00BB165A">
        <w:t xml:space="preserve">restrictions </w:t>
      </w:r>
      <w:r w:rsidR="003075D4" w:rsidRPr="00BB165A">
        <w:t xml:space="preserve">(including border restrictions and other health-related restrictions). </w:t>
      </w:r>
    </w:p>
    <w:p w14:paraId="3C366209" w14:textId="3B8CE042" w:rsidR="00477E68" w:rsidRPr="00BB165A" w:rsidRDefault="00BC1C07" w:rsidP="005A7020">
      <w:pPr>
        <w:pStyle w:val="Heading1"/>
      </w:pPr>
      <w:bookmarkStart w:id="704" w:name="_Toc105776197"/>
      <w:r w:rsidRPr="00BB165A">
        <w:t>Discussion and k</w:t>
      </w:r>
      <w:r w:rsidR="00477E68" w:rsidRPr="00BB165A">
        <w:t>ey limitations</w:t>
      </w:r>
      <w:bookmarkEnd w:id="694"/>
      <w:bookmarkEnd w:id="695"/>
      <w:bookmarkEnd w:id="704"/>
      <w:r w:rsidR="00477E68" w:rsidRPr="00BB165A">
        <w:t xml:space="preserve"> </w:t>
      </w:r>
    </w:p>
    <w:p w14:paraId="0D5BD401" w14:textId="31995C28" w:rsidR="00EB779E" w:rsidRPr="00BB165A" w:rsidRDefault="00EB779E" w:rsidP="00EB779E">
      <w:r w:rsidRPr="00BB165A">
        <w:t xml:space="preserve">This chapter complements the quantitative analysis in the previous chapter by highlighting a number of key considerations </w:t>
      </w:r>
      <w:r w:rsidR="006743A3" w:rsidRPr="00BB165A">
        <w:t>in interpreting the results</w:t>
      </w:r>
      <w:r w:rsidR="00E6479A" w:rsidRPr="00BB165A">
        <w:t xml:space="preserve"> and limitations of the findings. In doing so the chapter draws on a range of reflections </w:t>
      </w:r>
      <w:r w:rsidR="00D751E6" w:rsidRPr="00BB165A">
        <w:t xml:space="preserve">provided by </w:t>
      </w:r>
      <w:r w:rsidRPr="00BB165A">
        <w:t xml:space="preserve">universities </w:t>
      </w:r>
      <w:r w:rsidR="00D751E6" w:rsidRPr="00BB165A">
        <w:t>during</w:t>
      </w:r>
      <w:r w:rsidRPr="00BB165A">
        <w:t xml:space="preserve"> the data collection </w:t>
      </w:r>
      <w:r w:rsidR="00304DAC" w:rsidRPr="00BB165A">
        <w:t xml:space="preserve">process </w:t>
      </w:r>
      <w:r w:rsidR="00E6479A" w:rsidRPr="00BB165A">
        <w:t xml:space="preserve">including </w:t>
      </w:r>
      <w:r w:rsidR="00304DAC" w:rsidRPr="00BB165A">
        <w:t xml:space="preserve">reflections from the </w:t>
      </w:r>
      <w:r w:rsidR="00E6479A" w:rsidRPr="00BB165A">
        <w:t xml:space="preserve">consultations and </w:t>
      </w:r>
      <w:r w:rsidR="00304DAC" w:rsidRPr="00BB165A">
        <w:t xml:space="preserve">university </w:t>
      </w:r>
      <w:r w:rsidR="002D4D1A" w:rsidRPr="00BB165A">
        <w:t>Supporting Statement</w:t>
      </w:r>
      <w:r w:rsidRPr="00BB165A">
        <w:t xml:space="preserve">s. </w:t>
      </w:r>
    </w:p>
    <w:p w14:paraId="16E0F0F3" w14:textId="77777777" w:rsidR="00EB779E" w:rsidRPr="00BB165A" w:rsidRDefault="00EB779E" w:rsidP="00EB779E">
      <w:r w:rsidRPr="00BB165A">
        <w:t xml:space="preserve">The remainder of this chapter is structured as follows: </w:t>
      </w:r>
    </w:p>
    <w:p w14:paraId="4E8851CC" w14:textId="09183307" w:rsidR="00EB779E" w:rsidRPr="00BB165A" w:rsidRDefault="00EB779E" w:rsidP="00046245">
      <w:pPr>
        <w:pStyle w:val="ListBullet"/>
      </w:pPr>
      <w:r w:rsidRPr="00BB165A">
        <w:t xml:space="preserve">Section </w:t>
      </w:r>
      <w:r w:rsidR="00650E88" w:rsidRPr="00BB165A">
        <w:fldChar w:fldCharType="begin"/>
      </w:r>
      <w:r w:rsidR="00650E88" w:rsidRPr="00BB165A">
        <w:instrText xml:space="preserve"> REF _Ref102576786 \r \h </w:instrText>
      </w:r>
      <w:r w:rsidR="00AF60A1" w:rsidRPr="00BB165A">
        <w:instrText xml:space="preserve"> \* MERGEFORMAT </w:instrText>
      </w:r>
      <w:r w:rsidR="00650E88" w:rsidRPr="00BB165A">
        <w:fldChar w:fldCharType="separate"/>
      </w:r>
      <w:r w:rsidR="00E83FB1">
        <w:t>4.1</w:t>
      </w:r>
      <w:r w:rsidR="00650E88" w:rsidRPr="00BB165A">
        <w:fldChar w:fldCharType="end"/>
      </w:r>
      <w:r w:rsidRPr="00BB165A">
        <w:t xml:space="preserve"> presents the key considerations for interpreting the quantitative analysis, including relevant limitations </w:t>
      </w:r>
      <w:r w:rsidR="00E6479A" w:rsidRPr="00BB165A">
        <w:t>in interpreting the findings</w:t>
      </w:r>
      <w:r w:rsidRPr="00BB165A">
        <w:t xml:space="preserve">. </w:t>
      </w:r>
    </w:p>
    <w:p w14:paraId="5EB6EFCD" w14:textId="06113510" w:rsidR="00EB779E" w:rsidRPr="00BB165A" w:rsidRDefault="00EB779E" w:rsidP="00046245">
      <w:pPr>
        <w:pStyle w:val="ListBullet"/>
      </w:pPr>
      <w:r w:rsidRPr="00BB165A">
        <w:t xml:space="preserve">Section </w:t>
      </w:r>
      <w:r w:rsidR="00650E88" w:rsidRPr="00BB165A">
        <w:fldChar w:fldCharType="begin"/>
      </w:r>
      <w:r w:rsidR="00650E88" w:rsidRPr="00BB165A">
        <w:instrText xml:space="preserve"> REF _Ref532206251 \r \h </w:instrText>
      </w:r>
      <w:r w:rsidR="00AF60A1" w:rsidRPr="00BB165A">
        <w:instrText xml:space="preserve"> \* MERGEFORMAT </w:instrText>
      </w:r>
      <w:r w:rsidR="00650E88" w:rsidRPr="00BB165A">
        <w:fldChar w:fldCharType="separate"/>
      </w:r>
      <w:r w:rsidR="00E83FB1">
        <w:t>4.2</w:t>
      </w:r>
      <w:r w:rsidR="00650E88" w:rsidRPr="00BB165A">
        <w:fldChar w:fldCharType="end"/>
      </w:r>
      <w:r w:rsidRPr="00BB165A">
        <w:t xml:space="preserve"> reflects on the apportioning of costs to major activities by universities, in particular, the approach universities have taken to identifying and separating teaching and scholarship costs from research. </w:t>
      </w:r>
    </w:p>
    <w:p w14:paraId="2B1A6C82" w14:textId="32380BAC" w:rsidR="00EB779E" w:rsidRPr="00BB165A" w:rsidRDefault="00EB779E" w:rsidP="00046245">
      <w:pPr>
        <w:pStyle w:val="ListBullet"/>
      </w:pPr>
      <w:r w:rsidRPr="00BB165A">
        <w:t xml:space="preserve">Section </w:t>
      </w:r>
      <w:r w:rsidR="00AF60A1" w:rsidRPr="00BB165A">
        <w:fldChar w:fldCharType="begin"/>
      </w:r>
      <w:r w:rsidR="00AF60A1" w:rsidRPr="00BB165A">
        <w:instrText xml:space="preserve"> REF _Ref102576846 \r \h  \* MERGEFORMAT </w:instrText>
      </w:r>
      <w:r w:rsidR="00AF60A1" w:rsidRPr="00BB165A">
        <w:fldChar w:fldCharType="separate"/>
      </w:r>
      <w:r w:rsidR="00E83FB1">
        <w:t>4.3</w:t>
      </w:r>
      <w:r w:rsidR="00AF60A1" w:rsidRPr="00BB165A">
        <w:fldChar w:fldCharType="end"/>
      </w:r>
      <w:r w:rsidRPr="00BB165A">
        <w:t xml:space="preserve"> discusses the treatment of capital costs. </w:t>
      </w:r>
    </w:p>
    <w:p w14:paraId="2FC17352" w14:textId="32BCB5F8" w:rsidR="00EB779E" w:rsidRPr="00BB165A" w:rsidRDefault="00EB779E" w:rsidP="00046245">
      <w:pPr>
        <w:pStyle w:val="ListBullet"/>
      </w:pPr>
      <w:r w:rsidRPr="00BB165A">
        <w:t xml:space="preserve">Section </w:t>
      </w:r>
      <w:r w:rsidR="00AF60A1" w:rsidRPr="00BB165A">
        <w:fldChar w:fldCharType="begin"/>
      </w:r>
      <w:r w:rsidR="00AF60A1" w:rsidRPr="00BB165A">
        <w:instrText xml:space="preserve"> REF _Ref102576866 \r \h  \* MERGEFORMAT </w:instrText>
      </w:r>
      <w:r w:rsidR="00AF60A1" w:rsidRPr="00BB165A">
        <w:fldChar w:fldCharType="separate"/>
      </w:r>
      <w:r w:rsidR="00E83FB1">
        <w:t>4.4</w:t>
      </w:r>
      <w:r w:rsidR="00AF60A1" w:rsidRPr="00BB165A">
        <w:fldChar w:fldCharType="end"/>
      </w:r>
      <w:r w:rsidRPr="00BB165A">
        <w:t xml:space="preserve"> provides some reflections on the </w:t>
      </w:r>
      <w:r w:rsidR="00D751E6" w:rsidRPr="00BB165A">
        <w:t>range of</w:t>
      </w:r>
      <w:r w:rsidRPr="00BB165A">
        <w:t xml:space="preserve"> methodologies</w:t>
      </w:r>
      <w:r w:rsidR="00D751E6" w:rsidRPr="00BB165A">
        <w:t xml:space="preserve"> used</w:t>
      </w:r>
      <w:r w:rsidRPr="00BB165A">
        <w:t xml:space="preserve">, </w:t>
      </w:r>
      <w:r w:rsidR="00D751E6" w:rsidRPr="00BB165A">
        <w:t xml:space="preserve">from apportioning costs top down to unit-level activity-based costing models, </w:t>
      </w:r>
      <w:r w:rsidRPr="00BB165A">
        <w:t xml:space="preserve">and the extent to which these methodological considerations may </w:t>
      </w:r>
      <w:r w:rsidR="0051242E" w:rsidRPr="00BB165A">
        <w:t>affect</w:t>
      </w:r>
      <w:r w:rsidRPr="00BB165A">
        <w:t xml:space="preserve"> the results. </w:t>
      </w:r>
    </w:p>
    <w:p w14:paraId="2B71DE31" w14:textId="1A7F232C" w:rsidR="00EB779E" w:rsidRDefault="00EB779E" w:rsidP="00046245">
      <w:pPr>
        <w:pStyle w:val="ListBullet"/>
      </w:pPr>
      <w:r w:rsidRPr="00BB165A">
        <w:t xml:space="preserve">Section </w:t>
      </w:r>
      <w:r w:rsidR="00AF60A1" w:rsidRPr="00BB165A">
        <w:fldChar w:fldCharType="begin"/>
      </w:r>
      <w:r w:rsidR="00AF60A1" w:rsidRPr="00BB165A">
        <w:instrText xml:space="preserve"> REF _Ref102576873 \r \h  \* MERGEFORMAT </w:instrText>
      </w:r>
      <w:r w:rsidR="00AF60A1" w:rsidRPr="00BB165A">
        <w:fldChar w:fldCharType="separate"/>
      </w:r>
      <w:r w:rsidR="00E83FB1">
        <w:t>4.5</w:t>
      </w:r>
      <w:r w:rsidR="00AF60A1" w:rsidRPr="00BB165A">
        <w:fldChar w:fldCharType="end"/>
      </w:r>
      <w:r w:rsidRPr="00BB165A">
        <w:t xml:space="preserve"> summarises some of the other issues raised by universities during this process. </w:t>
      </w:r>
    </w:p>
    <w:p w14:paraId="20AB8CFF" w14:textId="18E31866" w:rsidR="00DD7653" w:rsidRPr="00BB165A" w:rsidRDefault="00DD7653" w:rsidP="00046245">
      <w:pPr>
        <w:pStyle w:val="ListBullet"/>
      </w:pPr>
      <w:r>
        <w:t xml:space="preserve">Section </w:t>
      </w:r>
      <w:r>
        <w:fldChar w:fldCharType="begin"/>
      </w:r>
      <w:r>
        <w:instrText xml:space="preserve"> REF _Ref103332993 \r \h </w:instrText>
      </w:r>
      <w:r>
        <w:fldChar w:fldCharType="separate"/>
      </w:r>
      <w:r w:rsidR="00E83FB1">
        <w:t>4.6</w:t>
      </w:r>
      <w:r>
        <w:fldChar w:fldCharType="end"/>
      </w:r>
      <w:r>
        <w:t xml:space="preserve"> outlines </w:t>
      </w:r>
      <w:r w:rsidR="00DE5665">
        <w:t>potential areas for improvement in subsequent analysis</w:t>
      </w:r>
    </w:p>
    <w:p w14:paraId="4A65C9A1" w14:textId="77777777" w:rsidR="00EB779E" w:rsidRPr="00BB165A" w:rsidRDefault="00EB779E" w:rsidP="00EB779E">
      <w:pPr>
        <w:pStyle w:val="Heading2"/>
      </w:pPr>
      <w:bookmarkStart w:id="705" w:name="_Toc532245510"/>
      <w:bookmarkStart w:id="706" w:name="_Toc20246015"/>
      <w:bookmarkStart w:id="707" w:name="_Ref102576786"/>
      <w:bookmarkStart w:id="708" w:name="_Toc105776198"/>
      <w:r w:rsidRPr="00BB165A">
        <w:t>Key considerations in interpreting the analysis</w:t>
      </w:r>
      <w:bookmarkEnd w:id="705"/>
      <w:bookmarkEnd w:id="706"/>
      <w:bookmarkEnd w:id="707"/>
      <w:bookmarkEnd w:id="708"/>
      <w:r w:rsidRPr="00BB165A">
        <w:t xml:space="preserve"> </w:t>
      </w:r>
    </w:p>
    <w:p w14:paraId="3DF4F86F" w14:textId="3A572D70" w:rsidR="00EB779E" w:rsidRPr="00BB165A" w:rsidRDefault="00EB779E" w:rsidP="00EB779E">
      <w:r w:rsidRPr="00BB165A">
        <w:t xml:space="preserve">The key limitations </w:t>
      </w:r>
      <w:r w:rsidR="0051242E" w:rsidRPr="00BB165A">
        <w:t xml:space="preserve">of </w:t>
      </w:r>
      <w:r w:rsidRPr="00BB165A">
        <w:t xml:space="preserve">this analysis are </w:t>
      </w:r>
      <w:r w:rsidR="0051242E" w:rsidRPr="00BB165A">
        <w:t xml:space="preserve">set out </w:t>
      </w:r>
      <w:r w:rsidRPr="00BB165A">
        <w:t xml:space="preserve">in </w:t>
      </w:r>
      <w:r w:rsidRPr="00BB165A">
        <w:fldChar w:fldCharType="begin"/>
      </w:r>
      <w:r w:rsidRPr="00BB165A">
        <w:instrText xml:space="preserve"> REF _Ref529194548 \r \h </w:instrText>
      </w:r>
      <w:r w:rsidR="008B3BBC" w:rsidRPr="00BB165A">
        <w:instrText xml:space="preserve"> \* MERGEFORMAT </w:instrText>
      </w:r>
      <w:r w:rsidRPr="00BB165A">
        <w:fldChar w:fldCharType="separate"/>
      </w:r>
      <w:r w:rsidR="00E83FB1">
        <w:t>Table 4.1</w:t>
      </w:r>
      <w:r w:rsidRPr="00BB165A">
        <w:fldChar w:fldCharType="end"/>
      </w:r>
      <w:r w:rsidR="0051242E" w:rsidRPr="00BB165A">
        <w:t xml:space="preserve"> below</w:t>
      </w:r>
      <w:r w:rsidRPr="00BB165A">
        <w:t>. These limitations were recognised at the outset of this exercise and are ongoing challenges faced by exercises of this nature. Importantly, strategies have been undertaken to minimise their impact over time, including working with universities to improve the accuracy of their cost allocation processes</w:t>
      </w:r>
      <w:r w:rsidR="00E6479A" w:rsidRPr="00BB165A">
        <w:t xml:space="preserve"> and promote consistency in approaches to completi</w:t>
      </w:r>
      <w:r w:rsidR="0051242E" w:rsidRPr="00BB165A">
        <w:t>ng</w:t>
      </w:r>
      <w:r w:rsidR="00E6479A" w:rsidRPr="00BB165A">
        <w:t xml:space="preserve"> the TCW. </w:t>
      </w:r>
    </w:p>
    <w:p w14:paraId="79EB9715" w14:textId="77777777" w:rsidR="00EB779E" w:rsidRPr="00BB165A" w:rsidRDefault="00EB779E" w:rsidP="00EB779E">
      <w:pPr>
        <w:pStyle w:val="CaptionTable"/>
      </w:pPr>
      <w:bookmarkStart w:id="709" w:name="_Toc532245616"/>
      <w:bookmarkStart w:id="710" w:name="_Toc533173877"/>
      <w:bookmarkStart w:id="711" w:name="_Toc532245617"/>
      <w:bookmarkStart w:id="712" w:name="_Toc533173878"/>
      <w:bookmarkStart w:id="713" w:name="_Toc532245618"/>
      <w:bookmarkStart w:id="714" w:name="_Toc533173879"/>
      <w:bookmarkStart w:id="715" w:name="_Ref529194548"/>
      <w:bookmarkStart w:id="716" w:name="_Toc532245619"/>
      <w:bookmarkStart w:id="717" w:name="_Toc20245935"/>
      <w:bookmarkStart w:id="718" w:name="_Toc105776722"/>
      <w:bookmarkEnd w:id="709"/>
      <w:bookmarkEnd w:id="710"/>
      <w:bookmarkEnd w:id="711"/>
      <w:bookmarkEnd w:id="712"/>
      <w:bookmarkEnd w:id="713"/>
      <w:bookmarkEnd w:id="714"/>
      <w:r w:rsidRPr="00BB165A">
        <w:t>: Key limitations of the exercise</w:t>
      </w:r>
      <w:bookmarkEnd w:id="715"/>
      <w:bookmarkEnd w:id="716"/>
      <w:bookmarkEnd w:id="717"/>
      <w:bookmarkEnd w:id="718"/>
    </w:p>
    <w:tbl>
      <w:tblPr>
        <w:tblStyle w:val="Deloittetable"/>
        <w:tblW w:w="8647" w:type="dxa"/>
        <w:tblLook w:val="04A0" w:firstRow="1" w:lastRow="0" w:firstColumn="1" w:lastColumn="0" w:noHBand="0" w:noVBand="1"/>
      </w:tblPr>
      <w:tblGrid>
        <w:gridCol w:w="2977"/>
        <w:gridCol w:w="5670"/>
      </w:tblGrid>
      <w:tr w:rsidR="00EB779E" w:rsidRPr="00844A13" w14:paraId="5AC90833" w14:textId="77777777" w:rsidTr="00146B33">
        <w:trPr>
          <w:cnfStyle w:val="100000000000" w:firstRow="1" w:lastRow="0" w:firstColumn="0" w:lastColumn="0" w:oddVBand="0" w:evenVBand="0" w:oddHBand="0" w:evenHBand="0" w:firstRowFirstColumn="0" w:firstRowLastColumn="0" w:lastRowFirstColumn="0" w:lastRowLastColumn="0"/>
          <w:tblHeader/>
        </w:trPr>
        <w:tc>
          <w:tcPr>
            <w:tcW w:w="2977" w:type="dxa"/>
          </w:tcPr>
          <w:p w14:paraId="5E0FFBE2" w14:textId="77777777" w:rsidR="00EB779E" w:rsidRPr="00BB165A" w:rsidRDefault="00EB779E" w:rsidP="00B76EFD">
            <w:pPr>
              <w:ind w:right="135"/>
              <w:rPr>
                <w:b/>
              </w:rPr>
            </w:pPr>
            <w:r w:rsidRPr="00BB165A">
              <w:rPr>
                <w:b/>
              </w:rPr>
              <w:t xml:space="preserve">Limitation </w:t>
            </w:r>
          </w:p>
        </w:tc>
        <w:tc>
          <w:tcPr>
            <w:tcW w:w="5670" w:type="dxa"/>
          </w:tcPr>
          <w:p w14:paraId="263F05AA" w14:textId="5D00A621" w:rsidR="00EB779E" w:rsidRPr="00BB165A" w:rsidRDefault="00EB779E" w:rsidP="00B76EFD">
            <w:pPr>
              <w:rPr>
                <w:b/>
              </w:rPr>
            </w:pPr>
            <w:r w:rsidRPr="00BB165A">
              <w:rPr>
                <w:b/>
              </w:rPr>
              <w:t>Detail and implication</w:t>
            </w:r>
            <w:r w:rsidR="009C7669">
              <w:rPr>
                <w:b/>
              </w:rPr>
              <w:t>s</w:t>
            </w:r>
            <w:r w:rsidRPr="00BB165A">
              <w:rPr>
                <w:b/>
              </w:rPr>
              <w:t xml:space="preserve"> </w:t>
            </w:r>
          </w:p>
        </w:tc>
      </w:tr>
      <w:tr w:rsidR="00EB779E" w:rsidRPr="00844A13" w14:paraId="0698F8E5" w14:textId="77777777" w:rsidTr="00B76EFD">
        <w:tc>
          <w:tcPr>
            <w:tcW w:w="2977" w:type="dxa"/>
          </w:tcPr>
          <w:p w14:paraId="6D4C6444" w14:textId="77777777" w:rsidR="00EB779E" w:rsidRPr="00BB165A" w:rsidRDefault="00EB779E" w:rsidP="00B76EFD">
            <w:pPr>
              <w:ind w:right="135"/>
            </w:pPr>
            <w:r w:rsidRPr="00BB165A">
              <w:t xml:space="preserve">Accurately separating university functions to teaching, scholarship, research and other. </w:t>
            </w:r>
          </w:p>
        </w:tc>
        <w:tc>
          <w:tcPr>
            <w:tcW w:w="5670" w:type="dxa"/>
          </w:tcPr>
          <w:p w14:paraId="26AF7971" w14:textId="3821EDD1" w:rsidR="00EB779E" w:rsidRPr="00BB165A" w:rsidRDefault="00EB779E" w:rsidP="00B76EFD">
            <w:r w:rsidRPr="00BB165A">
              <w:t>An ongoing challenge</w:t>
            </w:r>
            <w:r w:rsidR="0051242E" w:rsidRPr="00BB165A">
              <w:t xml:space="preserve"> faced by universities</w:t>
            </w:r>
            <w:r w:rsidRPr="00BB165A">
              <w:t xml:space="preserve"> is the accurate attribution of costs between teaching and research functions, recognising that these are often interrelated.</w:t>
            </w:r>
          </w:p>
          <w:p w14:paraId="34D2BDE4" w14:textId="1B8342D6" w:rsidR="00EB779E" w:rsidRPr="00BB165A" w:rsidRDefault="00EB779E" w:rsidP="00B76EFD">
            <w:r w:rsidRPr="00BB165A">
              <w:t>A number of universities identified difficulties in systematically and consistently identifying staff time related to research and scholarship, employ</w:t>
            </w:r>
            <w:r w:rsidR="00083337">
              <w:t>ing</w:t>
            </w:r>
            <w:r w:rsidRPr="00BB165A">
              <w:t xml:space="preserve"> a range of methods from broad based assumptions</w:t>
            </w:r>
            <w:r w:rsidR="00E6479A" w:rsidRPr="00BB165A">
              <w:t xml:space="preserve"> based on Enterprise Bargaining Agreements</w:t>
            </w:r>
            <w:r w:rsidR="00DA0DFA">
              <w:t>,</w:t>
            </w:r>
            <w:r w:rsidR="00BD2FA8">
              <w:t xml:space="preserve"> to </w:t>
            </w:r>
            <w:r w:rsidRPr="00BB165A">
              <w:t xml:space="preserve">workload </w:t>
            </w:r>
            <w:r w:rsidR="00E6479A" w:rsidRPr="00BB165A">
              <w:t xml:space="preserve">allocation </w:t>
            </w:r>
            <w:r w:rsidRPr="00BB165A">
              <w:t>models</w:t>
            </w:r>
            <w:r w:rsidR="00DA0DFA">
              <w:t>,</w:t>
            </w:r>
            <w:r w:rsidR="00E6479A" w:rsidRPr="00BB165A">
              <w:t xml:space="preserve"> </w:t>
            </w:r>
            <w:r w:rsidR="00BD2FA8">
              <w:t xml:space="preserve">to </w:t>
            </w:r>
            <w:r w:rsidRPr="00BB165A">
              <w:t xml:space="preserve">detailed timesheets. </w:t>
            </w:r>
          </w:p>
          <w:p w14:paraId="13CBA581" w14:textId="32EB1D8C" w:rsidR="00EB779E" w:rsidRPr="00BB165A" w:rsidRDefault="00EB779E" w:rsidP="00B76EFD">
            <w:r w:rsidRPr="00BB165A">
              <w:t xml:space="preserve">Due to differences in university processes and ability to apportion staff time, there was not a prescribed methodology, but rather a set of principles described for universities to employ. </w:t>
            </w:r>
            <w:r w:rsidR="0041408C" w:rsidRPr="00BB165A">
              <w:t xml:space="preserve">There was evidence, however, of universities improving their internal data collection processes to </w:t>
            </w:r>
            <w:r w:rsidR="00BD2FA8">
              <w:t>estimate</w:t>
            </w:r>
            <w:r w:rsidR="00BD2FA8" w:rsidRPr="00BB165A">
              <w:t xml:space="preserve"> </w:t>
            </w:r>
            <w:r w:rsidR="0041408C" w:rsidRPr="00BB165A">
              <w:t>these splits with greater precision</w:t>
            </w:r>
            <w:r w:rsidR="00477FE4">
              <w:t>. Some universities were also currently undertaking these processes to support</w:t>
            </w:r>
            <w:r w:rsidR="0041408C" w:rsidRPr="00BB165A">
              <w:t xml:space="preserve"> future data collection.</w:t>
            </w:r>
          </w:p>
        </w:tc>
      </w:tr>
      <w:tr w:rsidR="00EB779E" w:rsidRPr="00844A13" w14:paraId="6624D382" w14:textId="77777777" w:rsidTr="00B76EFD">
        <w:tc>
          <w:tcPr>
            <w:tcW w:w="2977" w:type="dxa"/>
          </w:tcPr>
          <w:p w14:paraId="3591110E" w14:textId="77777777" w:rsidR="00EB779E" w:rsidRPr="00BB165A" w:rsidRDefault="00EB779E" w:rsidP="00B76EFD">
            <w:pPr>
              <w:ind w:right="135"/>
            </w:pPr>
            <w:r w:rsidRPr="00BB165A">
              <w:t xml:space="preserve">Cost variation between levels within the same field. </w:t>
            </w:r>
          </w:p>
        </w:tc>
        <w:tc>
          <w:tcPr>
            <w:tcW w:w="5670" w:type="dxa"/>
          </w:tcPr>
          <w:p w14:paraId="194811D7" w14:textId="51FA31CC" w:rsidR="00EB779E" w:rsidRPr="00BB165A" w:rsidRDefault="00CD79F5" w:rsidP="00B76EFD">
            <w:r w:rsidRPr="00BB165A">
              <w:t>There remain a</w:t>
            </w:r>
            <w:r w:rsidR="00EB779E" w:rsidRPr="00BB165A">
              <w:t xml:space="preserve"> number of universities (</w:t>
            </w:r>
            <w:r w:rsidR="00943FF3">
              <w:t>9</w:t>
            </w:r>
            <w:r w:rsidR="00943FF3" w:rsidRPr="00BB165A">
              <w:t xml:space="preserve"> </w:t>
            </w:r>
            <w:r w:rsidRPr="00BB165A">
              <w:t>of</w:t>
            </w:r>
            <w:r w:rsidR="00943FF3">
              <w:t xml:space="preserve"> </w:t>
            </w:r>
            <w:r w:rsidR="00817146">
              <w:t>37</w:t>
            </w:r>
            <w:r w:rsidR="00EB779E" w:rsidRPr="00BB165A">
              <w:t xml:space="preserve">) </w:t>
            </w:r>
            <w:r w:rsidRPr="00BB165A">
              <w:t xml:space="preserve">who </w:t>
            </w:r>
            <w:r w:rsidR="00EB779E" w:rsidRPr="00BB165A">
              <w:t xml:space="preserve">noted that while they were able to isolate costs between different fields of education, they were not able to separate costs between levels – that is, costs specific to each level within a given faculty or school. </w:t>
            </w:r>
          </w:p>
          <w:p w14:paraId="7CE13114" w14:textId="1526E38D" w:rsidR="00EB779E" w:rsidRPr="00BB165A" w:rsidRDefault="00EB779E" w:rsidP="00B76EFD">
            <w:r w:rsidRPr="00BB165A">
              <w:t xml:space="preserve">In these instances, unit costs were </w:t>
            </w:r>
            <w:r w:rsidR="003B0859" w:rsidRPr="00BB165A">
              <w:t xml:space="preserve">reported as </w:t>
            </w:r>
            <w:r w:rsidRPr="00BB165A">
              <w:t xml:space="preserve">identical within the same faculty or school and were often similar across levels within a </w:t>
            </w:r>
            <w:r w:rsidR="00B70C2F">
              <w:t>FOE</w:t>
            </w:r>
            <w:r w:rsidRPr="00BB165A">
              <w:t xml:space="preserve"> (depending on the mix of schools and faculties within a given field), and hence the results are likely to have a convergence in costs between levels. This is discussed in more detail in Section </w:t>
            </w:r>
            <w:r w:rsidRPr="00BB165A">
              <w:fldChar w:fldCharType="begin"/>
            </w:r>
            <w:r w:rsidRPr="00BB165A">
              <w:instrText xml:space="preserve"> REF _Ref529288172 \r \h </w:instrText>
            </w:r>
            <w:r w:rsidR="008B3BBC" w:rsidRPr="00BB165A">
              <w:instrText xml:space="preserve"> \* MERGEFORMAT </w:instrText>
            </w:r>
            <w:r w:rsidRPr="00BB165A">
              <w:fldChar w:fldCharType="separate"/>
            </w:r>
            <w:r w:rsidR="00E83FB1">
              <w:t>2.2</w:t>
            </w:r>
            <w:r w:rsidRPr="00BB165A">
              <w:fldChar w:fldCharType="end"/>
            </w:r>
            <w:r w:rsidRPr="00BB165A">
              <w:t xml:space="preserve">. </w:t>
            </w:r>
          </w:p>
        </w:tc>
      </w:tr>
      <w:tr w:rsidR="00EB779E" w:rsidRPr="00844A13" w14:paraId="0152C8AD" w14:textId="77777777" w:rsidTr="00B76EFD">
        <w:tc>
          <w:tcPr>
            <w:tcW w:w="2977" w:type="dxa"/>
          </w:tcPr>
          <w:p w14:paraId="2DD31D2F" w14:textId="77777777" w:rsidR="00EB779E" w:rsidRPr="00BB165A" w:rsidRDefault="00EB779E" w:rsidP="00B76EFD">
            <w:pPr>
              <w:ind w:right="135"/>
            </w:pPr>
            <w:r w:rsidRPr="00BB165A">
              <w:t xml:space="preserve">Identifying specific FOE costs within a given school or faculty or relevant business unit. </w:t>
            </w:r>
          </w:p>
        </w:tc>
        <w:tc>
          <w:tcPr>
            <w:tcW w:w="5670" w:type="dxa"/>
          </w:tcPr>
          <w:p w14:paraId="171370B0" w14:textId="77777777" w:rsidR="00EB779E" w:rsidRPr="00BB165A" w:rsidRDefault="00EB779E" w:rsidP="00B76EFD">
            <w:r w:rsidRPr="00BB165A">
              <w:t xml:space="preserve">Some universities noted a level of convergence between certain fields of education, where they were unable to systematically separate costs specifically between those fields. </w:t>
            </w:r>
          </w:p>
          <w:p w14:paraId="5FD6D6E5" w14:textId="77777777" w:rsidR="00EB779E" w:rsidRPr="00BB165A" w:rsidRDefault="00EB779E" w:rsidP="00B76EFD">
            <w:r w:rsidRPr="00BB165A">
              <w:t xml:space="preserve">This is particularly pertinent for universities that undertook a top-down approach using relatively large business units (e.g. a small number of faculties, compared to a larger number of schools). </w:t>
            </w:r>
          </w:p>
          <w:p w14:paraId="4FFEE98E" w14:textId="51F115D1" w:rsidR="00EB779E" w:rsidRPr="00BB165A" w:rsidRDefault="00EB779E">
            <w:r w:rsidRPr="00BB165A">
              <w:t xml:space="preserve">As costs may be allocated using only an EFTSL driver this can lead to the same unit costs being applied to several different fields. However, in many instances, universities stated that these fields do indeed have very similar costs </w:t>
            </w:r>
            <w:r w:rsidR="00A13F87">
              <w:t>for the</w:t>
            </w:r>
            <w:r w:rsidRPr="00BB165A">
              <w:t xml:space="preserve"> delivery of teaching. </w:t>
            </w:r>
          </w:p>
        </w:tc>
      </w:tr>
      <w:tr w:rsidR="00EB779E" w:rsidRPr="00844A13" w14:paraId="1298B547" w14:textId="77777777" w:rsidTr="00B76EFD">
        <w:tc>
          <w:tcPr>
            <w:tcW w:w="2977" w:type="dxa"/>
          </w:tcPr>
          <w:p w14:paraId="5FE95163" w14:textId="77777777" w:rsidR="00EB779E" w:rsidRPr="00BB165A" w:rsidRDefault="00EB779E" w:rsidP="00B76EFD">
            <w:pPr>
              <w:ind w:right="135"/>
            </w:pPr>
            <w:r w:rsidRPr="00BB165A">
              <w:t xml:space="preserve">Differences in methodology across universities, including broad method and use of cost drivers. </w:t>
            </w:r>
          </w:p>
        </w:tc>
        <w:tc>
          <w:tcPr>
            <w:tcW w:w="5670" w:type="dxa"/>
          </w:tcPr>
          <w:p w14:paraId="14E43A2E" w14:textId="20CBFBE3" w:rsidR="00EB779E" w:rsidRPr="00BB165A" w:rsidRDefault="00EB779E">
            <w:r w:rsidRPr="00BB165A">
              <w:t>The level of sophistication and ability to identify appropriate cost drivers to allocate costs</w:t>
            </w:r>
            <w:r w:rsidR="00CD79F5" w:rsidRPr="00BB165A">
              <w:t xml:space="preserve"> has broadly improved </w:t>
            </w:r>
            <w:r w:rsidR="00A35EFA" w:rsidRPr="00BB165A">
              <w:t>year-on-year</w:t>
            </w:r>
            <w:r w:rsidR="00CD79F5" w:rsidRPr="00BB165A">
              <w:t xml:space="preserve"> across the sector. For some universities this has meant the implementation of activity-based costing models (for purposes not exclusively associated with this exercise) or </w:t>
            </w:r>
            <w:r w:rsidR="00E6479A" w:rsidRPr="00BB165A">
              <w:t>the engagement of</w:t>
            </w:r>
            <w:r w:rsidR="00CD79F5" w:rsidRPr="00BB165A">
              <w:t xml:space="preserve"> external contractors to assist in their submission.</w:t>
            </w:r>
            <w:r w:rsidRPr="00BB165A">
              <w:t xml:space="preserve"> </w:t>
            </w:r>
          </w:p>
        </w:tc>
      </w:tr>
      <w:tr w:rsidR="00EB779E" w:rsidRPr="00844A13" w14:paraId="6E6D127F" w14:textId="77777777" w:rsidTr="00B76EFD">
        <w:tc>
          <w:tcPr>
            <w:tcW w:w="2977" w:type="dxa"/>
          </w:tcPr>
          <w:p w14:paraId="076F31F9" w14:textId="68727B81" w:rsidR="00EB779E" w:rsidRPr="00BB165A" w:rsidRDefault="00EB779E" w:rsidP="00B76EFD">
            <w:pPr>
              <w:ind w:right="135"/>
            </w:pPr>
            <w:r w:rsidRPr="00BB165A">
              <w:t xml:space="preserve">Incorporation of quality. </w:t>
            </w:r>
          </w:p>
        </w:tc>
        <w:tc>
          <w:tcPr>
            <w:tcW w:w="5670" w:type="dxa"/>
          </w:tcPr>
          <w:p w14:paraId="4FDCD461" w14:textId="77777777" w:rsidR="00EB779E" w:rsidRPr="00BB165A" w:rsidRDefault="00EB779E" w:rsidP="00B76EFD">
            <w:r w:rsidRPr="00BB165A">
              <w:t>In measuring the cost of delivery of teaching and scholarship, this exercise only considers quantity of teaching as the unit to distribute costs. This exercise does not capture variations in quality (however defined), where higher quality may be correlated with higher costs.</w:t>
            </w:r>
          </w:p>
          <w:p w14:paraId="65CC6C8C" w14:textId="77777777" w:rsidR="00EB779E" w:rsidRPr="00BB165A" w:rsidRDefault="00EB779E" w:rsidP="00B76EFD">
            <w:r w:rsidRPr="00BB165A">
              <w:t xml:space="preserve">Relatedly, this exercise also does not make adjustments for differences in student cohort mix, specifically differences in average student needs and levels of disadvantage. Some universities are likely to systematically enrol more students with greater need for student supports, which will in turn result in higher costs. As a result, there is likely to be a degree of variation in costs across the sector due to contextual factors and differences in quality across the sector and across FOEs. </w:t>
            </w:r>
          </w:p>
        </w:tc>
      </w:tr>
      <w:tr w:rsidR="00EB779E" w:rsidRPr="00844A13" w14:paraId="4D70C4E1" w14:textId="77777777" w:rsidTr="00B76EFD">
        <w:tc>
          <w:tcPr>
            <w:tcW w:w="2977" w:type="dxa"/>
          </w:tcPr>
          <w:p w14:paraId="696B7198" w14:textId="77777777" w:rsidR="00EB779E" w:rsidRPr="00BB165A" w:rsidRDefault="00EB779E" w:rsidP="00B76EFD">
            <w:pPr>
              <w:ind w:right="135"/>
            </w:pPr>
            <w:r w:rsidRPr="00BB165A">
              <w:t>Difficulties in specifying and isolating certain cost items.</w:t>
            </w:r>
          </w:p>
        </w:tc>
        <w:tc>
          <w:tcPr>
            <w:tcW w:w="5670" w:type="dxa"/>
          </w:tcPr>
          <w:p w14:paraId="59F1BDF1" w14:textId="7E2627B9" w:rsidR="00EB779E" w:rsidRPr="00BB165A" w:rsidRDefault="00EB779E" w:rsidP="00B76EFD">
            <w:r w:rsidRPr="00BB165A">
              <w:t xml:space="preserve">Differences in internal processes and systems across universities meant that some universities were unable to identify specific costs that align with the line items specified as part of the costing template. </w:t>
            </w:r>
          </w:p>
          <w:p w14:paraId="2A10ABB5" w14:textId="77777777" w:rsidR="00EB779E" w:rsidRPr="00BB165A" w:rsidRDefault="00EB779E" w:rsidP="00B76EFD">
            <w:r w:rsidRPr="00BB165A">
              <w:t xml:space="preserve">The implication of this is that the examination of some specific line items may not be accurate in instances where a university was unable to separate costs appropriately (and where costs were instead included elsewhere in the template). </w:t>
            </w:r>
            <w:r w:rsidR="00E6479A" w:rsidRPr="00BB165A">
              <w:t>An example of this was placement costs which many universities capture as part of staff costs in their internal cost allocation models.</w:t>
            </w:r>
          </w:p>
          <w:p w14:paraId="5C97FA78" w14:textId="77777777" w:rsidR="00EB779E" w:rsidRPr="00BB165A" w:rsidRDefault="00EB779E" w:rsidP="00B76EFD">
            <w:r w:rsidRPr="00BB165A">
              <w:t xml:space="preserve">While this does not impact the overall unit cost calculation, it does caveat any comparison of specific costs, e.g. when comparing specific line items of non-staff costs. For this reason, analysis of these items has not been a significant focus of this report. </w:t>
            </w:r>
          </w:p>
        </w:tc>
      </w:tr>
      <w:tr w:rsidR="001D3368" w:rsidRPr="008B3BBC" w14:paraId="20D3589B" w14:textId="77777777" w:rsidTr="00B76EFD">
        <w:tc>
          <w:tcPr>
            <w:tcW w:w="2977" w:type="dxa"/>
          </w:tcPr>
          <w:p w14:paraId="7A3DCC2B" w14:textId="77777777" w:rsidR="001D3368" w:rsidRPr="00BB165A" w:rsidRDefault="001D3368" w:rsidP="00B76EFD">
            <w:pPr>
              <w:ind w:right="135"/>
            </w:pPr>
            <w:r w:rsidRPr="00BB165A">
              <w:t>Costs will reflect the current funding arrangements.</w:t>
            </w:r>
          </w:p>
        </w:tc>
        <w:tc>
          <w:tcPr>
            <w:tcW w:w="5670" w:type="dxa"/>
          </w:tcPr>
          <w:p w14:paraId="2FCE850F" w14:textId="77777777" w:rsidR="001D3368" w:rsidRPr="009D6AE4" w:rsidRDefault="001D3368" w:rsidP="00B76EFD">
            <w:r w:rsidRPr="00BB165A">
              <w:t>Costs for a given FOE are likely to be partly driven by current funding arrangements</w:t>
            </w:r>
            <w:r w:rsidR="00E6479A" w:rsidRPr="00BB165A">
              <w:t>,</w:t>
            </w:r>
            <w:r w:rsidRPr="00BB165A">
              <w:t xml:space="preserve"> which may to some degree affect internal resource allocations within a university. That is, costs for a given FOE may in part be driven by current funding allocations to that FOE and may differ from those that would occur under different funding arrangements</w:t>
            </w:r>
            <w:r w:rsidR="00E6479A" w:rsidRPr="00BB165A">
              <w:t xml:space="preserve"> from those currently in place.</w:t>
            </w:r>
          </w:p>
        </w:tc>
      </w:tr>
    </w:tbl>
    <w:p w14:paraId="66FB0913" w14:textId="77777777" w:rsidR="00EB779E" w:rsidRPr="00BB165A" w:rsidRDefault="00EB779E" w:rsidP="00EB779E">
      <w:pPr>
        <w:pStyle w:val="Heading2"/>
      </w:pPr>
      <w:bookmarkStart w:id="719" w:name="_Ref532206251"/>
      <w:bookmarkStart w:id="720" w:name="_Toc532245511"/>
      <w:bookmarkStart w:id="721" w:name="_Toc20246016"/>
      <w:bookmarkStart w:id="722" w:name="_Toc105776199"/>
      <w:r w:rsidRPr="00BB165A">
        <w:t>Reflections on splitting teaching and research</w:t>
      </w:r>
      <w:bookmarkEnd w:id="719"/>
      <w:bookmarkEnd w:id="720"/>
      <w:bookmarkEnd w:id="721"/>
      <w:bookmarkEnd w:id="722"/>
      <w:r w:rsidRPr="00BB165A">
        <w:t xml:space="preserve"> </w:t>
      </w:r>
    </w:p>
    <w:p w14:paraId="479804C7" w14:textId="731A1316" w:rsidR="00056DC4" w:rsidRPr="00BB165A" w:rsidRDefault="00EB779E" w:rsidP="00EB779E">
      <w:pPr>
        <w:pStyle w:val="BodyText"/>
      </w:pPr>
      <w:r w:rsidRPr="00BB165A">
        <w:t>The split of staff time between teaching and research activities</w:t>
      </w:r>
      <w:r w:rsidRPr="00BB165A">
        <w:rPr>
          <w:rStyle w:val="FootnoteReference"/>
        </w:rPr>
        <w:footnoteReference w:id="25"/>
      </w:r>
      <w:r w:rsidRPr="00BB165A">
        <w:t xml:space="preserve"> </w:t>
      </w:r>
      <w:r w:rsidR="000057A0" w:rsidRPr="00BB165A">
        <w:t>remains an</w:t>
      </w:r>
      <w:r w:rsidRPr="00BB165A">
        <w:t xml:space="preserve"> area where there was large variation in approaches across universities.</w:t>
      </w:r>
      <w:r w:rsidR="00F87B2F" w:rsidRPr="00BB165A">
        <w:t xml:space="preserve"> </w:t>
      </w:r>
      <w:r w:rsidR="00056DC4" w:rsidRPr="00BB165A">
        <w:t xml:space="preserve">Given the significant share of total teaching and scholarship costs </w:t>
      </w:r>
      <w:r w:rsidR="005D4F42">
        <w:t xml:space="preserve">that </w:t>
      </w:r>
      <w:r w:rsidR="00056DC4" w:rsidRPr="00BB165A">
        <w:t xml:space="preserve">is allocated to staff </w:t>
      </w:r>
      <w:r w:rsidR="0092489A">
        <w:t>–</w:t>
      </w:r>
      <w:r w:rsidR="00056DC4" w:rsidRPr="00BB165A">
        <w:t xml:space="preserve"> </w:t>
      </w:r>
      <w:r w:rsidR="0092489A">
        <w:t xml:space="preserve">59% </w:t>
      </w:r>
      <w:r w:rsidR="00AB5655">
        <w:t xml:space="preserve">in </w:t>
      </w:r>
      <w:r w:rsidR="00505EAA" w:rsidRPr="00BB165A">
        <w:t xml:space="preserve">2019 and </w:t>
      </w:r>
      <w:r w:rsidR="0092489A">
        <w:t>62%</w:t>
      </w:r>
      <w:r w:rsidR="00AB5655">
        <w:t xml:space="preserve"> in</w:t>
      </w:r>
      <w:r w:rsidR="0092489A">
        <w:t xml:space="preserve"> </w:t>
      </w:r>
      <w:r w:rsidR="00505EAA" w:rsidRPr="00BB165A">
        <w:t>2020</w:t>
      </w:r>
      <w:r w:rsidR="00056DC4" w:rsidRPr="00BB165A">
        <w:t xml:space="preserve"> – the precision of measuring staff time has arguably the most material influence on the measurement of </w:t>
      </w:r>
      <w:r w:rsidR="00E6479A" w:rsidRPr="00BB165A">
        <w:t xml:space="preserve">the </w:t>
      </w:r>
      <w:r w:rsidR="00056DC4" w:rsidRPr="00BB165A">
        <w:t>economic cost of teaching and scholarship.</w:t>
      </w:r>
    </w:p>
    <w:p w14:paraId="02AA5457" w14:textId="0AF6E9C2" w:rsidR="00652320" w:rsidRPr="00BB165A" w:rsidRDefault="003B5FE7" w:rsidP="00EB779E">
      <w:pPr>
        <w:pStyle w:val="BodyText"/>
      </w:pPr>
      <w:r w:rsidRPr="00BB165A">
        <w:t>The majority of universities (</w:t>
      </w:r>
      <w:r w:rsidR="00CB4B7A" w:rsidRPr="00BB165A">
        <w:t>21</w:t>
      </w:r>
      <w:r w:rsidRPr="00BB165A">
        <w:t xml:space="preserve"> of 3</w:t>
      </w:r>
      <w:r w:rsidR="00712B23" w:rsidRPr="00BB165A">
        <w:t>7</w:t>
      </w:r>
      <w:r w:rsidRPr="00BB165A">
        <w:t>) used workload allocation models, which varied in their sophistication in splitting teaching and scholarship time from research and other activities.</w:t>
      </w:r>
      <w:r w:rsidR="0009241F" w:rsidRPr="00BB165A">
        <w:t xml:space="preserve"> In other </w:t>
      </w:r>
      <w:r w:rsidR="00B93165" w:rsidRPr="00BB165A">
        <w:t>cases,</w:t>
      </w:r>
      <w:r w:rsidR="0009241F" w:rsidRPr="00BB165A">
        <w:t xml:space="preserve"> universities used </w:t>
      </w:r>
      <w:r w:rsidR="00C21E11" w:rsidRPr="00BB165A">
        <w:t>Enterprise Bargaining Agreements (</w:t>
      </w:r>
      <w:r w:rsidR="0009241F" w:rsidRPr="00BB165A">
        <w:t>EBAs</w:t>
      </w:r>
      <w:r w:rsidR="00C21E11" w:rsidRPr="00BB165A">
        <w:t>)</w:t>
      </w:r>
      <w:r w:rsidR="0009241F" w:rsidRPr="00BB165A">
        <w:t xml:space="preserve">, timetables or </w:t>
      </w:r>
      <w:r w:rsidR="00B93165" w:rsidRPr="00BB165A">
        <w:t xml:space="preserve">staff timesheets to record staff time and the split between teaching and research. </w:t>
      </w:r>
    </w:p>
    <w:p w14:paraId="2DFC2F32" w14:textId="0575D874" w:rsidR="00EB779E" w:rsidRPr="00BB165A" w:rsidRDefault="00C21E11" w:rsidP="00EB779E">
      <w:pPr>
        <w:pStyle w:val="BodyText"/>
      </w:pPr>
      <w:r w:rsidRPr="00BB165A">
        <w:t>Where universities used EBAs</w:t>
      </w:r>
      <w:r w:rsidR="002932BC" w:rsidRPr="00BB165A">
        <w:t xml:space="preserve"> these </w:t>
      </w:r>
      <w:r w:rsidR="009D35B2" w:rsidRPr="00BB165A">
        <w:t>tended to specify a division of time which may vary in accuracy across staff levels and disciplines</w:t>
      </w:r>
      <w:r w:rsidR="00AC7ECB" w:rsidRPr="00BB165A">
        <w:t xml:space="preserve"> while in other</w:t>
      </w:r>
      <w:r w:rsidR="00EB779E" w:rsidRPr="00BB165A">
        <w:t xml:space="preserve"> cases, </w:t>
      </w:r>
      <w:r w:rsidR="00E6479A" w:rsidRPr="00BB165A">
        <w:t>allocation of staff time</w:t>
      </w:r>
      <w:r w:rsidR="00EB779E" w:rsidRPr="00BB165A">
        <w:t xml:space="preserve"> was based on estimates at the whole-of-faculty level. </w:t>
      </w:r>
      <w:r w:rsidR="00982D23" w:rsidRPr="00BB165A">
        <w:t>Several</w:t>
      </w:r>
      <w:r w:rsidR="00EB779E" w:rsidRPr="00BB165A">
        <w:t xml:space="preserve"> universities indicated that the split of staff time was largely based on </w:t>
      </w:r>
      <w:r w:rsidR="0041408C" w:rsidRPr="00BB165A">
        <w:t>EBAs</w:t>
      </w:r>
      <w:r w:rsidR="00E6479A" w:rsidRPr="00BB165A">
        <w:t xml:space="preserve"> or notional allocation of staff time captured in human resources systems</w:t>
      </w:r>
      <w:r w:rsidR="00EB779E" w:rsidRPr="00BB165A">
        <w:t>.</w:t>
      </w:r>
      <w:r w:rsidR="0041408C" w:rsidRPr="00BB165A">
        <w:t xml:space="preserve"> It was highlighted through consultations that these time splits based on EBAs are often out of date and unlikely to reflect the true distribution of time across activities. </w:t>
      </w:r>
    </w:p>
    <w:p w14:paraId="3EAB5008" w14:textId="79394DD4" w:rsidR="00EB779E" w:rsidRPr="00AA13A8" w:rsidRDefault="003B5FE7" w:rsidP="00EB779E">
      <w:pPr>
        <w:pStyle w:val="BodyText"/>
      </w:pPr>
      <w:r w:rsidRPr="00BB165A">
        <w:t>De</w:t>
      </w:r>
      <w:r w:rsidR="00AA13A8" w:rsidRPr="00BB165A">
        <w:t xml:space="preserve">spite a range of methodologies, university membership nevertheless provides evidence that </w:t>
      </w:r>
      <w:r w:rsidR="009F77E1" w:rsidRPr="00BB165A">
        <w:t>teaching</w:t>
      </w:r>
      <w:r w:rsidR="00AA13A8" w:rsidRPr="00BB165A">
        <w:t xml:space="preserve"> and research </w:t>
      </w:r>
      <w:r w:rsidR="009F77E1" w:rsidRPr="00BB165A">
        <w:t xml:space="preserve">staff </w:t>
      </w:r>
      <w:r w:rsidR="00AA13A8" w:rsidRPr="00BB165A">
        <w:t xml:space="preserve">time is being split in a way that is in line with expectations (see </w:t>
      </w:r>
      <w:r w:rsidR="002D3041" w:rsidRPr="00BB165A">
        <w:fldChar w:fldCharType="begin"/>
      </w:r>
      <w:r w:rsidR="002D3041" w:rsidRPr="00BB165A">
        <w:instrText xml:space="preserve"> REF _Ref534713378 \r \h </w:instrText>
      </w:r>
      <w:r w:rsidR="008B3BBC" w:rsidRPr="00BB165A">
        <w:instrText xml:space="preserve"> \* MERGEFORMAT </w:instrText>
      </w:r>
      <w:r w:rsidR="002D3041" w:rsidRPr="00BB165A">
        <w:fldChar w:fldCharType="separate"/>
      </w:r>
      <w:r w:rsidR="00E83FB1">
        <w:t>Chart 2.3</w:t>
      </w:r>
      <w:r w:rsidR="002D3041" w:rsidRPr="00BB165A">
        <w:fldChar w:fldCharType="end"/>
      </w:r>
      <w:r w:rsidR="00AA13A8" w:rsidRPr="00BB165A">
        <w:t>).</w:t>
      </w:r>
      <w:r w:rsidR="00EB779E" w:rsidRPr="00BB165A">
        <w:t xml:space="preserve"> </w:t>
      </w:r>
      <w:r w:rsidR="00FC44C2" w:rsidRPr="00BB165A">
        <w:t xml:space="preserve">Teaching costs as a share of </w:t>
      </w:r>
      <w:r w:rsidR="009152A2" w:rsidRPr="00BB165A">
        <w:t>total</w:t>
      </w:r>
      <w:r w:rsidR="00FC44C2" w:rsidRPr="00BB165A">
        <w:t xml:space="preserve"> </w:t>
      </w:r>
      <w:r w:rsidR="009152A2" w:rsidRPr="00BB165A">
        <w:t>costs</w:t>
      </w:r>
      <w:r w:rsidR="00EB779E" w:rsidRPr="00BB165A">
        <w:t xml:space="preserve"> is lower for the resea</w:t>
      </w:r>
      <w:r w:rsidR="00AA13A8" w:rsidRPr="00BB165A">
        <w:t>rch-</w:t>
      </w:r>
      <w:r w:rsidR="00EB779E" w:rsidRPr="00BB165A">
        <w:t>intensive Group of Eight universities, and higher for regional universities who are typically less research intensive.</w:t>
      </w:r>
      <w:r w:rsidR="00EB779E" w:rsidRPr="00AA13A8">
        <w:t xml:space="preserve"> </w:t>
      </w:r>
    </w:p>
    <w:p w14:paraId="4D2A0598" w14:textId="101A3866" w:rsidR="00E06AF2" w:rsidRPr="006374EA" w:rsidRDefault="00E06AF2" w:rsidP="00E06AF2">
      <w:pPr>
        <w:pStyle w:val="Heading2"/>
      </w:pPr>
      <w:bookmarkStart w:id="723" w:name="_Toc525908607"/>
      <w:bookmarkStart w:id="724" w:name="_Toc532245512"/>
      <w:bookmarkStart w:id="725" w:name="_Toc20246017"/>
      <w:bookmarkStart w:id="726" w:name="_Ref102576846"/>
      <w:bookmarkStart w:id="727" w:name="_Ref103332734"/>
      <w:bookmarkStart w:id="728" w:name="_Toc105776200"/>
      <w:bookmarkStart w:id="729" w:name="_Ref102580574"/>
      <w:bookmarkStart w:id="730" w:name="_Ref529202326"/>
      <w:bookmarkEnd w:id="723"/>
      <w:r w:rsidRPr="006374EA">
        <w:t>Treatment and accounting for capital costs</w:t>
      </w:r>
      <w:bookmarkEnd w:id="724"/>
      <w:bookmarkEnd w:id="725"/>
      <w:bookmarkEnd w:id="726"/>
      <w:bookmarkEnd w:id="727"/>
      <w:bookmarkEnd w:id="728"/>
      <w:r w:rsidRPr="006374EA">
        <w:t xml:space="preserve"> </w:t>
      </w:r>
      <w:bookmarkEnd w:id="729"/>
    </w:p>
    <w:p w14:paraId="60256505" w14:textId="30264731" w:rsidR="00E06AF2" w:rsidRPr="000E7B7D" w:rsidRDefault="00E06AF2" w:rsidP="00E06AF2">
      <w:r w:rsidRPr="000E7B7D">
        <w:t xml:space="preserve">The capital costs involved in providing university buildings, infrastructure, plant and equipment is a significant component of the sector’s costs. The cost of capital can also vary considerably from year to year, depending on whether </w:t>
      </w:r>
      <w:r w:rsidR="0051242E" w:rsidRPr="000E7B7D">
        <w:t xml:space="preserve">or not </w:t>
      </w:r>
      <w:r w:rsidRPr="000E7B7D">
        <w:t xml:space="preserve">a university is currently undertaking a capital expansion program. </w:t>
      </w:r>
    </w:p>
    <w:p w14:paraId="15A151A0" w14:textId="43537ECC" w:rsidR="00E06AF2" w:rsidRPr="000E7B7D" w:rsidRDefault="00E06AF2" w:rsidP="00E06AF2">
      <w:r w:rsidRPr="000E7B7D">
        <w:t xml:space="preserve">The approach to capturing capital costs related to teaching and scholarship is an issue that has been raised by universities on a number of occasions, both through the Universities Australia reference group and through individual consultations and </w:t>
      </w:r>
      <w:r w:rsidR="002D4D1A" w:rsidRPr="000E7B7D">
        <w:t>Supporting Statement</w:t>
      </w:r>
      <w:r w:rsidRPr="000E7B7D">
        <w:t xml:space="preserve">s. </w:t>
      </w:r>
    </w:p>
    <w:p w14:paraId="68C534AC" w14:textId="77777777" w:rsidR="00E06AF2" w:rsidRPr="000E7B7D" w:rsidRDefault="00E06AF2" w:rsidP="00E06AF2">
      <w:r w:rsidRPr="000E7B7D">
        <w:t xml:space="preserve">Reflecting these concerns, the approach used to capture capital costs has been refined iteratively in each year of the Transparency in Higher Education Expenditure exercise. The approach used in the 2016 study to capture capital costs was to include the costs of depreciation, amortisation, repairs and maintenance, borrowing costs and bad debts associated with teaching and scholarship. This </w:t>
      </w:r>
      <w:r w:rsidR="00D13D15" w:rsidRPr="000E7B7D">
        <w:t xml:space="preserve">focus on depreciation </w:t>
      </w:r>
      <w:r w:rsidRPr="000E7B7D">
        <w:t xml:space="preserve">represents the standard accounting-based approach to capturing capital costs. </w:t>
      </w:r>
    </w:p>
    <w:p w14:paraId="7082AA9C" w14:textId="77777777" w:rsidR="00E06AF2" w:rsidRPr="000E7B7D" w:rsidRDefault="00E06AF2" w:rsidP="00E06AF2">
      <w:r w:rsidRPr="000E7B7D">
        <w:t>Some universities raised concerns about this approach. These concerns can be broadly categorised into two types of concerns:</w:t>
      </w:r>
    </w:p>
    <w:p w14:paraId="5FD813BD" w14:textId="77777777" w:rsidR="00E06AF2" w:rsidRPr="000E7B7D" w:rsidRDefault="00E06AF2" w:rsidP="007B09DB">
      <w:pPr>
        <w:pStyle w:val="ListParagraph"/>
        <w:numPr>
          <w:ilvl w:val="0"/>
          <w:numId w:val="24"/>
        </w:numPr>
      </w:pPr>
      <w:r w:rsidRPr="000E7B7D">
        <w:t>That the application of accounting standards or treatments are such that report</w:t>
      </w:r>
      <w:r w:rsidR="00D13D15" w:rsidRPr="000E7B7D">
        <w:t>ed</w:t>
      </w:r>
      <w:r w:rsidRPr="000E7B7D">
        <w:t xml:space="preserve"> levels of depreciation are not reflecti</w:t>
      </w:r>
      <w:r w:rsidR="00D13D15" w:rsidRPr="000E7B7D">
        <w:t>ve</w:t>
      </w:r>
      <w:r w:rsidRPr="000E7B7D">
        <w:t xml:space="preserve"> of the economic cost of replacing the capital stock. This could be due to a range of reasons such as: </w:t>
      </w:r>
    </w:p>
    <w:p w14:paraId="7F7A173E" w14:textId="77777777" w:rsidR="00E06AF2" w:rsidRPr="000E7B7D" w:rsidRDefault="00E06AF2" w:rsidP="007B09DB">
      <w:pPr>
        <w:pStyle w:val="ListParagraph"/>
        <w:numPr>
          <w:ilvl w:val="1"/>
          <w:numId w:val="24"/>
        </w:numPr>
      </w:pPr>
      <w:r w:rsidRPr="000E7B7D">
        <w:t xml:space="preserve">Use of fully depreciated assets e.g. </w:t>
      </w:r>
      <w:r w:rsidR="00D13D15" w:rsidRPr="000E7B7D">
        <w:t xml:space="preserve">older </w:t>
      </w:r>
      <w:r w:rsidRPr="000E7B7D">
        <w:t>buildings</w:t>
      </w:r>
      <w:r w:rsidR="00D13D15" w:rsidRPr="000E7B7D">
        <w:t xml:space="preserve"> </w:t>
      </w:r>
    </w:p>
    <w:p w14:paraId="09DAA0B6" w14:textId="77777777" w:rsidR="00E06AF2" w:rsidRPr="000E7B7D" w:rsidRDefault="00E06AF2" w:rsidP="007B09DB">
      <w:pPr>
        <w:pStyle w:val="ListParagraph"/>
        <w:numPr>
          <w:ilvl w:val="1"/>
          <w:numId w:val="24"/>
        </w:numPr>
      </w:pPr>
      <w:r w:rsidRPr="000E7B7D">
        <w:t>Calculating depreciation based on historical costs rather than regularly undertaking asset revaluations</w:t>
      </w:r>
    </w:p>
    <w:p w14:paraId="23540AE9" w14:textId="05BF4C7D" w:rsidR="00E06AF2" w:rsidRPr="000E7B7D" w:rsidRDefault="00E06AF2" w:rsidP="007B09DB">
      <w:pPr>
        <w:pStyle w:val="ListParagraph"/>
        <w:numPr>
          <w:ilvl w:val="1"/>
          <w:numId w:val="24"/>
        </w:numPr>
      </w:pPr>
      <w:r w:rsidRPr="000E7B7D">
        <w:t xml:space="preserve">Assumptions around the useful life of specific assets </w:t>
      </w:r>
      <w:r w:rsidR="005A44FF" w:rsidRPr="000E7B7D">
        <w:t xml:space="preserve">that are </w:t>
      </w:r>
      <w:r w:rsidRPr="000E7B7D">
        <w:t xml:space="preserve">not </w:t>
      </w:r>
      <w:r w:rsidR="00D13D15" w:rsidRPr="000E7B7D">
        <w:t xml:space="preserve">reflective </w:t>
      </w:r>
      <w:r w:rsidR="00A45139" w:rsidRPr="000E7B7D">
        <w:t>of</w:t>
      </w:r>
      <w:r w:rsidRPr="000E7B7D">
        <w:t xml:space="preserve"> actual useful lives</w:t>
      </w:r>
    </w:p>
    <w:p w14:paraId="6A33473C" w14:textId="77777777" w:rsidR="00E06AF2" w:rsidRPr="000E7B7D" w:rsidRDefault="00E06AF2" w:rsidP="007B09DB">
      <w:pPr>
        <w:pStyle w:val="ListParagraph"/>
        <w:numPr>
          <w:ilvl w:val="0"/>
          <w:numId w:val="24"/>
        </w:numPr>
      </w:pPr>
      <w:r w:rsidRPr="000E7B7D">
        <w:t>Th</w:t>
      </w:r>
      <w:r w:rsidR="00D13D15" w:rsidRPr="000E7B7D">
        <w:t>at</w:t>
      </w:r>
      <w:r w:rsidRPr="000E7B7D">
        <w:t xml:space="preserve"> current reported levels of depreciation (even if appropriate) do not cover the costs of replacing assets in the future due to functional obsolescence and changes in technology. In other words, even if depreciation is sufficient to replace current assets it will not cover the costs of replacing those assets with assets that reflect modern pedagogical practices.</w:t>
      </w:r>
      <w:r w:rsidR="00D13D15" w:rsidRPr="000E7B7D">
        <w:t xml:space="preserve"> </w:t>
      </w:r>
      <w:r w:rsidRPr="000E7B7D">
        <w:t xml:space="preserve">Related to this is the concept of maintaining a sufficient margin for sustainable investment to allow universities the flexibility to invest in strategically planned investments. </w:t>
      </w:r>
    </w:p>
    <w:p w14:paraId="4C40CAA6" w14:textId="77777777" w:rsidR="00E06AF2" w:rsidRPr="000E7B7D" w:rsidRDefault="00E06AF2" w:rsidP="00E06AF2">
      <w:pPr>
        <w:rPr>
          <w:sz w:val="17"/>
          <w:szCs w:val="17"/>
        </w:rPr>
      </w:pPr>
      <w:r w:rsidRPr="000E7B7D">
        <w:t xml:space="preserve">These issues were discussed in a 2007 OECD working paper entitled </w:t>
      </w:r>
      <w:r w:rsidRPr="000E7B7D">
        <w:rPr>
          <w:i/>
        </w:rPr>
        <w:t>On the Edge: Securing a Sustainable Future for Higher Education</w:t>
      </w:r>
      <w:r w:rsidRPr="000E7B7D">
        <w:t>. The report focuses on the concept of a</w:t>
      </w:r>
      <w:r w:rsidRPr="000E7B7D">
        <w:rPr>
          <w:sz w:val="17"/>
          <w:szCs w:val="17"/>
        </w:rPr>
        <w:t xml:space="preserve"> “</w:t>
      </w:r>
      <w:r w:rsidRPr="000E7B7D">
        <w:t>Full Economic Cost”,</w:t>
      </w:r>
      <w:r w:rsidRPr="000E7B7D">
        <w:rPr>
          <w:sz w:val="17"/>
          <w:szCs w:val="17"/>
        </w:rPr>
        <w:t xml:space="preserve"> </w:t>
      </w:r>
      <w:r w:rsidRPr="000E7B7D">
        <w:t>which encompasses:</w:t>
      </w:r>
      <w:r w:rsidRPr="000E7B7D">
        <w:rPr>
          <w:sz w:val="17"/>
          <w:szCs w:val="17"/>
        </w:rPr>
        <w:t xml:space="preserve"> </w:t>
      </w:r>
    </w:p>
    <w:p w14:paraId="6CAB13D3" w14:textId="77777777" w:rsidR="00E06AF2" w:rsidRPr="000E7B7D" w:rsidRDefault="00E06AF2" w:rsidP="00046245">
      <w:pPr>
        <w:pStyle w:val="ListBullet"/>
      </w:pPr>
      <w:r w:rsidRPr="000E7B7D">
        <w:t xml:space="preserve">consumption of assets (depreciation) </w:t>
      </w:r>
    </w:p>
    <w:p w14:paraId="7A247777" w14:textId="77777777" w:rsidR="00E06AF2" w:rsidRPr="000E7B7D" w:rsidRDefault="00E06AF2" w:rsidP="00046245">
      <w:pPr>
        <w:pStyle w:val="ListBullet"/>
      </w:pPr>
      <w:r w:rsidRPr="000E7B7D">
        <w:t xml:space="preserve">renewing assets </w:t>
      </w:r>
    </w:p>
    <w:p w14:paraId="64080D22" w14:textId="77777777" w:rsidR="00E06AF2" w:rsidRPr="000E7B7D" w:rsidRDefault="00E06AF2" w:rsidP="00046245">
      <w:pPr>
        <w:pStyle w:val="ListBullet"/>
      </w:pPr>
      <w:r w:rsidRPr="000E7B7D">
        <w:t xml:space="preserve">financing (costs of capital) </w:t>
      </w:r>
    </w:p>
    <w:p w14:paraId="23ECC9C3" w14:textId="77777777" w:rsidR="00E06AF2" w:rsidRPr="000E7B7D" w:rsidRDefault="00E06AF2" w:rsidP="00046245">
      <w:pPr>
        <w:pStyle w:val="ListBullet"/>
      </w:pPr>
      <w:r w:rsidRPr="000E7B7D">
        <w:t xml:space="preserve">risk. </w:t>
      </w:r>
    </w:p>
    <w:p w14:paraId="4E0513B5" w14:textId="77777777" w:rsidR="00E06AF2" w:rsidRPr="000E7B7D" w:rsidRDefault="00E06AF2" w:rsidP="00E06AF2">
      <w:r w:rsidRPr="000E7B7D">
        <w:t xml:space="preserve">The report suggests that in order to be sustainable, universities must generate appropriate operating surpluses such that the full economic cost is recovered. The OECD report also argues that it is appropriate for universities to plan for an ongoing operating surplus, which it notes would normally be 3-4% of income to finance strategically planned investment, rather than the replacement of existing buildings: </w:t>
      </w:r>
    </w:p>
    <w:p w14:paraId="33D1E6BD" w14:textId="77777777" w:rsidR="00E06AF2" w:rsidRPr="000E7B7D" w:rsidRDefault="00E06AF2" w:rsidP="00E06AF2">
      <w:pPr>
        <w:pStyle w:val="Default"/>
        <w:rPr>
          <w:i/>
          <w:sz w:val="16"/>
          <w:szCs w:val="17"/>
        </w:rPr>
      </w:pPr>
      <w:r w:rsidRPr="000E7B7D">
        <w:rPr>
          <w:i/>
          <w:sz w:val="16"/>
          <w:szCs w:val="17"/>
        </w:rPr>
        <w:t xml:space="preserve">“In any event, future investment needs should be determined by institutional strategic plans, not simply renewing historic infrastructure, some of which may be no longer required...” </w:t>
      </w:r>
    </w:p>
    <w:p w14:paraId="168DAE4A" w14:textId="77777777" w:rsidR="00E06AF2" w:rsidRPr="000E7B7D" w:rsidRDefault="00E06AF2" w:rsidP="00E06AF2">
      <w:pPr>
        <w:pStyle w:val="Default"/>
        <w:rPr>
          <w:sz w:val="17"/>
          <w:szCs w:val="17"/>
        </w:rPr>
      </w:pPr>
    </w:p>
    <w:p w14:paraId="54640740" w14:textId="77777777" w:rsidR="00E06AF2" w:rsidRPr="000E7B7D" w:rsidRDefault="00E06AF2" w:rsidP="00E06AF2">
      <w:r w:rsidRPr="000E7B7D">
        <w:t xml:space="preserve">The OECD report cites the UK example of the Transparent Approach to Costing (TRAC) methodology. TRAC was first implemented in the UK in 2000, following a national survey of university infrastructure. Since its introduction, the method to determine the cost of capital, and appropriate surplus, has developed over time. The current iteration of TRAC-UK includes a Margin for Sustainability and Investment (MSI). Importantly, this is institution-specific, rather than a sector-wide benchmark, as discussed in the TRAC guidance for 2016-17 returns: </w:t>
      </w:r>
    </w:p>
    <w:p w14:paraId="1C770F33" w14:textId="77777777" w:rsidR="00E06AF2" w:rsidRPr="000E7B7D" w:rsidRDefault="00E06AF2" w:rsidP="00E06AF2">
      <w:r w:rsidRPr="000E7B7D">
        <w:rPr>
          <w:i/>
          <w:sz w:val="16"/>
        </w:rPr>
        <w:t xml:space="preserve">“The MSI provides an institution-specific margin that is based on an average of past financial performance and forecast performance. This will reflect each institution’s own financial strategy and is based on an agreed definition of the ‘Earnings Before Interest, Taxation, Depreciation and Amortisation’ (EBITDA).” </w:t>
      </w:r>
    </w:p>
    <w:p w14:paraId="1E8ECF0D" w14:textId="77777777" w:rsidR="00E06AF2" w:rsidRPr="000E7B7D" w:rsidRDefault="00E06AF2" w:rsidP="00E06AF2">
      <w:r w:rsidRPr="000E7B7D">
        <w:t xml:space="preserve">While relevant to a discussion of university finances more broadly, the adoption of an equivalent to the MSI in the Australian context should be the result of a specific and deliberate policy discussion that is outside the parameters of the current project. From the UK experience, establishing a process for an appropriate margin would require a significant amount of preparatory work, to understand current asset stocks and building maintenance backlogs, for example. In particular, the precise </w:t>
      </w:r>
      <w:r w:rsidR="00D13D15" w:rsidRPr="000E7B7D">
        <w:t>MSI</w:t>
      </w:r>
      <w:r w:rsidRPr="000E7B7D">
        <w:t xml:space="preserve"> is likely to vary across the sector. </w:t>
      </w:r>
    </w:p>
    <w:p w14:paraId="67A9F00D" w14:textId="37F6F93E" w:rsidR="00E06AF2" w:rsidRPr="000E7B7D" w:rsidRDefault="00E06AF2" w:rsidP="00E06AF2">
      <w:r w:rsidRPr="000E7B7D">
        <w:t xml:space="preserve">To gather more insights on issues relating to </w:t>
      </w:r>
      <w:r w:rsidR="00D13D15" w:rsidRPr="000E7B7D">
        <w:t xml:space="preserve">the </w:t>
      </w:r>
      <w:r w:rsidRPr="000E7B7D">
        <w:t xml:space="preserve">capital costs </w:t>
      </w:r>
      <w:r w:rsidR="00D13D15" w:rsidRPr="000E7B7D">
        <w:t>associated with</w:t>
      </w:r>
      <w:r w:rsidRPr="000E7B7D">
        <w:t xml:space="preserve"> teaching and scholarship, </w:t>
      </w:r>
      <w:r w:rsidR="00A81DCE" w:rsidRPr="000E7B7D">
        <w:t xml:space="preserve">the </w:t>
      </w:r>
      <w:r w:rsidR="005C7688" w:rsidRPr="000E7B7D">
        <w:t>202</w:t>
      </w:r>
      <w:r w:rsidR="005F36D5" w:rsidRPr="000E7B7D">
        <w:t>2</w:t>
      </w:r>
      <w:r w:rsidRPr="000E7B7D">
        <w:t xml:space="preserve"> Transparency in Higher Education Expenditure exercise have included a range of questions both in the </w:t>
      </w:r>
      <w:r w:rsidR="002D4D1A" w:rsidRPr="000E7B7D">
        <w:t>Supporting Statement</w:t>
      </w:r>
      <w:r w:rsidRPr="000E7B7D">
        <w:t xml:space="preserve">s and in the </w:t>
      </w:r>
      <w:r w:rsidR="002D4D1A" w:rsidRPr="000E7B7D">
        <w:t>Consultation Guide</w:t>
      </w:r>
      <w:r w:rsidRPr="000E7B7D">
        <w:t xml:space="preserve"> to elicit universities’ views on</w:t>
      </w:r>
      <w:r w:rsidR="00935B0E" w:rsidRPr="000E7B7D">
        <w:t xml:space="preserve"> issues related to</w:t>
      </w:r>
      <w:r w:rsidRPr="000E7B7D">
        <w:t xml:space="preserve"> capital costs</w:t>
      </w:r>
      <w:r w:rsidR="003B7BB2" w:rsidRPr="000E7B7D">
        <w:t xml:space="preserve">. </w:t>
      </w:r>
    </w:p>
    <w:p w14:paraId="7D6B03C0" w14:textId="03585335" w:rsidR="00E06AF2" w:rsidRPr="000E7B7D" w:rsidRDefault="00E06AF2" w:rsidP="00E06AF2">
      <w:r w:rsidRPr="000E7B7D">
        <w:t xml:space="preserve">Moreover, following feedback from discussions with the Universities Australia Reference Group, in addition to capturing the costs of </w:t>
      </w:r>
      <w:r w:rsidR="00D13D15" w:rsidRPr="000E7B7D">
        <w:t xml:space="preserve">depreciation </w:t>
      </w:r>
      <w:r w:rsidRPr="000E7B7D">
        <w:t>and amortisation, repairs and maintenance, borrowing costs and bad debts associated with teaching and scholarship</w:t>
      </w:r>
      <w:r w:rsidR="00253709" w:rsidRPr="000E7B7D">
        <w:t>,</w:t>
      </w:r>
      <w:r w:rsidRPr="000E7B7D">
        <w:t xml:space="preserve"> an additional below the line allowing for an optional depreciation adjustment was included in the 2019 exercise. The purpose of this optional depreciation adjustment is </w:t>
      </w:r>
      <w:r w:rsidR="00935B0E" w:rsidRPr="000E7B7D">
        <w:t xml:space="preserve">set out </w:t>
      </w:r>
      <w:r w:rsidRPr="000E7B7D">
        <w:t xml:space="preserve">in the </w:t>
      </w:r>
      <w:r w:rsidR="007A2756" w:rsidRPr="000E7B7D">
        <w:t>Guidelines</w:t>
      </w:r>
      <w:r w:rsidRPr="000E7B7D">
        <w:t xml:space="preserve">:  </w:t>
      </w:r>
    </w:p>
    <w:p w14:paraId="0D7BE593" w14:textId="77777777" w:rsidR="00E06AF2" w:rsidRPr="000E7B7D" w:rsidRDefault="00D9579D" w:rsidP="00E06AF2">
      <w:pPr>
        <w:rPr>
          <w:i/>
          <w:sz w:val="16"/>
        </w:rPr>
      </w:pPr>
      <w:r w:rsidRPr="000E7B7D">
        <w:rPr>
          <w:i/>
          <w:sz w:val="16"/>
        </w:rPr>
        <w:t>“</w:t>
      </w:r>
      <w:r w:rsidR="00E06AF2" w:rsidRPr="000E7B7D">
        <w:rPr>
          <w:i/>
          <w:sz w:val="16"/>
        </w:rPr>
        <w:t>In cases where a university has fully depreciated assets that are still in use or where historical book value differs from the cost of replacing a building in its current condition, depreciation may not accurately reflect the full economic costs of using these buildings for teaching activities. This may also apply to assets other than buildings such as, plant and equipment assets … This is intended for universities who either have fully depreciated assets that are still in use or who do not conduct regular revaluations of their assets for the purpose of calculating depreciation.</w:t>
      </w:r>
      <w:r w:rsidRPr="000E7B7D">
        <w:rPr>
          <w:i/>
          <w:sz w:val="16"/>
        </w:rPr>
        <w:t>”</w:t>
      </w:r>
      <w:r w:rsidR="00E06AF2" w:rsidRPr="000E7B7D">
        <w:rPr>
          <w:i/>
          <w:sz w:val="16"/>
        </w:rPr>
        <w:t xml:space="preserve"> </w:t>
      </w:r>
    </w:p>
    <w:p w14:paraId="04546FE1" w14:textId="1BCBB567" w:rsidR="00E06AF2" w:rsidRPr="000E7B7D" w:rsidRDefault="00E06AF2" w:rsidP="000D3F61">
      <w:r w:rsidRPr="000E7B7D">
        <w:t xml:space="preserve">The inclusion of this below the line adjustment sought to address the first major concern around the potential for accounting standards or treatments to result in an underestimate of capital costs. It does not seek to address the second major concern of universities noted above, concerning the additional costs of replacing capital </w:t>
      </w:r>
      <w:r w:rsidR="00935B0E" w:rsidRPr="000E7B7D">
        <w:t>to meet</w:t>
      </w:r>
      <w:r w:rsidRPr="000E7B7D">
        <w:t xml:space="preserve"> modern teaching standards and practices. This was explored through the consultations </w:t>
      </w:r>
      <w:r w:rsidR="005E5EA9" w:rsidRPr="000E7B7D">
        <w:t xml:space="preserve">in the 2018 and 2019 exercise although did </w:t>
      </w:r>
      <w:r w:rsidR="005F36D5" w:rsidRPr="000E7B7D">
        <w:t xml:space="preserve">not feature as prominently in consultations for the 2022 exercise </w:t>
      </w:r>
      <w:r w:rsidR="009F1FD1" w:rsidRPr="000E7B7D">
        <w:t xml:space="preserve">given the focus on COVID-19. </w:t>
      </w:r>
    </w:p>
    <w:p w14:paraId="3654B3BA" w14:textId="77777777" w:rsidR="00E06AF2" w:rsidRPr="000E7B7D" w:rsidRDefault="00E06AF2" w:rsidP="00691B65">
      <w:pPr>
        <w:pStyle w:val="HeadingB"/>
      </w:pPr>
      <w:r w:rsidRPr="000E7B7D">
        <w:t>Reflections on the appropriateness of reported depreciation levels</w:t>
      </w:r>
    </w:p>
    <w:p w14:paraId="6A7FA7C1" w14:textId="0556DC59" w:rsidR="00E06AF2" w:rsidRPr="000E7B7D" w:rsidRDefault="00E06AF2" w:rsidP="00E06AF2">
      <w:r w:rsidRPr="000E7B7D">
        <w:t>To understand university perspectives on capital costs</w:t>
      </w:r>
      <w:r w:rsidR="00935B0E" w:rsidRPr="000E7B7D">
        <w:t>,</w:t>
      </w:r>
      <w:r w:rsidRPr="000E7B7D">
        <w:t xml:space="preserve"> Deloitte Access Economics analysed the responses of universities through the </w:t>
      </w:r>
      <w:r w:rsidR="002D4D1A" w:rsidRPr="000E7B7D">
        <w:t>Supporting Statement</w:t>
      </w:r>
      <w:r w:rsidRPr="000E7B7D">
        <w:t xml:space="preserve">s and consultations. In relation to whether reported levels of depreciation were a reasonable reflection of the true costs of depreciation: </w:t>
      </w:r>
    </w:p>
    <w:p w14:paraId="3E53985D" w14:textId="336FC7DE" w:rsidR="00E06AF2" w:rsidRPr="0070084E" w:rsidRDefault="00BF6372" w:rsidP="00046245">
      <w:pPr>
        <w:pStyle w:val="ListBullet"/>
      </w:pPr>
      <w:r w:rsidRPr="0070084E">
        <w:t xml:space="preserve">Around </w:t>
      </w:r>
      <w:r w:rsidR="00E7191D">
        <w:t>44</w:t>
      </w:r>
      <w:r w:rsidRPr="0070084E">
        <w:t>% of</w:t>
      </w:r>
      <w:r w:rsidR="00E06AF2" w:rsidRPr="0070084E">
        <w:t xml:space="preserve"> universities </w:t>
      </w:r>
      <w:r w:rsidR="009253CA">
        <w:t xml:space="preserve">who provided this information </w:t>
      </w:r>
      <w:r w:rsidR="00E06AF2" w:rsidRPr="0070084E">
        <w:t xml:space="preserve">indicated that their reported levels of depreciation were </w:t>
      </w:r>
      <w:r w:rsidR="009253CA">
        <w:t xml:space="preserve">an appropriate measure of capital costs for their university. </w:t>
      </w:r>
    </w:p>
    <w:p w14:paraId="28090E4A" w14:textId="3B836CB3" w:rsidR="00935B0E" w:rsidRPr="0070084E" w:rsidRDefault="00E06AF2" w:rsidP="00046245">
      <w:pPr>
        <w:pStyle w:val="ListBullet"/>
      </w:pPr>
      <w:r w:rsidRPr="0070084E">
        <w:t>Of those that did not believe it was a reasonable measure</w:t>
      </w:r>
      <w:r w:rsidR="009B1FEF" w:rsidRPr="0070084E">
        <w:t xml:space="preserve"> reasons included that </w:t>
      </w:r>
      <w:r w:rsidR="00DA171C">
        <w:t xml:space="preserve">either depreciation was underestimated </w:t>
      </w:r>
      <w:r w:rsidR="00BD2C0A">
        <w:t xml:space="preserve">or more commonly that it did not capture the true replacement cost of bringing facilities to a contemporary standard for teaching and learning. </w:t>
      </w:r>
    </w:p>
    <w:p w14:paraId="7E75F2F0" w14:textId="31C05690" w:rsidR="00935B0E" w:rsidRPr="0070084E" w:rsidRDefault="00E06AF2" w:rsidP="00046245">
      <w:pPr>
        <w:pStyle w:val="ListBullet"/>
      </w:pPr>
      <w:r w:rsidRPr="0070084E">
        <w:t xml:space="preserve">Relevantly, </w:t>
      </w:r>
      <w:r w:rsidR="00DB2DD9">
        <w:t>in 2019 twelve</w:t>
      </w:r>
      <w:r w:rsidRPr="0070084E">
        <w:t xml:space="preserve"> universities </w:t>
      </w:r>
      <w:r w:rsidR="00E612FD">
        <w:t>(and eleven in 2020)</w:t>
      </w:r>
      <w:r w:rsidRPr="0070084E">
        <w:t xml:space="preserve"> chose to adopt an optional depreciation adjustment to reflect either the presence of fully depreciated assets or that assets were not valued in line with fair value. </w:t>
      </w:r>
    </w:p>
    <w:p w14:paraId="0DF5DB06" w14:textId="6A4DDACE" w:rsidR="00935B0E" w:rsidRPr="0070084E" w:rsidRDefault="00E06AF2" w:rsidP="003B7BB2">
      <w:r w:rsidRPr="0070084E">
        <w:t xml:space="preserve">Overall, this suggests that there are a mixture of views on the appropriateness of recorded depreciation levels across the sector. </w:t>
      </w:r>
      <w:r w:rsidR="00526037" w:rsidRPr="0070084E">
        <w:t>T</w:t>
      </w:r>
      <w:r w:rsidRPr="0070084E">
        <w:t>here are a significant number who do not</w:t>
      </w:r>
      <w:r w:rsidR="009B2FD7" w:rsidRPr="0070084E">
        <w:t xml:space="preserve"> view depreciation as </w:t>
      </w:r>
      <w:r w:rsidR="0048762D" w:rsidRPr="0070084E">
        <w:t xml:space="preserve">consistent with long term </w:t>
      </w:r>
      <w:r w:rsidR="00391098" w:rsidRPr="0070084E">
        <w:t xml:space="preserve">sustainable </w:t>
      </w:r>
      <w:r w:rsidR="0048762D" w:rsidRPr="0070084E">
        <w:t>maintenance costs</w:t>
      </w:r>
      <w:r w:rsidR="009B2FD7" w:rsidRPr="0070084E">
        <w:t xml:space="preserve"> </w:t>
      </w:r>
      <w:r w:rsidRPr="0070084E">
        <w:t xml:space="preserve">- in many cases because assets that are fully depreciated continue to be in use or because assets are valued on a historical cost basis rather than a fair value basis. </w:t>
      </w:r>
    </w:p>
    <w:p w14:paraId="2BE03625" w14:textId="77777777" w:rsidR="00E06AF2" w:rsidRPr="0070084E" w:rsidRDefault="00E06AF2" w:rsidP="00E06AF2">
      <w:r w:rsidRPr="0070084E">
        <w:t xml:space="preserve">These findings point to the value of continuing to allow for an optional depreciation adjustment to help capture aspects of capital costs that are not captured in reported depreciation levels- reflecting in part differences in the asset profile and valuation practices across the sector. </w:t>
      </w:r>
    </w:p>
    <w:p w14:paraId="22EAB117" w14:textId="77777777" w:rsidR="00E06AF2" w:rsidRPr="002606EC" w:rsidRDefault="00E06AF2" w:rsidP="00691B65">
      <w:pPr>
        <w:pStyle w:val="HeadingB"/>
      </w:pPr>
      <w:r w:rsidRPr="002606EC">
        <w:t>Repairs and maintenance</w:t>
      </w:r>
    </w:p>
    <w:p w14:paraId="20987D79" w14:textId="198D9EF4" w:rsidR="00E06AF2" w:rsidRDefault="00E06AF2" w:rsidP="00E06AF2">
      <w:r w:rsidRPr="002606EC">
        <w:t xml:space="preserve">A large number of universities noted that they had a significant backlog of repairs and maintenance and had not invested sufficiently in repairs in maintenance in </w:t>
      </w:r>
      <w:r w:rsidR="0036259C">
        <w:t>2019 and 2020</w:t>
      </w:r>
      <w:r w:rsidRPr="002606EC">
        <w:t xml:space="preserve"> </w:t>
      </w:r>
      <w:r w:rsidR="004F7C4B" w:rsidRPr="002606EC">
        <w:t>partly in response to the adverse revenue impacts of COVID-19</w:t>
      </w:r>
      <w:r w:rsidRPr="002606EC">
        <w:t xml:space="preserve">. However, </w:t>
      </w:r>
      <w:r w:rsidR="006933CF" w:rsidRPr="002606EC">
        <w:t>some</w:t>
      </w:r>
      <w:r w:rsidRPr="002606EC">
        <w:t xml:space="preserve"> universities also acknowledged that underinvestment in repairs and maintenance was a strategic decision reflecting a willingness to spend on other strategic priorities or initiatives but with the risk that failing to invest in repairs and maintenance could result in highe</w:t>
      </w:r>
      <w:r w:rsidR="0078432F" w:rsidRPr="002606EC">
        <w:t>r rectification</w:t>
      </w:r>
      <w:r w:rsidR="004D5FBD" w:rsidRPr="002606EC">
        <w:t xml:space="preserve"> </w:t>
      </w:r>
      <w:r w:rsidRPr="002606EC">
        <w:t>costs in later years.</w:t>
      </w:r>
      <w:r>
        <w:t xml:space="preserve"> </w:t>
      </w:r>
    </w:p>
    <w:p w14:paraId="151254B0" w14:textId="474AEFB9" w:rsidR="00AB65CE" w:rsidRPr="00BB165A" w:rsidRDefault="00917831" w:rsidP="004F307D">
      <w:pPr>
        <w:pStyle w:val="Heading2"/>
      </w:pPr>
      <w:bookmarkStart w:id="731" w:name="_Toc20246018"/>
      <w:bookmarkStart w:id="732" w:name="_Ref102576866"/>
      <w:bookmarkStart w:id="733" w:name="_Toc105776201"/>
      <w:bookmarkEnd w:id="730"/>
      <w:r w:rsidRPr="00BB165A">
        <w:t>The ability to allocate costs to a unit of study level</w:t>
      </w:r>
      <w:bookmarkEnd w:id="731"/>
      <w:bookmarkEnd w:id="732"/>
      <w:bookmarkEnd w:id="733"/>
    </w:p>
    <w:p w14:paraId="7B47B395" w14:textId="4FFF1055" w:rsidR="00924B60" w:rsidRPr="00BB165A" w:rsidRDefault="000915FF" w:rsidP="004F307D">
      <w:r w:rsidRPr="00BB165A">
        <w:t>Universities vary in their models and methodologies used to determine costs</w:t>
      </w:r>
      <w:r w:rsidR="0061426C" w:rsidRPr="00BB165A">
        <w:t>. These largely depend</w:t>
      </w:r>
      <w:r w:rsidR="00917831" w:rsidRPr="00BB165A">
        <w:t xml:space="preserve"> on the </w:t>
      </w:r>
      <w:r w:rsidR="0061426C" w:rsidRPr="00BB165A">
        <w:t>internal</w:t>
      </w:r>
      <w:r w:rsidR="00917831" w:rsidRPr="00BB165A">
        <w:t xml:space="preserve"> costing methodologies </w:t>
      </w:r>
      <w:r w:rsidR="0078432F" w:rsidRPr="00BB165A">
        <w:t xml:space="preserve">used </w:t>
      </w:r>
      <w:r w:rsidR="0061426C" w:rsidRPr="00BB165A">
        <w:t xml:space="preserve">by each </w:t>
      </w:r>
      <w:r w:rsidR="00917831" w:rsidRPr="00BB165A">
        <w:t>university</w:t>
      </w:r>
      <w:r w:rsidR="00E80CC9" w:rsidRPr="00BB165A">
        <w:t xml:space="preserve">. Some universities have detailed </w:t>
      </w:r>
      <w:r w:rsidR="00007073" w:rsidRPr="00BB165A">
        <w:t>activity-based</w:t>
      </w:r>
      <w:r w:rsidR="00E80CC9" w:rsidRPr="00BB165A">
        <w:t xml:space="preserve"> costing (ABC) models available to estimate costs at a relatively granular level (often the unit of study) based on a range of drivers. The use of an ABC model is often referred to as a ‘bottom-up’ approach</w:t>
      </w:r>
      <w:r w:rsidR="00917831" w:rsidRPr="00BB165A">
        <w:t xml:space="preserve"> to the extent that costs at the unit level may be aggregated up to a </w:t>
      </w:r>
      <w:r w:rsidR="00B70C2F">
        <w:t>FOE</w:t>
      </w:r>
      <w:r w:rsidR="00917831" w:rsidRPr="00BB165A">
        <w:t xml:space="preserve"> level. However, even when using an ABC model</w:t>
      </w:r>
      <w:r w:rsidR="0078432F" w:rsidRPr="00BB165A">
        <w:t>s</w:t>
      </w:r>
      <w:r w:rsidR="00917831" w:rsidRPr="00BB165A">
        <w:t xml:space="preserve"> </w:t>
      </w:r>
      <w:r w:rsidR="00E80CC9" w:rsidRPr="00BB165A">
        <w:t xml:space="preserve">some costs may still be apportioned from a whole-of-university basis using a cost driver, known as a ‘top-down’ approach. </w:t>
      </w:r>
    </w:p>
    <w:p w14:paraId="0251FCE2" w14:textId="77777777" w:rsidR="00363BBF" w:rsidRPr="00BB165A" w:rsidRDefault="00924B60" w:rsidP="004F307D">
      <w:r w:rsidRPr="00BB165A">
        <w:t>Other universities which do not have cost allocation models that estimate costs at the unit of study level</w:t>
      </w:r>
      <w:r w:rsidR="00917831" w:rsidRPr="00BB165A">
        <w:t>,</w:t>
      </w:r>
      <w:r w:rsidRPr="00BB165A">
        <w:t xml:space="preserve"> will </w:t>
      </w:r>
      <w:r w:rsidR="00E80CC9" w:rsidRPr="00BB165A">
        <w:t xml:space="preserve">rely predominately on a </w:t>
      </w:r>
      <w:r w:rsidRPr="00BB165A">
        <w:t>‘</w:t>
      </w:r>
      <w:r w:rsidR="00E80CC9" w:rsidRPr="00BB165A">
        <w:t>top-down methodology</w:t>
      </w:r>
      <w:r w:rsidRPr="00BB165A">
        <w:t>’</w:t>
      </w:r>
      <w:r w:rsidR="00E80CC9" w:rsidRPr="00BB165A">
        <w:t xml:space="preserve">. On this basis, bottom-up approaches will on average provide more </w:t>
      </w:r>
      <w:r w:rsidR="00EB779E" w:rsidRPr="00BB165A">
        <w:t xml:space="preserve">differentiated </w:t>
      </w:r>
      <w:r w:rsidR="00E80CC9" w:rsidRPr="00BB165A">
        <w:t>cost information, and hence are typically considered to provide more accurate results by field and level of education.</w:t>
      </w:r>
      <w:r w:rsidR="00917831" w:rsidRPr="00BB165A">
        <w:t xml:space="preserve"> Notwithstanding this, the accuracy of any cost allocation model (whether or not it allocates costs down to a unit of study level) will ultimately depend on the accuracy of the assumptions i.e. cost drivers which are used and the information that is used to populate it.</w:t>
      </w:r>
    </w:p>
    <w:p w14:paraId="08C15E8F" w14:textId="5A997B63" w:rsidR="00917831" w:rsidRPr="00BB165A" w:rsidRDefault="00363BBF" w:rsidP="004F307D">
      <w:r w:rsidRPr="00BB165A">
        <w:t>Over the course of the Transparency Costing exercise</w:t>
      </w:r>
      <w:r w:rsidR="00045A8D" w:rsidRPr="00BB165A">
        <w:t xml:space="preserve">, universities have generally </w:t>
      </w:r>
      <w:r w:rsidR="002A7566" w:rsidRPr="00BB165A">
        <w:t xml:space="preserve">moved to more sophisticated methodologies to allocate costs. This includes a move to </w:t>
      </w:r>
      <w:r w:rsidR="006E37E7">
        <w:t>more widespread adoption of</w:t>
      </w:r>
      <w:r w:rsidR="006E37E7" w:rsidRPr="00BB165A">
        <w:t xml:space="preserve"> </w:t>
      </w:r>
      <w:r w:rsidR="002A7566" w:rsidRPr="00BB165A">
        <w:t xml:space="preserve">ABC models, as well as </w:t>
      </w:r>
      <w:r w:rsidR="002019B1" w:rsidRPr="00BB165A">
        <w:t xml:space="preserve">more nuanced assumptions and drivers of costs. </w:t>
      </w:r>
    </w:p>
    <w:p w14:paraId="7D553823" w14:textId="1F4F69F0" w:rsidR="002A4454" w:rsidRPr="00BB165A" w:rsidRDefault="002A4454" w:rsidP="004F307D">
      <w:r w:rsidRPr="00BB165A">
        <w:t xml:space="preserve">The most </w:t>
      </w:r>
      <w:r w:rsidR="002A7566" w:rsidRPr="00BB165A">
        <w:t>advanced</w:t>
      </w:r>
      <w:r w:rsidRPr="00BB165A">
        <w:t xml:space="preserve"> </w:t>
      </w:r>
      <w:r w:rsidR="0078432F" w:rsidRPr="00BB165A">
        <w:t xml:space="preserve">cost allocation </w:t>
      </w:r>
      <w:r w:rsidRPr="00BB165A">
        <w:t>models were generally informed by:</w:t>
      </w:r>
    </w:p>
    <w:p w14:paraId="49578CA7" w14:textId="4D870900" w:rsidR="002A4454" w:rsidRPr="00BB165A" w:rsidRDefault="00E771A9" w:rsidP="00046245">
      <w:pPr>
        <w:pStyle w:val="ListBullet"/>
      </w:pPr>
      <w:r w:rsidRPr="00BB165A">
        <w:t>D</w:t>
      </w:r>
      <w:r w:rsidR="002A4454" w:rsidRPr="00BB165A">
        <w:t xml:space="preserve">etailed information on the use of staff time </w:t>
      </w:r>
      <w:r w:rsidR="0078432F" w:rsidRPr="00BB165A">
        <w:t>for</w:t>
      </w:r>
      <w:r w:rsidR="002A4454" w:rsidRPr="00BB165A">
        <w:t xml:space="preserve"> teaching and research and in some cases identifying the individual staff members who taught each unit of study</w:t>
      </w:r>
    </w:p>
    <w:p w14:paraId="3EBBB8E9" w14:textId="50712642" w:rsidR="002A4454" w:rsidRPr="00BB165A" w:rsidRDefault="00E771A9" w:rsidP="00046245">
      <w:pPr>
        <w:pStyle w:val="ListBullet"/>
      </w:pPr>
      <w:r w:rsidRPr="00BB165A">
        <w:t>T</w:t>
      </w:r>
      <w:r w:rsidR="002A4454" w:rsidRPr="00BB165A">
        <w:t>he use of a space model that allocate</w:t>
      </w:r>
      <w:r w:rsidR="0078432F" w:rsidRPr="00BB165A">
        <w:t>s</w:t>
      </w:r>
      <w:r w:rsidR="002A4454" w:rsidRPr="00BB165A">
        <w:t xml:space="preserve"> the use of teaching space to specific schools and in some cases units of study</w:t>
      </w:r>
    </w:p>
    <w:p w14:paraId="42B19F1B" w14:textId="1FD582FA" w:rsidR="002A4454" w:rsidRPr="00BB165A" w:rsidRDefault="00E771A9" w:rsidP="00046245">
      <w:pPr>
        <w:pStyle w:val="ListBullet"/>
      </w:pPr>
      <w:r w:rsidRPr="00BB165A">
        <w:t>A</w:t>
      </w:r>
      <w:r w:rsidR="002A4454" w:rsidRPr="00BB165A">
        <w:t xml:space="preserve"> range of drivers to allocate central overheads appropriately. </w:t>
      </w:r>
    </w:p>
    <w:p w14:paraId="3331AE32" w14:textId="45FC8F0A" w:rsidR="00E80CC9" w:rsidRPr="00917831" w:rsidRDefault="00917831" w:rsidP="004F307D">
      <w:r w:rsidRPr="00BB165A">
        <w:t xml:space="preserve">One advantage of cost allocation models that estimate costs at a unit of study level is that it is more straightforward to aggregate costs to a </w:t>
      </w:r>
      <w:r w:rsidR="00B70C2F">
        <w:t>FOE</w:t>
      </w:r>
      <w:r w:rsidRPr="00BB165A">
        <w:t xml:space="preserve"> level – since many schools may teach courses across multiple fields – and to identify differences in cost by level.</w:t>
      </w:r>
      <w:r>
        <w:t xml:space="preserve"> </w:t>
      </w:r>
    </w:p>
    <w:p w14:paraId="13F47069" w14:textId="77777777" w:rsidR="007D3BEF" w:rsidRPr="00BB165A" w:rsidRDefault="007D3BEF" w:rsidP="004F307D">
      <w:pPr>
        <w:pStyle w:val="Heading3un-numbered"/>
      </w:pPr>
      <w:r w:rsidRPr="00BB165A">
        <w:t xml:space="preserve">Extent of variation in practice </w:t>
      </w:r>
    </w:p>
    <w:p w14:paraId="2389211F" w14:textId="7F1DD262" w:rsidR="006A47F9" w:rsidRPr="00BB165A" w:rsidRDefault="006A47F9" w:rsidP="006A47F9">
      <w:r w:rsidRPr="00BB165A">
        <w:t xml:space="preserve">In the </w:t>
      </w:r>
      <w:r w:rsidR="007073BD" w:rsidRPr="00BB165A">
        <w:t>202</w:t>
      </w:r>
      <w:r w:rsidR="001D78BE" w:rsidRPr="00BB165A">
        <w:t>2 Transparency in Higher Education Expenditure exercise</w:t>
      </w:r>
      <w:r w:rsidRPr="00BB165A">
        <w:t xml:space="preserve">, </w:t>
      </w:r>
      <w:r w:rsidR="00A05C1A" w:rsidRPr="00BB165A">
        <w:t>7</w:t>
      </w:r>
      <w:r w:rsidR="00E720AA" w:rsidRPr="00BB165A">
        <w:t>6</w:t>
      </w:r>
      <w:r w:rsidRPr="00BB165A">
        <w:t>% of universities indicated that they were able to identify costs at a unit of study level with the remainder adopting a top</w:t>
      </w:r>
      <w:r w:rsidR="003B7BB2" w:rsidRPr="00BB165A">
        <w:t>-</w:t>
      </w:r>
      <w:r w:rsidRPr="00BB165A">
        <w:t>down approach</w:t>
      </w:r>
      <w:r w:rsidR="008A1296">
        <w:t xml:space="preserve"> or not explicitly indicating which approach they use</w:t>
      </w:r>
      <w:r w:rsidRPr="00BB165A">
        <w:t xml:space="preserve">. Importantly, some universities may use a mixture of both top-down and bottom-up approaches, particularly in relation to costs that are in the scope of this exercise but would not be captured in internal cost allocation exercises. </w:t>
      </w:r>
    </w:p>
    <w:p w14:paraId="5EC865D8" w14:textId="72F10FD8" w:rsidR="00F1535F" w:rsidRDefault="000F5038" w:rsidP="000F5038">
      <w:r w:rsidRPr="00BB165A">
        <w:t xml:space="preserve">Universities that </w:t>
      </w:r>
      <w:r w:rsidR="001D78BE" w:rsidRPr="00BB165A">
        <w:t>can</w:t>
      </w:r>
      <w:r w:rsidRPr="00BB165A">
        <w:t xml:space="preserve"> identify costs at the unit of study level reported lower costs per EFTSL, on average</w:t>
      </w:r>
      <w:r w:rsidR="009D4836">
        <w:t xml:space="preserve"> (</w:t>
      </w:r>
      <w:r w:rsidR="00D840EB" w:rsidRPr="00BB165A">
        <w:t>after controlling for differences in the enrolment mix in terms of FOE</w:t>
      </w:r>
      <w:r w:rsidR="00D840EB">
        <w:t>)</w:t>
      </w:r>
      <w:r w:rsidRPr="00BB165A">
        <w:t xml:space="preserve">, compared to universities that were unable to identify costs at the unit of study level (see </w:t>
      </w:r>
      <w:r w:rsidRPr="00BB165A">
        <w:fldChar w:fldCharType="begin"/>
      </w:r>
      <w:r w:rsidRPr="00BB165A">
        <w:instrText xml:space="preserve"> REF _Ref20843317 \r \h </w:instrText>
      </w:r>
      <w:r w:rsidR="00DF1A3E" w:rsidRPr="00BB165A">
        <w:instrText xml:space="preserve"> \* MERGEFORMAT </w:instrText>
      </w:r>
      <w:r w:rsidRPr="00BB165A">
        <w:fldChar w:fldCharType="separate"/>
      </w:r>
      <w:r w:rsidR="00E83FB1">
        <w:t>Chart 4.1</w:t>
      </w:r>
      <w:r w:rsidRPr="00BB165A">
        <w:fldChar w:fldCharType="end"/>
      </w:r>
      <w:r w:rsidRPr="00BB165A">
        <w:t xml:space="preserve">). </w:t>
      </w:r>
      <w:r w:rsidR="00631B48" w:rsidRPr="00BB165A">
        <w:t>In 2020</w:t>
      </w:r>
      <w:r w:rsidR="00093741" w:rsidRPr="00BB165A">
        <w:t>,</w:t>
      </w:r>
      <w:r w:rsidR="00631B48" w:rsidRPr="00BB165A">
        <w:t xml:space="preserve"> t</w:t>
      </w:r>
      <w:r w:rsidRPr="00BB165A">
        <w:t xml:space="preserve">eaching and scholarship costs </w:t>
      </w:r>
      <w:r w:rsidR="00631B48" w:rsidRPr="00BB165A">
        <w:t>were</w:t>
      </w:r>
      <w:r w:rsidRPr="00BB165A">
        <w:t xml:space="preserve"> </w:t>
      </w:r>
      <w:r w:rsidR="00533FCD" w:rsidRPr="00BB165A">
        <w:t>8</w:t>
      </w:r>
      <w:r w:rsidR="00DA08E7">
        <w:t>.0</w:t>
      </w:r>
      <w:r w:rsidRPr="00BB165A">
        <w:t>% lower f</w:t>
      </w:r>
      <w:r w:rsidR="00322315" w:rsidRPr="00BB165A">
        <w:t>or sub-bachelor study</w:t>
      </w:r>
      <w:r w:rsidR="00631B48" w:rsidRPr="00BB165A">
        <w:t xml:space="preserve"> (</w:t>
      </w:r>
      <w:r w:rsidR="00F060D4">
        <w:t>9.5</w:t>
      </w:r>
      <w:r w:rsidR="00631B48" w:rsidRPr="00BB165A">
        <w:t>% lower in 2019)</w:t>
      </w:r>
      <w:r w:rsidR="00322315" w:rsidRPr="00BB165A">
        <w:t xml:space="preserve">, </w:t>
      </w:r>
      <w:r w:rsidR="00533FCD" w:rsidRPr="00BB165A">
        <w:t>12.</w:t>
      </w:r>
      <w:r w:rsidR="00CE4437">
        <w:t>2</w:t>
      </w:r>
      <w:r w:rsidRPr="00BB165A">
        <w:t xml:space="preserve">% lower for bachelor </w:t>
      </w:r>
      <w:r w:rsidR="00631B48" w:rsidRPr="00BB165A">
        <w:t>(13.</w:t>
      </w:r>
      <w:r w:rsidR="0029258B">
        <w:t>0</w:t>
      </w:r>
      <w:r w:rsidR="00631B48" w:rsidRPr="00BB165A">
        <w:t xml:space="preserve">% lower in 2019) </w:t>
      </w:r>
      <w:r w:rsidR="00533FCD" w:rsidRPr="00BB165A">
        <w:t>but</w:t>
      </w:r>
      <w:r w:rsidR="00322315" w:rsidRPr="00BB165A">
        <w:t xml:space="preserve"> </w:t>
      </w:r>
      <w:r w:rsidR="00773059">
        <w:t>10.0</w:t>
      </w:r>
      <w:r w:rsidR="00322315" w:rsidRPr="00BB165A">
        <w:t>%</w:t>
      </w:r>
      <w:r w:rsidR="00666919" w:rsidRPr="00BB165A">
        <w:t xml:space="preserve"> </w:t>
      </w:r>
      <w:r w:rsidR="00842158" w:rsidRPr="00BB165A">
        <w:t>higher</w:t>
      </w:r>
      <w:r w:rsidR="00F1535F" w:rsidRPr="00BB165A">
        <w:t xml:space="preserve"> at the postgraduate level</w:t>
      </w:r>
      <w:r w:rsidR="00631B48" w:rsidRPr="00BB165A">
        <w:t xml:space="preserve"> (</w:t>
      </w:r>
      <w:r w:rsidR="00D63537" w:rsidRPr="00BB165A">
        <w:t>6.</w:t>
      </w:r>
      <w:r w:rsidR="0029258B">
        <w:t>6</w:t>
      </w:r>
      <w:r w:rsidR="00D63537" w:rsidRPr="00BB165A">
        <w:t>% higher in 2019).</w:t>
      </w:r>
    </w:p>
    <w:p w14:paraId="7EF0EBE2" w14:textId="61F4E8F1" w:rsidR="000F5038" w:rsidRPr="00BB165A" w:rsidRDefault="000F5038" w:rsidP="000F5038">
      <w:pPr>
        <w:pStyle w:val="CaptionChart"/>
      </w:pPr>
      <w:bookmarkStart w:id="734" w:name="_Ref20843317"/>
      <w:bookmarkStart w:id="735" w:name="_Toc105776385"/>
      <w:r w:rsidRPr="00BB165A">
        <w:t>: Average unit costs for institutions able to identify costs at a unit of study level, by level of study (all fields)</w:t>
      </w:r>
      <w:bookmarkEnd w:id="734"/>
      <w:r w:rsidR="00197D56" w:rsidRPr="00BB165A">
        <w:t xml:space="preserve"> </w:t>
      </w:r>
      <w:r w:rsidR="00D13133" w:rsidRPr="00BB165A">
        <w:t xml:space="preserve">(2019 and </w:t>
      </w:r>
      <w:r w:rsidR="00197D56" w:rsidRPr="00BB165A">
        <w:t>20</w:t>
      </w:r>
      <w:r w:rsidR="00A15720" w:rsidRPr="00BB165A">
        <w:t>20</w:t>
      </w:r>
      <w:r w:rsidR="00D13133" w:rsidRPr="00BB165A">
        <w:t>)</w:t>
      </w:r>
      <w:bookmarkEnd w:id="735"/>
    </w:p>
    <w:p w14:paraId="3D4A8B2C" w14:textId="04664ACB" w:rsidR="00C90127" w:rsidRDefault="00C90127" w:rsidP="000A6D7D">
      <w:r>
        <w:rPr>
          <w:noProof/>
        </w:rPr>
        <w:drawing>
          <wp:inline distT="0" distB="0" distL="0" distR="0" wp14:anchorId="635002DE" wp14:editId="0CC44CDC">
            <wp:extent cx="5415643" cy="2966357"/>
            <wp:effectExtent l="0" t="0" r="0" b="5715"/>
            <wp:docPr id="597878543" name="Chart 597878543" descr="Chart showing the Average unit costs for institutions able to identify costs at a unit of study level, by level of study (all fields) (2019 and 2020). Splits unit costs into separate columns for those that can identify costs at a unit of study level, and those that cannot. Also split by year and by study level.">
              <a:extLst xmlns:a="http://schemas.openxmlformats.org/drawingml/2006/main">
                <a:ext uri="{FF2B5EF4-FFF2-40B4-BE49-F238E27FC236}">
                  <a16:creationId xmlns:a16="http://schemas.microsoft.com/office/drawing/2014/main" id="{26232C48-D913-4340-B0E5-B69B8F2BE7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573733D" w14:textId="2A7EE0F2" w:rsidR="0007455A" w:rsidRDefault="0007455A" w:rsidP="00416131">
      <w:pPr>
        <w:pStyle w:val="Source"/>
      </w:pPr>
      <w:r>
        <w:t xml:space="preserve">Note: </w:t>
      </w:r>
      <w:r w:rsidR="00584A18">
        <w:t>C</w:t>
      </w:r>
      <w:r>
        <w:t xml:space="preserve">osts are adjusted </w:t>
      </w:r>
      <w:r w:rsidR="00584A18">
        <w:t xml:space="preserve">to account for </w:t>
      </w:r>
      <w:r>
        <w:t>FOE composition</w:t>
      </w:r>
      <w:r w:rsidR="00584A18">
        <w:t>.</w:t>
      </w:r>
      <w:r>
        <w:t xml:space="preserve"> </w:t>
      </w:r>
    </w:p>
    <w:p w14:paraId="26D32AB5" w14:textId="6B414D7E" w:rsidR="00CD2D7B" w:rsidRDefault="0094588A" w:rsidP="00B55E41">
      <w:bookmarkStart w:id="736" w:name="_Ref20843534"/>
      <w:r w:rsidRPr="00BB165A">
        <w:t>T</w:t>
      </w:r>
      <w:r w:rsidR="00D63537" w:rsidRPr="00BB165A">
        <w:t xml:space="preserve">he </w:t>
      </w:r>
      <w:r w:rsidR="0029070F">
        <w:t xml:space="preserve">absolute </w:t>
      </w:r>
      <w:r w:rsidR="001F180C" w:rsidRPr="00BB165A">
        <w:t xml:space="preserve">percentage difference </w:t>
      </w:r>
      <w:r w:rsidR="00F75C1A">
        <w:t>decreased</w:t>
      </w:r>
      <w:r w:rsidR="00F75C1A" w:rsidRPr="00BB165A">
        <w:t xml:space="preserve"> </w:t>
      </w:r>
      <w:r w:rsidR="00F75C1A">
        <w:t>in</w:t>
      </w:r>
      <w:r w:rsidR="001F180C" w:rsidRPr="00BB165A">
        <w:t xml:space="preserve"> 2020</w:t>
      </w:r>
      <w:r w:rsidRPr="00BB165A">
        <w:t xml:space="preserve"> for sub-bachelor </w:t>
      </w:r>
      <w:r w:rsidR="00F75C1A">
        <w:t xml:space="preserve">and bachelor </w:t>
      </w:r>
      <w:r w:rsidRPr="00BB165A">
        <w:t>average units costs</w:t>
      </w:r>
      <w:r w:rsidR="00F75C1A">
        <w:t>,</w:t>
      </w:r>
      <w:r w:rsidRPr="00BB165A">
        <w:t xml:space="preserve"> but </w:t>
      </w:r>
      <w:r w:rsidR="0029070F">
        <w:t>increased</w:t>
      </w:r>
      <w:r w:rsidR="0029070F" w:rsidRPr="00BB165A">
        <w:t xml:space="preserve"> </w:t>
      </w:r>
      <w:r w:rsidRPr="00BB165A">
        <w:t xml:space="preserve">for postgraduate average unit costs. </w:t>
      </w:r>
    </w:p>
    <w:p w14:paraId="26F4A2C0" w14:textId="352A4B2B" w:rsidR="00E771A9" w:rsidRPr="00BB165A" w:rsidRDefault="008C20F2" w:rsidP="00B55E41">
      <w:r w:rsidRPr="00BB165A">
        <w:t>A</w:t>
      </w:r>
      <w:r w:rsidR="00E771A9" w:rsidRPr="00BB165A">
        <w:t xml:space="preserve"> number of the universities with </w:t>
      </w:r>
      <w:r w:rsidR="00781414">
        <w:t>higher</w:t>
      </w:r>
      <w:r w:rsidR="00781414" w:rsidRPr="00BB165A">
        <w:t xml:space="preserve"> </w:t>
      </w:r>
      <w:r w:rsidR="00E771A9" w:rsidRPr="00BB165A">
        <w:t xml:space="preserve">average teaching and scholarship costs per EFTSL are institutions that are unable to identify costs at the unit of study level (see </w:t>
      </w:r>
      <w:r w:rsidR="00A62059" w:rsidRPr="00BB165A">
        <w:fldChar w:fldCharType="begin"/>
      </w:r>
      <w:r w:rsidR="00A62059" w:rsidRPr="00BB165A">
        <w:instrText xml:space="preserve"> REF _Ref101878834 \r \h  \* MERGEFORMAT </w:instrText>
      </w:r>
      <w:r w:rsidR="00A62059" w:rsidRPr="00BB165A">
        <w:fldChar w:fldCharType="separate"/>
      </w:r>
      <w:r w:rsidR="00E83FB1">
        <w:t>Chart 4.2</w:t>
      </w:r>
      <w:r w:rsidR="00A62059" w:rsidRPr="00BB165A">
        <w:fldChar w:fldCharType="end"/>
      </w:r>
      <w:r w:rsidR="00A32306" w:rsidRPr="00BB165A">
        <w:t xml:space="preserve"> and </w:t>
      </w:r>
      <w:r w:rsidR="00A32306" w:rsidRPr="00BB165A">
        <w:fldChar w:fldCharType="begin"/>
      </w:r>
      <w:r w:rsidR="00A32306" w:rsidRPr="00BB165A">
        <w:instrText xml:space="preserve"> REF _Ref102584135 \r \h  \* MERGEFORMAT </w:instrText>
      </w:r>
      <w:r w:rsidR="00A32306" w:rsidRPr="00BB165A">
        <w:fldChar w:fldCharType="separate"/>
      </w:r>
      <w:r w:rsidR="00E83FB1">
        <w:t>Chart 4.3</w:t>
      </w:r>
      <w:r w:rsidR="00A32306" w:rsidRPr="00BB165A">
        <w:fldChar w:fldCharType="end"/>
      </w:r>
      <w:r w:rsidR="00E771A9" w:rsidRPr="00BB165A">
        <w:t xml:space="preserve">). It is not clear whether this simply reflects underlying differences in cost for these institutions or that those able to identify costs at a unit of study level may have greater information on costs and the split of teaching and research time that makes them less likely to </w:t>
      </w:r>
      <w:r w:rsidR="00D718B7" w:rsidRPr="00BB165A">
        <w:t>underestimate</w:t>
      </w:r>
      <w:r w:rsidR="00E771A9" w:rsidRPr="00BB165A">
        <w:t xml:space="preserve"> costs</w:t>
      </w:r>
      <w:r w:rsidR="0073479D" w:rsidRPr="00BB165A">
        <w:t>.</w:t>
      </w:r>
    </w:p>
    <w:p w14:paraId="12145D58" w14:textId="0CA264BB" w:rsidR="000F5038" w:rsidRPr="00BB165A" w:rsidRDefault="000F5038" w:rsidP="000F5038">
      <w:pPr>
        <w:pStyle w:val="CaptionChart"/>
      </w:pPr>
      <w:bookmarkStart w:id="737" w:name="_Ref101878834"/>
      <w:bookmarkStart w:id="738" w:name="_Toc105776386"/>
      <w:r w:rsidRPr="00BB165A">
        <w:t>: Average unit costs for institutions able to identify costs at a unit of study level, by university</w:t>
      </w:r>
      <w:r w:rsidR="009A6B0E">
        <w:t>, bachelor level of study</w:t>
      </w:r>
      <w:r w:rsidRPr="00BB165A">
        <w:t xml:space="preserve"> (</w:t>
      </w:r>
      <w:r w:rsidR="00472704">
        <w:t xml:space="preserve">FOEs where all 37 universities have reported a </w:t>
      </w:r>
      <w:r w:rsidR="00A82189">
        <w:t>cost observation</w:t>
      </w:r>
      <w:r w:rsidRPr="00BB165A">
        <w:t>)</w:t>
      </w:r>
      <w:bookmarkEnd w:id="736"/>
      <w:bookmarkEnd w:id="737"/>
      <w:r w:rsidR="00775228" w:rsidRPr="00BB165A">
        <w:t xml:space="preserve"> </w:t>
      </w:r>
      <w:r w:rsidR="00382A37">
        <w:t>(</w:t>
      </w:r>
      <w:r w:rsidR="00775228" w:rsidRPr="00BB165A">
        <w:t>2019</w:t>
      </w:r>
      <w:r w:rsidR="00382A37">
        <w:t>)</w:t>
      </w:r>
      <w:bookmarkEnd w:id="738"/>
    </w:p>
    <w:p w14:paraId="60B9BA63" w14:textId="255A44D4" w:rsidR="00C90127" w:rsidRDefault="005C0451" w:rsidP="000F5038">
      <w:r>
        <w:rPr>
          <w:noProof/>
        </w:rPr>
        <w:drawing>
          <wp:inline distT="0" distB="0" distL="0" distR="0" wp14:anchorId="22A57482" wp14:editId="5B3AAD0C">
            <wp:extent cx="4518838" cy="2594344"/>
            <wp:effectExtent l="0" t="0" r="0" b="0"/>
            <wp:docPr id="597878554" name="Chart 597878554" descr="Chart showing the Average unit costs for institutions able to identify costs at a unit of study level, by university, bachelor level of study (FOEs where all 37 universities have reported a cost observation) (2019). Columns presented for the unit cost for each university deidentified with columns colour coded by those that can identify costs at unit of study level and those that cannot.">
              <a:extLst xmlns:a="http://schemas.openxmlformats.org/drawingml/2006/main">
                <a:ext uri="{FF2B5EF4-FFF2-40B4-BE49-F238E27FC236}">
                  <a16:creationId xmlns:a16="http://schemas.microsoft.com/office/drawing/2014/main" id="{C1B25A00-A710-4B43-A99B-4834CF3D8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77CDB9B" w14:textId="77777777" w:rsidR="00691486" w:rsidRDefault="00691486" w:rsidP="00691486">
      <w:pPr>
        <w:pStyle w:val="Source"/>
      </w:pPr>
      <w:r>
        <w:t xml:space="preserve">Note: Costs are adjusted to account for FOE composition. </w:t>
      </w:r>
    </w:p>
    <w:p w14:paraId="1EC15D18" w14:textId="065619E4" w:rsidR="009A1C6B" w:rsidRPr="00BB165A" w:rsidRDefault="009A1C6B" w:rsidP="009A1C6B">
      <w:pPr>
        <w:pStyle w:val="CaptionChart"/>
      </w:pPr>
      <w:bookmarkStart w:id="739" w:name="_Toc105753222"/>
      <w:bookmarkStart w:id="740" w:name="_Toc105753280"/>
      <w:bookmarkStart w:id="741" w:name="_Toc105773983"/>
      <w:bookmarkStart w:id="742" w:name="_Toc105776262"/>
      <w:bookmarkStart w:id="743" w:name="_Toc105776324"/>
      <w:bookmarkStart w:id="744" w:name="_Toc105776387"/>
      <w:bookmarkStart w:id="745" w:name="_Ref102584135"/>
      <w:bookmarkStart w:id="746" w:name="_Toc105776388"/>
      <w:bookmarkEnd w:id="739"/>
      <w:bookmarkEnd w:id="740"/>
      <w:bookmarkEnd w:id="741"/>
      <w:bookmarkEnd w:id="742"/>
      <w:bookmarkEnd w:id="743"/>
      <w:bookmarkEnd w:id="744"/>
      <w:r w:rsidRPr="00BB165A">
        <w:t>: Average unit costs for institutions able to identify costs at a unit of study level, by university</w:t>
      </w:r>
      <w:r w:rsidR="009A6B0E">
        <w:t>, bachelor level of study</w:t>
      </w:r>
      <w:r w:rsidRPr="00BB165A">
        <w:t xml:space="preserve"> (</w:t>
      </w:r>
      <w:r w:rsidR="00A82189">
        <w:t>FOEs where all 37 universities have reported a cost observation</w:t>
      </w:r>
      <w:r w:rsidRPr="00BB165A">
        <w:t xml:space="preserve">) </w:t>
      </w:r>
      <w:r w:rsidR="00382A37">
        <w:t>(</w:t>
      </w:r>
      <w:r w:rsidRPr="00BB165A">
        <w:t>2020</w:t>
      </w:r>
      <w:bookmarkEnd w:id="745"/>
      <w:r w:rsidR="00382A37">
        <w:t>)</w:t>
      </w:r>
      <w:bookmarkEnd w:id="746"/>
    </w:p>
    <w:p w14:paraId="14BC3E6B" w14:textId="44D15719" w:rsidR="00522BF5" w:rsidRDefault="00FE73A6" w:rsidP="000F5038">
      <w:r>
        <w:rPr>
          <w:noProof/>
        </w:rPr>
        <w:drawing>
          <wp:inline distT="0" distB="0" distL="0" distR="0" wp14:anchorId="3606058B" wp14:editId="600CEF15">
            <wp:extent cx="4591050" cy="2658139"/>
            <wp:effectExtent l="0" t="0" r="0" b="8890"/>
            <wp:docPr id="597878555" name="Chart 597878555" descr="Chart showing the Average unit costs for institutions able to identify costs at a unit of study level, by university, bachelor level of study (FOEs where all 37 universities have reported a cost observation) (2020). Columns presented for the unit cost for each university deidentified with columns colour coded by those that can identify costs at unit of study level and those that cannot.">
              <a:extLst xmlns:a="http://schemas.openxmlformats.org/drawingml/2006/main">
                <a:ext uri="{FF2B5EF4-FFF2-40B4-BE49-F238E27FC236}">
                  <a16:creationId xmlns:a16="http://schemas.microsoft.com/office/drawing/2014/main" id="{C592C76C-5C58-4DA8-AB5E-FBB6F3F8B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533425B" w14:textId="77777777" w:rsidR="00691486" w:rsidRDefault="00691486" w:rsidP="00691486">
      <w:pPr>
        <w:pStyle w:val="Source"/>
      </w:pPr>
      <w:r>
        <w:t xml:space="preserve">Note: Costs are adjusted to account for FOE composition. </w:t>
      </w:r>
    </w:p>
    <w:p w14:paraId="6AA38EA6" w14:textId="22D3F89E" w:rsidR="00E771A9" w:rsidRDefault="00232CD2" w:rsidP="00E771A9">
      <w:r w:rsidRPr="00BB165A">
        <w:t>C</w:t>
      </w:r>
      <w:r w:rsidR="00E771A9" w:rsidRPr="00BB165A">
        <w:t xml:space="preserve">osts </w:t>
      </w:r>
      <w:r w:rsidRPr="00BB165A">
        <w:t xml:space="preserve">for most FOEs </w:t>
      </w:r>
      <w:r w:rsidR="00E771A9" w:rsidRPr="00BB165A">
        <w:t xml:space="preserve">are </w:t>
      </w:r>
      <w:r w:rsidR="00DB5476">
        <w:t>broadly</w:t>
      </w:r>
      <w:r w:rsidR="00E771A9" w:rsidRPr="00BB165A">
        <w:t xml:space="preserve"> similar between </w:t>
      </w:r>
      <w:r w:rsidR="00A55547" w:rsidRPr="00BB165A">
        <w:t>universities</w:t>
      </w:r>
      <w:r w:rsidR="00E771A9" w:rsidRPr="00BB165A">
        <w:t xml:space="preserve"> who are and are not able to identify costs at the unit of study level. The </w:t>
      </w:r>
      <w:r w:rsidR="00FC0C19" w:rsidRPr="00BB165A">
        <w:t>main</w:t>
      </w:r>
      <w:r w:rsidR="00E771A9" w:rsidRPr="00BB165A">
        <w:t xml:space="preserve"> exceptions to that are Medical Science</w:t>
      </w:r>
      <w:r w:rsidR="00A55547" w:rsidRPr="00BB165A">
        <w:t>;</w:t>
      </w:r>
      <w:r w:rsidR="00E771A9" w:rsidRPr="00BB165A">
        <w:t xml:space="preserve"> Food</w:t>
      </w:r>
      <w:r w:rsidR="00FC0C19" w:rsidRPr="00BB165A">
        <w:t xml:space="preserve">, </w:t>
      </w:r>
      <w:r w:rsidR="00E771A9" w:rsidRPr="00BB165A">
        <w:t>Hospitality</w:t>
      </w:r>
      <w:r w:rsidR="00FC0C19" w:rsidRPr="00BB165A">
        <w:t xml:space="preserve"> and Personal Services (for which </w:t>
      </w:r>
      <w:r w:rsidR="008948AF" w:rsidRPr="00BB165A">
        <w:t>no university could identify costs at a unit of study level)</w:t>
      </w:r>
      <w:r w:rsidR="00A55547" w:rsidRPr="00BB165A">
        <w:t>;</w:t>
      </w:r>
      <w:r w:rsidR="00E771A9" w:rsidRPr="00BB165A">
        <w:t xml:space="preserve"> and Veterinary </w:t>
      </w:r>
      <w:r w:rsidR="008948AF" w:rsidRPr="00BB165A">
        <w:t>Studies</w:t>
      </w:r>
      <w:r w:rsidR="00E771A9" w:rsidRPr="00BB165A">
        <w:t xml:space="preserve">. However, these fields typically have few </w:t>
      </w:r>
      <w:r w:rsidR="008948AF" w:rsidRPr="00BB165A">
        <w:t>observations,</w:t>
      </w:r>
      <w:r w:rsidR="00E771A9" w:rsidRPr="00BB165A">
        <w:t xml:space="preserve"> so these results are likely to be driven by higher costs for a small number of universities unable to estimate costs at the unit of study level.</w:t>
      </w:r>
      <w:r w:rsidR="00E771A9">
        <w:t xml:space="preserve"> </w:t>
      </w:r>
    </w:p>
    <w:p w14:paraId="4BD0EE3C" w14:textId="303983B6" w:rsidR="00B60879" w:rsidRDefault="00B60879" w:rsidP="00B60879">
      <w:r w:rsidRPr="00743551">
        <w:t>Those universities who cannot estimate costs at a unit of study level are found throughout the cost distribution but there are a handful that appear to have relatively high costs of bachelor level delivery. This could reflect the innate characteristics of these universities who may for other reasons have high costs of delivery. It is also possible that the inability to identify costs at a unit study level may mean that these universities are unable to sufficiently distinguish between the costs of bachelor and postgraduate study within a F</w:t>
      </w:r>
      <w:r w:rsidR="0085211D">
        <w:t>O</w:t>
      </w:r>
      <w:r w:rsidRPr="00743551">
        <w:t>E. Although only 4 FOEs are common across all universities at a postgraduate level, in the case of postgraduate study relatively few universities who cannot estimate costs at the unit of study level are found in the upper end of the distribution.</w:t>
      </w:r>
    </w:p>
    <w:p w14:paraId="636A6168" w14:textId="047F9FBE" w:rsidR="007812BE" w:rsidRPr="00BB165A" w:rsidRDefault="007812BE" w:rsidP="007812BE">
      <w:pPr>
        <w:pStyle w:val="CaptionChart"/>
      </w:pPr>
      <w:bookmarkStart w:id="747" w:name="_Toc105776389"/>
      <w:r w:rsidRPr="00BB165A">
        <w:t>: Average unit costs for institutions able to identify costs at a unit of study level, by university</w:t>
      </w:r>
      <w:r>
        <w:t>, postgraduate level of study</w:t>
      </w:r>
      <w:r w:rsidRPr="00BB165A">
        <w:t xml:space="preserve"> (</w:t>
      </w:r>
      <w:r>
        <w:t>FOEs where all 37 universities have reported a cost observation</w:t>
      </w:r>
      <w:r w:rsidRPr="00BB165A">
        <w:t xml:space="preserve">) </w:t>
      </w:r>
      <w:r>
        <w:t>(</w:t>
      </w:r>
      <w:r w:rsidRPr="00BB165A">
        <w:t>2019</w:t>
      </w:r>
      <w:r>
        <w:t>)</w:t>
      </w:r>
      <w:bookmarkEnd w:id="747"/>
    </w:p>
    <w:p w14:paraId="0327C19B" w14:textId="4ACE45C8" w:rsidR="007812BE" w:rsidRDefault="00982AA9" w:rsidP="007812BE">
      <w:r>
        <w:rPr>
          <w:noProof/>
        </w:rPr>
        <w:drawing>
          <wp:inline distT="0" distB="0" distL="0" distR="0" wp14:anchorId="6657DE19" wp14:editId="5CECB0C4">
            <wp:extent cx="4593771" cy="2766332"/>
            <wp:effectExtent l="0" t="0" r="0" b="0"/>
            <wp:docPr id="597878577" name="Chart 597878577" descr="Chart showing the Average unit costs for institutions able to identify costs at a unit of study level, by university, postgraduate level of study (FOEs where all 37 universities have reported a cost observation) (2019). Columns presented for the unit cost for each university deidentified with columns colour coded by those that can identify costs at unit of study level and those that cannot.">
              <a:extLst xmlns:a="http://schemas.openxmlformats.org/drawingml/2006/main">
                <a:ext uri="{FF2B5EF4-FFF2-40B4-BE49-F238E27FC236}">
                  <a16:creationId xmlns:a16="http://schemas.microsoft.com/office/drawing/2014/main" id="{C1B25A00-A710-4B43-A99B-4834CF3D8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73AFD39" w14:textId="77777777" w:rsidR="007812BE" w:rsidRDefault="007812BE" w:rsidP="007812BE">
      <w:pPr>
        <w:pStyle w:val="Source"/>
      </w:pPr>
      <w:r>
        <w:t xml:space="preserve">Note: Costs are adjusted to account for FOE composition. </w:t>
      </w:r>
    </w:p>
    <w:p w14:paraId="1D114A1B" w14:textId="72C66A7A" w:rsidR="007812BE" w:rsidRPr="00BB165A" w:rsidRDefault="007812BE" w:rsidP="007812BE">
      <w:pPr>
        <w:pStyle w:val="CaptionChart"/>
      </w:pPr>
      <w:bookmarkStart w:id="748" w:name="_Toc105776390"/>
      <w:r w:rsidRPr="00BB165A">
        <w:t>: Average unit costs for institutions able to identify costs at a unit of study level, by university</w:t>
      </w:r>
      <w:r>
        <w:t>, postgraduate level of study</w:t>
      </w:r>
      <w:r w:rsidRPr="00BB165A">
        <w:t xml:space="preserve"> (</w:t>
      </w:r>
      <w:r>
        <w:t>FOEs where all 37 universities have reported a cost observation</w:t>
      </w:r>
      <w:r w:rsidRPr="00BB165A">
        <w:t xml:space="preserve">) </w:t>
      </w:r>
      <w:r>
        <w:t>(</w:t>
      </w:r>
      <w:r w:rsidRPr="00BB165A">
        <w:t>2020</w:t>
      </w:r>
      <w:r>
        <w:t>)</w:t>
      </w:r>
      <w:bookmarkEnd w:id="748"/>
    </w:p>
    <w:p w14:paraId="3B54A27C" w14:textId="6CFF4F75" w:rsidR="007812BE" w:rsidRDefault="00982AA9" w:rsidP="007812BE">
      <w:r>
        <w:rPr>
          <w:noProof/>
        </w:rPr>
        <w:drawing>
          <wp:inline distT="0" distB="0" distL="0" distR="0" wp14:anchorId="19981E7D" wp14:editId="6FDC9726">
            <wp:extent cx="4591050" cy="2766332"/>
            <wp:effectExtent l="0" t="0" r="0" b="0"/>
            <wp:docPr id="597878578" name="Chart 597878578" descr="Chart showing the average unit costs for institutions able to identify costs at a unit of study level, by university, postgraduate level of study (FOEs where all 37 universities have reported a cost observation) (2020). Columns presented for the unit cost for each university deidentified with columns colour coded by those that can identify costs at unit of study level and those that cannot.">
              <a:extLst xmlns:a="http://schemas.openxmlformats.org/drawingml/2006/main">
                <a:ext uri="{FF2B5EF4-FFF2-40B4-BE49-F238E27FC236}">
                  <a16:creationId xmlns:a16="http://schemas.microsoft.com/office/drawing/2014/main" id="{C592C76C-5C58-4DA8-AB5E-FBB6F3F8B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8EA3D1F" w14:textId="77777777" w:rsidR="007812BE" w:rsidRDefault="007812BE" w:rsidP="007812BE">
      <w:pPr>
        <w:pStyle w:val="Source"/>
      </w:pPr>
      <w:r>
        <w:t xml:space="preserve">Note: Costs are adjusted to account for FOE composition. </w:t>
      </w:r>
    </w:p>
    <w:p w14:paraId="037A29DE" w14:textId="3623E943" w:rsidR="00F1535F" w:rsidRPr="00BB165A" w:rsidRDefault="00F1535F" w:rsidP="00F1535F">
      <w:pPr>
        <w:pStyle w:val="CaptionChart"/>
      </w:pPr>
      <w:bookmarkStart w:id="749" w:name="_Toc105773987"/>
      <w:bookmarkStart w:id="750" w:name="_Toc105776266"/>
      <w:bookmarkStart w:id="751" w:name="_Toc105776328"/>
      <w:bookmarkStart w:id="752" w:name="_Toc105776391"/>
      <w:bookmarkStart w:id="753" w:name="_Toc24542531"/>
      <w:bookmarkStart w:id="754" w:name="_Toc24625075"/>
      <w:bookmarkStart w:id="755" w:name="_Ref101881938"/>
      <w:bookmarkStart w:id="756" w:name="_Toc105776392"/>
      <w:bookmarkEnd w:id="749"/>
      <w:bookmarkEnd w:id="750"/>
      <w:bookmarkEnd w:id="751"/>
      <w:bookmarkEnd w:id="752"/>
      <w:bookmarkEnd w:id="753"/>
      <w:bookmarkEnd w:id="754"/>
      <w:r w:rsidRPr="00BB165A">
        <w:t>: Average unit costs for institutions able to identify costs at a unit of study by FOE for bachelor level study</w:t>
      </w:r>
      <w:bookmarkEnd w:id="755"/>
      <w:r w:rsidR="00382A37">
        <w:t xml:space="preserve"> (</w:t>
      </w:r>
      <w:r w:rsidR="008948AF" w:rsidRPr="00BB165A">
        <w:t>20</w:t>
      </w:r>
      <w:r w:rsidR="00F06D86" w:rsidRPr="00BB165A">
        <w:t>19</w:t>
      </w:r>
      <w:r w:rsidR="00382A37">
        <w:t>)</w:t>
      </w:r>
      <w:bookmarkEnd w:id="756"/>
    </w:p>
    <w:p w14:paraId="764A90A6" w14:textId="27696287" w:rsidR="00522BF5" w:rsidRPr="00BB165A" w:rsidRDefault="00522BF5" w:rsidP="000A6D7D">
      <w:r>
        <w:rPr>
          <w:noProof/>
        </w:rPr>
        <w:drawing>
          <wp:inline distT="0" distB="0" distL="0" distR="0" wp14:anchorId="10F5ACB6" wp14:editId="2236D6CF">
            <wp:extent cx="4591050" cy="2764971"/>
            <wp:effectExtent l="0" t="0" r="0" b="0"/>
            <wp:docPr id="597878546" name="Chart 597878546" descr="Chart shows average unit costs for institutions able to identify costs at a unit of study by FOE for bachelor level study (2019). Split into separate columns for institutions that can and institutions that cannot identify costs at the unit of study level, split by FoE. ">
              <a:extLst xmlns:a="http://schemas.openxmlformats.org/drawingml/2006/main">
                <a:ext uri="{FF2B5EF4-FFF2-40B4-BE49-F238E27FC236}">
                  <a16:creationId xmlns:a16="http://schemas.microsoft.com/office/drawing/2014/main" id="{00000000-0008-0000-3A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58F712A" w14:textId="30DA8DB4" w:rsidR="00F06D86" w:rsidRPr="00BB165A" w:rsidRDefault="00F06D86" w:rsidP="00F06D86">
      <w:pPr>
        <w:pStyle w:val="CaptionChart"/>
      </w:pPr>
      <w:bookmarkStart w:id="757" w:name="_Toc105776393"/>
      <w:r w:rsidRPr="00BB165A">
        <w:t>: Average unit costs for institutions able to identify costs at a unit of study by FOE for bachelor level study</w:t>
      </w:r>
      <w:r w:rsidR="00382A37">
        <w:t xml:space="preserve"> (</w:t>
      </w:r>
      <w:r w:rsidRPr="00BB165A">
        <w:t>2020</w:t>
      </w:r>
      <w:r w:rsidR="00382A37">
        <w:t>)</w:t>
      </w:r>
      <w:bookmarkEnd w:id="757"/>
    </w:p>
    <w:p w14:paraId="22DB6745" w14:textId="121628AB" w:rsidR="00522BF5" w:rsidRDefault="00522BF5" w:rsidP="00F06D86">
      <w:r>
        <w:rPr>
          <w:noProof/>
        </w:rPr>
        <w:drawing>
          <wp:inline distT="0" distB="0" distL="0" distR="0" wp14:anchorId="7722D779" wp14:editId="3CA017CC">
            <wp:extent cx="4591050" cy="2764971"/>
            <wp:effectExtent l="0" t="0" r="0" b="0"/>
            <wp:docPr id="597878547" name="Chart 597878547" descr="Chart shows Average unit costs for institutions able to identify costs at a unit of study by FOE for bachelor level study (2020). Split into separate columns for institutions that can and institutions that cannot identify costs at the unit of study level, split by FoE. ">
              <a:extLst xmlns:a="http://schemas.openxmlformats.org/drawingml/2006/main">
                <a:ext uri="{FF2B5EF4-FFF2-40B4-BE49-F238E27FC236}">
                  <a16:creationId xmlns:a16="http://schemas.microsoft.com/office/drawing/2014/main" id="{A83E009C-9C71-49D4-848D-6E2BC9965D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78E17C9" w14:textId="77777777" w:rsidR="00AC6EDD" w:rsidRPr="00BB165A" w:rsidRDefault="00AC6EDD" w:rsidP="00AC6EDD">
      <w:pPr>
        <w:pStyle w:val="Heading2"/>
      </w:pPr>
      <w:bookmarkStart w:id="758" w:name="_Toc532209753"/>
      <w:bookmarkStart w:id="759" w:name="_Toc532224676"/>
      <w:bookmarkStart w:id="760" w:name="_Toc532376038"/>
      <w:bookmarkStart w:id="761" w:name="_Toc532209754"/>
      <w:bookmarkStart w:id="762" w:name="_Toc532224677"/>
      <w:bookmarkStart w:id="763" w:name="_Toc532376039"/>
      <w:bookmarkStart w:id="764" w:name="_Toc532209755"/>
      <w:bookmarkStart w:id="765" w:name="_Toc532224678"/>
      <w:bookmarkStart w:id="766" w:name="_Toc532376040"/>
      <w:bookmarkStart w:id="767" w:name="_Toc532209756"/>
      <w:bookmarkStart w:id="768" w:name="_Toc532224679"/>
      <w:bookmarkStart w:id="769" w:name="_Toc532376041"/>
      <w:bookmarkStart w:id="770" w:name="_Toc532209757"/>
      <w:bookmarkStart w:id="771" w:name="_Toc532224680"/>
      <w:bookmarkStart w:id="772" w:name="_Toc532376042"/>
      <w:bookmarkStart w:id="773" w:name="_Toc532209758"/>
      <w:bookmarkStart w:id="774" w:name="_Toc532224681"/>
      <w:bookmarkStart w:id="775" w:name="_Toc532376043"/>
      <w:bookmarkStart w:id="776" w:name="_Toc532209759"/>
      <w:bookmarkStart w:id="777" w:name="_Toc532224682"/>
      <w:bookmarkStart w:id="778" w:name="_Toc532376044"/>
      <w:bookmarkStart w:id="779" w:name="_Toc532209760"/>
      <w:bookmarkStart w:id="780" w:name="_Toc532224683"/>
      <w:bookmarkStart w:id="781" w:name="_Toc532376045"/>
      <w:bookmarkStart w:id="782" w:name="_Toc532209761"/>
      <w:bookmarkStart w:id="783" w:name="_Toc532224684"/>
      <w:bookmarkStart w:id="784" w:name="_Toc532376046"/>
      <w:bookmarkStart w:id="785" w:name="_Toc532209762"/>
      <w:bookmarkStart w:id="786" w:name="_Toc532224685"/>
      <w:bookmarkStart w:id="787" w:name="_Toc532376047"/>
      <w:bookmarkStart w:id="788" w:name="_Toc529546296"/>
      <w:bookmarkStart w:id="789" w:name="_Toc529546944"/>
      <w:bookmarkStart w:id="790" w:name="_Toc529546297"/>
      <w:bookmarkStart w:id="791" w:name="_Toc529546945"/>
      <w:bookmarkStart w:id="792" w:name="_Toc529546298"/>
      <w:bookmarkStart w:id="793" w:name="_Toc529546946"/>
      <w:bookmarkStart w:id="794" w:name="_Toc529546299"/>
      <w:bookmarkStart w:id="795" w:name="_Toc529546947"/>
      <w:bookmarkStart w:id="796" w:name="_Toc20246019"/>
      <w:bookmarkStart w:id="797" w:name="_Ref102576873"/>
      <w:bookmarkStart w:id="798" w:name="_Toc105776202"/>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sidRPr="00BB165A">
        <w:t>Other reflections from universities</w:t>
      </w:r>
      <w:bookmarkEnd w:id="796"/>
      <w:bookmarkEnd w:id="797"/>
      <w:bookmarkEnd w:id="798"/>
    </w:p>
    <w:p w14:paraId="41334612" w14:textId="7E8795BD" w:rsidR="000C6E73" w:rsidRPr="00BB165A" w:rsidRDefault="000C6E73" w:rsidP="000C6E73">
      <w:r w:rsidRPr="00BB165A">
        <w:t>Universities remained highly engaged in the Transparency in Higher Education Expenditure project in 2</w:t>
      </w:r>
      <w:r w:rsidR="00641E10" w:rsidRPr="00BB165A">
        <w:t>02</w:t>
      </w:r>
      <w:r w:rsidR="00FD233A" w:rsidRPr="00BB165A">
        <w:t>2</w:t>
      </w:r>
      <w:r w:rsidRPr="00BB165A">
        <w:t xml:space="preserve"> and those that had participated previously appreciated the relative consistency in the structure of the cost collection template. </w:t>
      </w:r>
    </w:p>
    <w:p w14:paraId="67140863" w14:textId="77777777" w:rsidR="00924B60" w:rsidRPr="00BB165A" w:rsidRDefault="00924B60" w:rsidP="00924B60">
      <w:r w:rsidRPr="00BB165A">
        <w:t xml:space="preserve">Throughout the process, universities provided a range of reflections both in relation to: </w:t>
      </w:r>
    </w:p>
    <w:p w14:paraId="0692B4BB" w14:textId="7ABF7D45" w:rsidR="00924B60" w:rsidRPr="00BB165A" w:rsidRDefault="00924B60" w:rsidP="00046245">
      <w:pPr>
        <w:pStyle w:val="ListBullet"/>
      </w:pPr>
      <w:r w:rsidRPr="00BB165A">
        <w:t xml:space="preserve">The data collection </w:t>
      </w:r>
      <w:r w:rsidR="00FE6C76" w:rsidRPr="00BB165A">
        <w:t xml:space="preserve">process </w:t>
      </w:r>
      <w:r w:rsidRPr="00BB165A">
        <w:t xml:space="preserve">and </w:t>
      </w:r>
      <w:r w:rsidR="00BA3368" w:rsidRPr="00BB165A">
        <w:t>the interpretation of results</w:t>
      </w:r>
    </w:p>
    <w:p w14:paraId="452C1997" w14:textId="77777777" w:rsidR="00BA3368" w:rsidRPr="00BB165A" w:rsidRDefault="00BA3368" w:rsidP="00046245">
      <w:pPr>
        <w:pStyle w:val="ListBullet"/>
      </w:pPr>
      <w:r w:rsidRPr="00BB165A">
        <w:t>The comparability of results across universities</w:t>
      </w:r>
    </w:p>
    <w:p w14:paraId="47DE7D69" w14:textId="736BC401" w:rsidR="00924B60" w:rsidRPr="00BB165A" w:rsidRDefault="00BA3368" w:rsidP="00BA3368">
      <w:r w:rsidRPr="00BB165A">
        <w:t xml:space="preserve">The sector’s concerns were broadly consistent with those raised in the </w:t>
      </w:r>
      <w:r w:rsidR="005F16F6" w:rsidRPr="00BB165A">
        <w:t>prior</w:t>
      </w:r>
      <w:r w:rsidRPr="00BB165A">
        <w:t xml:space="preserve"> exercise</w:t>
      </w:r>
      <w:r w:rsidR="005F16F6" w:rsidRPr="00BB165A">
        <w:t>s</w:t>
      </w:r>
      <w:r w:rsidRPr="00BB165A">
        <w:t xml:space="preserve"> and are set out in greater detail in the sections below.</w:t>
      </w:r>
    </w:p>
    <w:p w14:paraId="3D7E10E4" w14:textId="77777777" w:rsidR="00924B60" w:rsidRPr="00BB165A" w:rsidRDefault="00924B60" w:rsidP="00691B65">
      <w:pPr>
        <w:pStyle w:val="HeadingB"/>
      </w:pPr>
      <w:r w:rsidRPr="00BB165A">
        <w:t xml:space="preserve">Reflections from universities on the data collection process and interpretation of </w:t>
      </w:r>
      <w:r w:rsidR="00BA3368" w:rsidRPr="00BB165A">
        <w:t>results</w:t>
      </w:r>
    </w:p>
    <w:p w14:paraId="424270AB" w14:textId="52A605C8" w:rsidR="004D4199" w:rsidRPr="00BB165A" w:rsidRDefault="00924B60" w:rsidP="00CA5537">
      <w:r w:rsidRPr="00BB165A">
        <w:t xml:space="preserve">Universities expressed a range of </w:t>
      </w:r>
      <w:r w:rsidR="00FD4C6C" w:rsidRPr="00BB165A">
        <w:t>views regarding</w:t>
      </w:r>
      <w:r w:rsidRPr="00BB165A">
        <w:t xml:space="preserve"> the process and its broader objectives. The </w:t>
      </w:r>
      <w:r w:rsidR="00FD4C6C" w:rsidRPr="00BB165A">
        <w:t xml:space="preserve">issues </w:t>
      </w:r>
      <w:r w:rsidRPr="00BB165A">
        <w:t xml:space="preserve">most frequently articulated by universities included: </w:t>
      </w:r>
    </w:p>
    <w:p w14:paraId="72D28D1E" w14:textId="6F69E6AF" w:rsidR="005F0E74" w:rsidRPr="00BB165A" w:rsidRDefault="00924B60" w:rsidP="007B09DB">
      <w:pPr>
        <w:pStyle w:val="ListBullet"/>
        <w:contextualSpacing w:val="0"/>
      </w:pPr>
      <w:r w:rsidRPr="00BB165A">
        <w:t>The decision to exclude research from the analysis, which many universities saw as being inherently included in the scope of CGS funding. Related</w:t>
      </w:r>
      <w:r w:rsidR="00FD4C6C" w:rsidRPr="00BB165A">
        <w:t>ly</w:t>
      </w:r>
      <w:r w:rsidRPr="00BB165A">
        <w:t>,</w:t>
      </w:r>
      <w:r w:rsidR="0008610B" w:rsidRPr="00BB165A">
        <w:t xml:space="preserve"> </w:t>
      </w:r>
      <w:r w:rsidR="00602455" w:rsidRPr="00BB165A">
        <w:t xml:space="preserve">it was noted that </w:t>
      </w:r>
      <w:r w:rsidR="0002195A" w:rsidRPr="00BB165A">
        <w:t>universities</w:t>
      </w:r>
      <w:r w:rsidR="00BF4903" w:rsidRPr="00BB165A">
        <w:t xml:space="preserve"> have multiple missions </w:t>
      </w:r>
      <w:r w:rsidR="0002195A" w:rsidRPr="00BB165A">
        <w:t>(such as teaching, research, community and civic engagement, commitment to social responsibility</w:t>
      </w:r>
      <w:r w:rsidR="00E11E33" w:rsidRPr="00BB165A">
        <w:t>, etc.</w:t>
      </w:r>
      <w:r w:rsidR="0002195A" w:rsidRPr="00BB165A">
        <w:t>) and the</w:t>
      </w:r>
      <w:r w:rsidR="0008610B" w:rsidRPr="00BB165A">
        <w:t xml:space="preserve"> exclusion of </w:t>
      </w:r>
      <w:r w:rsidR="0002195A" w:rsidRPr="00BB165A">
        <w:t>many of these</w:t>
      </w:r>
      <w:r w:rsidR="00E11E33" w:rsidRPr="00BB165A">
        <w:t xml:space="preserve"> from the costing exercise</w:t>
      </w:r>
      <w:r w:rsidR="0008610B" w:rsidRPr="00BB165A">
        <w:t xml:space="preserve">, </w:t>
      </w:r>
      <w:r w:rsidR="00602455" w:rsidRPr="00BB165A">
        <w:t xml:space="preserve">could </w:t>
      </w:r>
      <w:r w:rsidR="0008610B" w:rsidRPr="00BB165A">
        <w:t>create an imbalance in assessing university use of revenue</w:t>
      </w:r>
      <w:r w:rsidRPr="00BB165A">
        <w:t xml:space="preserve">. </w:t>
      </w:r>
      <w:r w:rsidR="00EF4357" w:rsidRPr="00BB165A">
        <w:t>Several</w:t>
      </w:r>
      <w:r w:rsidR="007118F7" w:rsidRPr="00BB165A">
        <w:t xml:space="preserve"> universities noted that it was difficult to separate teaching costs</w:t>
      </w:r>
      <w:r w:rsidR="007357EE" w:rsidRPr="00BB165A">
        <w:t xml:space="preserve"> from other activities - </w:t>
      </w:r>
      <w:r w:rsidR="00602455" w:rsidRPr="00BB165A">
        <w:t xml:space="preserve">particularly for academic staff where it can be difficult to split teaching and research time </w:t>
      </w:r>
      <w:r w:rsidR="007118F7" w:rsidRPr="00BB165A">
        <w:t>- which points to the potential for efficiencies in jointly delivering teaching and research.</w:t>
      </w:r>
    </w:p>
    <w:p w14:paraId="40A4482F" w14:textId="04BFFDDA" w:rsidR="00A86696" w:rsidRPr="00BB165A" w:rsidRDefault="005F0E74" w:rsidP="007357EE">
      <w:pPr>
        <w:pStyle w:val="ListBullet"/>
        <w:numPr>
          <w:ilvl w:val="0"/>
          <w:numId w:val="0"/>
        </w:numPr>
        <w:ind w:left="340"/>
        <w:contextualSpacing w:val="0"/>
      </w:pPr>
      <w:r w:rsidRPr="00BB165A">
        <w:t xml:space="preserve">One university also suggested that it would be beneficial to have a common set of guiding principles about the split between teaching and research time made available to </w:t>
      </w:r>
      <w:r w:rsidR="00617ABD" w:rsidRPr="00BB165A">
        <w:t>universities</w:t>
      </w:r>
      <w:r w:rsidRPr="00BB165A">
        <w:t xml:space="preserve"> using a </w:t>
      </w:r>
      <w:r w:rsidR="00617ABD" w:rsidRPr="00BB165A">
        <w:t>top-down</w:t>
      </w:r>
      <w:r w:rsidRPr="00BB165A">
        <w:t xml:space="preserve"> approach to drive consistency in assumptions and methodology.</w:t>
      </w:r>
      <w:r w:rsidR="00040457" w:rsidRPr="00BB165A">
        <w:t xml:space="preserve"> </w:t>
      </w:r>
    </w:p>
    <w:p w14:paraId="6DCB4904" w14:textId="3E0F9BE9" w:rsidR="009D6789" w:rsidRPr="00BB165A" w:rsidRDefault="00C171D4" w:rsidP="007B09DB">
      <w:pPr>
        <w:pStyle w:val="ListBullet"/>
        <w:contextualSpacing w:val="0"/>
      </w:pPr>
      <w:r w:rsidRPr="00BB165A">
        <w:t xml:space="preserve">Some universities noted that </w:t>
      </w:r>
      <w:r w:rsidR="00616EB3" w:rsidRPr="00BB165A">
        <w:t xml:space="preserve">their </w:t>
      </w:r>
      <w:r w:rsidR="009876A1" w:rsidRPr="00BB165A">
        <w:t>activities</w:t>
      </w:r>
      <w:r w:rsidR="000C3B99" w:rsidRPr="00BB165A">
        <w:t xml:space="preserve"> and operations</w:t>
      </w:r>
      <w:r w:rsidR="00CE2B94" w:rsidRPr="00BB165A">
        <w:t xml:space="preserve"> are not</w:t>
      </w:r>
      <w:r w:rsidR="009876A1" w:rsidRPr="00BB165A">
        <w:t xml:space="preserve"> managed at an FOE level, but at different organisational unit levels (</w:t>
      </w:r>
      <w:r w:rsidR="009D6789" w:rsidRPr="00BB165A">
        <w:t>i.e., at the</w:t>
      </w:r>
      <w:r w:rsidR="009876A1" w:rsidRPr="00BB165A">
        <w:t xml:space="preserve"> </w:t>
      </w:r>
      <w:r w:rsidR="007357EE" w:rsidRPr="00BB165A">
        <w:t>Sc</w:t>
      </w:r>
      <w:r w:rsidR="001E0EF4" w:rsidRPr="00BB165A">
        <w:t>hool</w:t>
      </w:r>
      <w:r w:rsidR="009876A1" w:rsidRPr="00BB165A">
        <w:t xml:space="preserve"> or </w:t>
      </w:r>
      <w:r w:rsidR="007357EE" w:rsidRPr="00BB165A">
        <w:t>F</w:t>
      </w:r>
      <w:r w:rsidR="00005D4E" w:rsidRPr="00BB165A">
        <w:t>acult</w:t>
      </w:r>
      <w:r w:rsidR="009D6789" w:rsidRPr="00BB165A">
        <w:t>y level)</w:t>
      </w:r>
      <w:r w:rsidR="009876A1" w:rsidRPr="00BB165A">
        <w:t>. This makes</w:t>
      </w:r>
      <w:r w:rsidR="00005D4E" w:rsidRPr="00BB165A">
        <w:t xml:space="preserve"> </w:t>
      </w:r>
      <w:r w:rsidR="009D6789" w:rsidRPr="00BB165A">
        <w:t>collection</w:t>
      </w:r>
      <w:r w:rsidR="00FD4C6C" w:rsidRPr="00BB165A">
        <w:t xml:space="preserve"> of</w:t>
      </w:r>
      <w:r w:rsidR="00924B60" w:rsidRPr="00BB165A">
        <w:t xml:space="preserve"> </w:t>
      </w:r>
      <w:r w:rsidR="00FD4C6C" w:rsidRPr="00BB165A">
        <w:t xml:space="preserve">data </w:t>
      </w:r>
      <w:r w:rsidR="00924B60" w:rsidRPr="00BB165A">
        <w:t>on an FOE basis inconsistent with universities’ underlying operating structures. While</w:t>
      </w:r>
      <w:r w:rsidR="00C9477F" w:rsidRPr="00BB165A">
        <w:t xml:space="preserve"> many</w:t>
      </w:r>
      <w:r w:rsidR="00924B60" w:rsidRPr="00BB165A">
        <w:t xml:space="preserve"> universities have relatively </w:t>
      </w:r>
      <w:r w:rsidR="00C9477F" w:rsidRPr="00BB165A">
        <w:t>granular</w:t>
      </w:r>
      <w:r w:rsidR="00924B60" w:rsidRPr="00BB165A">
        <w:t xml:space="preserve"> data on teaching costs at the faculty or school level, mapping this to individual FOEs proved </w:t>
      </w:r>
      <w:r w:rsidR="00C9477F" w:rsidRPr="00BB165A">
        <w:t>a challenge</w:t>
      </w:r>
      <w:r w:rsidR="00924B60" w:rsidRPr="00BB165A">
        <w:t xml:space="preserve"> </w:t>
      </w:r>
      <w:r w:rsidR="00FD4C6C" w:rsidRPr="00BB165A">
        <w:t xml:space="preserve">for some. </w:t>
      </w:r>
      <w:r w:rsidR="00082623" w:rsidRPr="00BB165A">
        <w:t xml:space="preserve">Universities </w:t>
      </w:r>
      <w:r w:rsidR="00C9477F" w:rsidRPr="00BB165A">
        <w:t xml:space="preserve">also </w:t>
      </w:r>
      <w:r w:rsidR="00082623" w:rsidRPr="00BB165A">
        <w:t xml:space="preserve">differed in the </w:t>
      </w:r>
      <w:r w:rsidR="001E7FAF" w:rsidRPr="00BB165A">
        <w:t>assumptions</w:t>
      </w:r>
      <w:r w:rsidR="00082623" w:rsidRPr="00BB165A">
        <w:t xml:space="preserve"> </w:t>
      </w:r>
      <w:r w:rsidR="001E7FAF" w:rsidRPr="00BB165A">
        <w:t>made to map costs to an FOE level</w:t>
      </w:r>
      <w:r w:rsidR="00924B60" w:rsidRPr="00BB165A">
        <w:t>. Further, because universities provide courses, which are more granular than FOEs, there will be some variation in the offerings (that is, differences in the weightings of particular courses) included within an FOE across institutions.</w:t>
      </w:r>
      <w:r w:rsidR="00FD4C6C" w:rsidRPr="00BB165A">
        <w:t xml:space="preserve"> </w:t>
      </w:r>
    </w:p>
    <w:p w14:paraId="34984CB3" w14:textId="49F26CF3" w:rsidR="00924B60" w:rsidRPr="00BB165A" w:rsidRDefault="009D6789" w:rsidP="00930D9E">
      <w:pPr>
        <w:pStyle w:val="ListBullet"/>
        <w:numPr>
          <w:ilvl w:val="0"/>
          <w:numId w:val="0"/>
        </w:numPr>
        <w:ind w:left="340"/>
        <w:contextualSpacing w:val="0"/>
      </w:pPr>
      <w:r w:rsidRPr="00BB165A">
        <w:t xml:space="preserve">This was generally less of an issue for universities with more </w:t>
      </w:r>
      <w:r w:rsidR="00DE1A01" w:rsidRPr="00BB165A">
        <w:t>sophisticated</w:t>
      </w:r>
      <w:r w:rsidRPr="00BB165A">
        <w:t xml:space="preserve"> cost </w:t>
      </w:r>
      <w:r w:rsidR="00DE1A01" w:rsidRPr="00BB165A">
        <w:t>allocation</w:t>
      </w:r>
      <w:r w:rsidRPr="00BB165A">
        <w:t xml:space="preserve"> methods</w:t>
      </w:r>
      <w:r w:rsidR="00DE1A01" w:rsidRPr="00BB165A">
        <w:t xml:space="preserve"> (typically those with</w:t>
      </w:r>
      <w:r w:rsidR="0057794B" w:rsidRPr="00BB165A">
        <w:t xml:space="preserve"> activity-based </w:t>
      </w:r>
      <w:r w:rsidR="00DE1A01" w:rsidRPr="00BB165A">
        <w:t xml:space="preserve">or </w:t>
      </w:r>
      <w:r w:rsidR="0057794B" w:rsidRPr="00BB165A">
        <w:t>bottom-up</w:t>
      </w:r>
      <w:r w:rsidR="00DE1A01" w:rsidRPr="00BB165A">
        <w:t xml:space="preserve"> </w:t>
      </w:r>
      <w:r w:rsidR="0057794B" w:rsidRPr="00BB165A">
        <w:t>methodologies</w:t>
      </w:r>
      <w:r w:rsidR="00DE1A01" w:rsidRPr="00BB165A">
        <w:t xml:space="preserve">). </w:t>
      </w:r>
    </w:p>
    <w:p w14:paraId="42C04C9A" w14:textId="0A8CBACC" w:rsidR="00924B60" w:rsidRPr="00BB165A" w:rsidRDefault="00040457" w:rsidP="007B09DB">
      <w:pPr>
        <w:pStyle w:val="ListBullet"/>
        <w:contextualSpacing w:val="0"/>
      </w:pPr>
      <w:r w:rsidRPr="00BB165A">
        <w:t xml:space="preserve">For any given year there can be </w:t>
      </w:r>
      <w:r w:rsidR="007F15E2" w:rsidRPr="00BB165A">
        <w:t xml:space="preserve">university-specific </w:t>
      </w:r>
      <w:r w:rsidR="00A75973" w:rsidRPr="00BB165A">
        <w:t xml:space="preserve">one-off </w:t>
      </w:r>
      <w:r w:rsidR="007F15E2" w:rsidRPr="00BB165A">
        <w:t xml:space="preserve">costs </w:t>
      </w:r>
      <w:r w:rsidR="0040380D" w:rsidRPr="00BB165A">
        <w:t xml:space="preserve">which limit how </w:t>
      </w:r>
      <w:r w:rsidR="00572272">
        <w:t>meaningful</w:t>
      </w:r>
      <w:r w:rsidR="00572272" w:rsidRPr="00BB165A">
        <w:t xml:space="preserve"> </w:t>
      </w:r>
      <w:r w:rsidR="0040380D" w:rsidRPr="00BB165A">
        <w:t xml:space="preserve">it can be to draw broader conclusions about a university’s operations. </w:t>
      </w:r>
      <w:r w:rsidR="006A3550" w:rsidRPr="00BB165A">
        <w:t xml:space="preserve">For example, </w:t>
      </w:r>
      <w:r w:rsidR="00FD4C6C" w:rsidRPr="00BB165A">
        <w:t xml:space="preserve">non-recurring events, such as </w:t>
      </w:r>
      <w:r w:rsidR="00924B60" w:rsidRPr="00BB165A">
        <w:t>fac</w:t>
      </w:r>
      <w:r w:rsidR="00600531" w:rsidRPr="00BB165A">
        <w:t>ulty restructures, redundancies, creation of</w:t>
      </w:r>
      <w:r w:rsidR="00924B60" w:rsidRPr="00BB165A">
        <w:t xml:space="preserve"> new faculties</w:t>
      </w:r>
      <w:r w:rsidR="00633096" w:rsidRPr="00BB165A">
        <w:t>,</w:t>
      </w:r>
      <w:r w:rsidR="00600531" w:rsidRPr="00BB165A">
        <w:t xml:space="preserve"> or the timing of capital expenditure which may impact </w:t>
      </w:r>
      <w:r w:rsidR="00633096" w:rsidRPr="00BB165A">
        <w:t>a given university’s</w:t>
      </w:r>
      <w:r w:rsidR="00600531" w:rsidRPr="00BB165A">
        <w:t xml:space="preserve"> depreciation profile</w:t>
      </w:r>
      <w:r w:rsidR="00924B60" w:rsidRPr="00BB165A">
        <w:t>.</w:t>
      </w:r>
      <w:r w:rsidR="006A3550" w:rsidRPr="00BB165A">
        <w:t xml:space="preserve"> This can lead to substantial year-to-year variation in financial results. </w:t>
      </w:r>
      <w:r w:rsidR="0040380D" w:rsidRPr="00BB165A">
        <w:t xml:space="preserve">One university suggested </w:t>
      </w:r>
      <w:r w:rsidR="00FD4C6C" w:rsidRPr="00BB165A">
        <w:t>undertak</w:t>
      </w:r>
      <w:r w:rsidR="0040380D" w:rsidRPr="00BB165A">
        <w:t>ing</w:t>
      </w:r>
      <w:r w:rsidR="00FD4C6C" w:rsidRPr="00BB165A">
        <w:t xml:space="preserve"> </w:t>
      </w:r>
      <w:r w:rsidR="00633096" w:rsidRPr="00BB165A">
        <w:t xml:space="preserve">the </w:t>
      </w:r>
      <w:r w:rsidR="00FD4C6C" w:rsidRPr="00BB165A">
        <w:t xml:space="preserve">data collection process over a </w:t>
      </w:r>
      <w:r w:rsidR="0040380D" w:rsidRPr="00BB165A">
        <w:t>three-year</w:t>
      </w:r>
      <w:r w:rsidR="00FD4C6C" w:rsidRPr="00BB165A">
        <w:t xml:space="preserve"> period</w:t>
      </w:r>
      <w:r w:rsidR="00B76EFD" w:rsidRPr="00BB165A">
        <w:t xml:space="preserve"> </w:t>
      </w:r>
      <w:r w:rsidR="0040380D" w:rsidRPr="00BB165A">
        <w:t>to</w:t>
      </w:r>
      <w:r w:rsidR="00B76EFD" w:rsidRPr="00BB165A">
        <w:t xml:space="preserve"> h</w:t>
      </w:r>
      <w:r w:rsidR="00FD4C6C" w:rsidRPr="00BB165A">
        <w:t xml:space="preserve">elp minimise the potential impact of these </w:t>
      </w:r>
      <w:r w:rsidR="00B76EFD" w:rsidRPr="00BB165A">
        <w:t>non-recurring costs</w:t>
      </w:r>
      <w:r w:rsidR="00600531" w:rsidRPr="00BB165A">
        <w:t xml:space="preserve"> by providing a profile of costs for the sector over a longer period of t</w:t>
      </w:r>
      <w:r w:rsidR="00633096" w:rsidRPr="00BB165A">
        <w:t xml:space="preserve">ime. </w:t>
      </w:r>
    </w:p>
    <w:p w14:paraId="65CAC3BB" w14:textId="151C075A" w:rsidR="0064364C" w:rsidRPr="00BB165A" w:rsidRDefault="00ED5C63" w:rsidP="007B09DB">
      <w:pPr>
        <w:pStyle w:val="ListBullet"/>
        <w:contextualSpacing w:val="0"/>
      </w:pPr>
      <w:r w:rsidRPr="00BB165A">
        <w:t>Several issues were raised regarding below the line expenditure</w:t>
      </w:r>
      <w:r w:rsidR="006A3550" w:rsidRPr="00BB165A">
        <w:t>s (i.e. those not recorded in the financial statements)</w:t>
      </w:r>
      <w:r w:rsidRPr="00BB165A">
        <w:t xml:space="preserve">. </w:t>
      </w:r>
      <w:r w:rsidR="00A86696" w:rsidRPr="00BB165A">
        <w:t>According to</w:t>
      </w:r>
      <w:r w:rsidRPr="00BB165A">
        <w:t xml:space="preserve"> one </w:t>
      </w:r>
      <w:r w:rsidR="00386E04" w:rsidRPr="00BB165A">
        <w:t>university</w:t>
      </w:r>
      <w:r w:rsidRPr="00BB165A">
        <w:t xml:space="preserve">, they </w:t>
      </w:r>
      <w:r w:rsidR="003D4E7B" w:rsidRPr="00BB165A">
        <w:t>only included payments made to external placement providers</w:t>
      </w:r>
      <w:r w:rsidR="00386E04" w:rsidRPr="00BB165A">
        <w:t xml:space="preserve"> </w:t>
      </w:r>
      <w:r w:rsidR="00A86696" w:rsidRPr="00BB165A">
        <w:t xml:space="preserve">which </w:t>
      </w:r>
      <w:r w:rsidR="003D4E7B" w:rsidRPr="00BB165A">
        <w:t>understate</w:t>
      </w:r>
      <w:r w:rsidR="00A86696" w:rsidRPr="00BB165A">
        <w:t xml:space="preserve">d </w:t>
      </w:r>
      <w:r w:rsidR="003D4E7B" w:rsidRPr="00BB165A">
        <w:t xml:space="preserve">the overall level of expenditure on placements. </w:t>
      </w:r>
      <w:r w:rsidR="000E0184" w:rsidRPr="00BB165A">
        <w:t>In a similar vein</w:t>
      </w:r>
      <w:r w:rsidR="00AE5BEE" w:rsidRPr="00BB165A">
        <w:t>,</w:t>
      </w:r>
      <w:r w:rsidR="000E0184" w:rsidRPr="00BB165A">
        <w:t xml:space="preserve"> one university noted </w:t>
      </w:r>
      <w:r w:rsidR="006A3550" w:rsidRPr="00BB165A">
        <w:t>voluntary</w:t>
      </w:r>
      <w:r w:rsidR="000E0184" w:rsidRPr="00BB165A">
        <w:t xml:space="preserve"> </w:t>
      </w:r>
      <w:r w:rsidR="00CA04B7" w:rsidRPr="00BB165A">
        <w:t>in-kind</w:t>
      </w:r>
      <w:r w:rsidR="000E0184" w:rsidRPr="00BB165A">
        <w:t xml:space="preserve"> contributions by unpaid staff </w:t>
      </w:r>
      <w:r w:rsidR="00AE5BEE" w:rsidRPr="00BB165A">
        <w:t>were</w:t>
      </w:r>
      <w:r w:rsidR="000E0184" w:rsidRPr="00BB165A">
        <w:t xml:space="preserve"> </w:t>
      </w:r>
      <w:r w:rsidR="00AE5BEE" w:rsidRPr="00BB165A">
        <w:t>difficult</w:t>
      </w:r>
      <w:r w:rsidR="000E0184" w:rsidRPr="00BB165A">
        <w:t xml:space="preserve"> to quantify and </w:t>
      </w:r>
      <w:r w:rsidR="00AE5BEE" w:rsidRPr="00BB165A">
        <w:t xml:space="preserve">were </w:t>
      </w:r>
      <w:r w:rsidR="000E0184" w:rsidRPr="00BB165A">
        <w:t>not captured</w:t>
      </w:r>
      <w:r w:rsidR="00867EF5" w:rsidRPr="00BB165A">
        <w:t xml:space="preserve"> in their submission</w:t>
      </w:r>
      <w:r w:rsidR="000E0184" w:rsidRPr="00BB165A">
        <w:t>.</w:t>
      </w:r>
    </w:p>
    <w:p w14:paraId="481CEB6E" w14:textId="73EF02E8" w:rsidR="003F54CD" w:rsidRPr="00BB165A" w:rsidRDefault="003D4E7B" w:rsidP="007B09DB">
      <w:pPr>
        <w:pStyle w:val="ListBullet"/>
        <w:contextualSpacing w:val="0"/>
      </w:pPr>
      <w:r w:rsidRPr="00BB165A">
        <w:t xml:space="preserve">A small number of universities discussed </w:t>
      </w:r>
      <w:r w:rsidR="002D3309" w:rsidRPr="00BB165A">
        <w:t xml:space="preserve">the potential for a greater focus on capital costs. This includes the potential for the consideration of a </w:t>
      </w:r>
      <w:r w:rsidR="00E2749E" w:rsidRPr="00BB165A">
        <w:t xml:space="preserve">margin for </w:t>
      </w:r>
      <w:r w:rsidR="00FF6DDB" w:rsidRPr="00BB165A">
        <w:t xml:space="preserve">sustainability and investment (see section </w:t>
      </w:r>
      <w:r w:rsidR="00FF6DDB" w:rsidRPr="00BB165A">
        <w:fldChar w:fldCharType="begin"/>
      </w:r>
      <w:r w:rsidR="00FF6DDB" w:rsidRPr="00BB165A">
        <w:instrText xml:space="preserve"> REF _Ref102580574 \r \h </w:instrText>
      </w:r>
      <w:r w:rsidR="00E83797" w:rsidRPr="00BB165A">
        <w:instrText xml:space="preserve"> \* MERGEFORMAT </w:instrText>
      </w:r>
      <w:r w:rsidR="00FF6DDB" w:rsidRPr="00BB165A">
        <w:fldChar w:fldCharType="separate"/>
      </w:r>
      <w:r w:rsidR="00E83FB1">
        <w:t>4.3</w:t>
      </w:r>
      <w:r w:rsidR="00FF6DDB" w:rsidRPr="00BB165A">
        <w:fldChar w:fldCharType="end"/>
      </w:r>
      <w:r w:rsidR="00FF6DDB" w:rsidRPr="00BB165A">
        <w:t>).</w:t>
      </w:r>
      <w:r w:rsidR="003F54CD" w:rsidRPr="00BB165A">
        <w:t xml:space="preserve"> </w:t>
      </w:r>
      <w:r w:rsidR="00043061" w:rsidRPr="00BB165A">
        <w:t xml:space="preserve">Establishing a process for an appropriate margin would require significant preparatory work in understanding current </w:t>
      </w:r>
      <w:r w:rsidR="00854C66" w:rsidRPr="00BB165A">
        <w:t>university assets and maintenance backlogs</w:t>
      </w:r>
      <w:r w:rsidR="00CC2CAB" w:rsidRPr="00BB165A">
        <w:t xml:space="preserve"> </w:t>
      </w:r>
      <w:r w:rsidR="00854C66" w:rsidRPr="00BB165A">
        <w:t xml:space="preserve">– which is beyond the scope of the current </w:t>
      </w:r>
      <w:r w:rsidR="008D12AC" w:rsidRPr="00BB165A">
        <w:t xml:space="preserve">Transparency in Higher Education Expenditure exercise. </w:t>
      </w:r>
    </w:p>
    <w:p w14:paraId="45ED5178" w14:textId="5DE46B84" w:rsidR="007161EA" w:rsidRPr="00BB165A" w:rsidRDefault="00CA04B7" w:rsidP="00930D9E">
      <w:pPr>
        <w:pStyle w:val="ListBullet"/>
        <w:contextualSpacing w:val="0"/>
      </w:pPr>
      <w:r w:rsidRPr="00BB165A">
        <w:t xml:space="preserve">Another concern raised by a university was </w:t>
      </w:r>
      <w:r w:rsidR="007161EA" w:rsidRPr="00BB165A">
        <w:t xml:space="preserve">that current funding caps are </w:t>
      </w:r>
      <w:r w:rsidR="00E25F6E" w:rsidRPr="00BB165A">
        <w:t>requiring universities to reduce costs in areas outside the scope of this exercise (e.g. research)</w:t>
      </w:r>
      <w:r w:rsidR="00EE7C25" w:rsidRPr="00BB165A">
        <w:t xml:space="preserve"> </w:t>
      </w:r>
      <w:r w:rsidR="00895871" w:rsidRPr="00BB165A">
        <w:t xml:space="preserve">in order to maintain current teaching standards and student </w:t>
      </w:r>
      <w:r w:rsidR="002C49B6" w:rsidRPr="00BB165A">
        <w:t>outcomes</w:t>
      </w:r>
      <w:r w:rsidR="00B16B98">
        <w:t xml:space="preserve"> and there is some evidence for this in the fact that teaching costs grew slightly in 2020 against a backdrop of a small decline in overall continuing expenditure</w:t>
      </w:r>
      <w:r w:rsidR="002C49B6" w:rsidRPr="00BB165A">
        <w:t xml:space="preserve">. </w:t>
      </w:r>
      <w:r w:rsidR="00094FA8">
        <w:t xml:space="preserve">Although, it is important to note that this </w:t>
      </w:r>
      <w:r w:rsidR="00E61E82">
        <w:t>increase in teaching costs</w:t>
      </w:r>
      <w:r w:rsidR="00094FA8">
        <w:t xml:space="preserve"> could be a result of </w:t>
      </w:r>
      <w:r w:rsidR="00E16B8C">
        <w:t>university responses to the</w:t>
      </w:r>
      <w:r w:rsidR="006C6191">
        <w:t xml:space="preserve"> COVID-19</w:t>
      </w:r>
      <w:r w:rsidR="00E16B8C">
        <w:t xml:space="preserve"> pandemic</w:t>
      </w:r>
      <w:r w:rsidR="006C6191">
        <w:t xml:space="preserve">. </w:t>
      </w:r>
    </w:p>
    <w:p w14:paraId="53A3A194" w14:textId="55C93545" w:rsidR="00406DE3" w:rsidRPr="00BB165A" w:rsidRDefault="00D246FD" w:rsidP="007B09DB">
      <w:pPr>
        <w:pStyle w:val="ListBullet"/>
        <w:contextualSpacing w:val="0"/>
      </w:pPr>
      <w:r w:rsidRPr="00BB165A">
        <w:t>A</w:t>
      </w:r>
      <w:r w:rsidR="00924B60" w:rsidRPr="00BB165A">
        <w:t xml:space="preserve"> number of universities raised concerns about</w:t>
      </w:r>
      <w:r w:rsidR="00D17D11" w:rsidRPr="00BB165A">
        <w:t xml:space="preserve"> how the results would be presented and whether individual </w:t>
      </w:r>
      <w:r w:rsidR="00F53BE6" w:rsidRPr="00BB165A">
        <w:t>universities</w:t>
      </w:r>
      <w:r w:rsidR="00D17D11" w:rsidRPr="00BB165A">
        <w:t xml:space="preserve"> would be </w:t>
      </w:r>
      <w:r w:rsidR="00F53BE6" w:rsidRPr="00BB165A">
        <w:t>identified</w:t>
      </w:r>
      <w:r w:rsidR="0006247B" w:rsidRPr="00BB165A">
        <w:t>, either now or in the future</w:t>
      </w:r>
      <w:r w:rsidR="00F53BE6" w:rsidRPr="00BB165A">
        <w:t xml:space="preserve">. They often emphasised that </w:t>
      </w:r>
      <w:r w:rsidR="00F2093F" w:rsidRPr="00BB165A">
        <w:t xml:space="preserve">contextual </w:t>
      </w:r>
      <w:r w:rsidR="00F53BE6" w:rsidRPr="00BB165A">
        <w:t>factors should be considered</w:t>
      </w:r>
      <w:r w:rsidR="0006247B" w:rsidRPr="00BB165A">
        <w:t xml:space="preserve"> when presenting results</w:t>
      </w:r>
      <w:r w:rsidR="00F53BE6" w:rsidRPr="00BB165A">
        <w:t xml:space="preserve"> </w:t>
      </w:r>
      <w:r w:rsidR="00CF6A3E" w:rsidRPr="00BB165A">
        <w:t>such as</w:t>
      </w:r>
      <w:r w:rsidR="00F53BE6" w:rsidRPr="00BB165A">
        <w:t xml:space="preserve"> clear statements that are published along with the data to ensure that users understand the data</w:t>
      </w:r>
      <w:r w:rsidR="00CF6A3E" w:rsidRPr="00BB165A">
        <w:t xml:space="preserve">, </w:t>
      </w:r>
      <w:r w:rsidR="00F53BE6" w:rsidRPr="00BB165A">
        <w:t>how to compare it</w:t>
      </w:r>
      <w:r w:rsidR="00CF6A3E" w:rsidRPr="00BB165A">
        <w:t xml:space="preserve"> and proper contextual factors.</w:t>
      </w:r>
      <w:r w:rsidRPr="00BB165A">
        <w:t xml:space="preserve"> </w:t>
      </w:r>
      <w:r w:rsidR="00924B60" w:rsidRPr="00BB165A">
        <w:t>In particular</w:t>
      </w:r>
      <w:r w:rsidR="000B1CD7" w:rsidRPr="00BB165A">
        <w:t>,</w:t>
      </w:r>
      <w:r w:rsidR="00924B60" w:rsidRPr="00BB165A">
        <w:t xml:space="preserve"> some universities </w:t>
      </w:r>
      <w:r w:rsidR="00CE4A21" w:rsidRPr="00BB165A">
        <w:t>preferred that</w:t>
      </w:r>
      <w:r w:rsidR="00924B60" w:rsidRPr="00BB165A">
        <w:t xml:space="preserve"> cost information be </w:t>
      </w:r>
      <w:r w:rsidR="00633096" w:rsidRPr="00BB165A">
        <w:t xml:space="preserve">presented </w:t>
      </w:r>
      <w:r w:rsidR="00924B60" w:rsidRPr="00BB165A">
        <w:t>alongside quality measures,</w:t>
      </w:r>
      <w:r w:rsidR="00633096" w:rsidRPr="00BB165A">
        <w:t xml:space="preserve"> such as student satisfaction, student success and graduate outcomes</w:t>
      </w:r>
      <w:r w:rsidR="00971C2B" w:rsidRPr="00BB165A">
        <w:t xml:space="preserve"> before any assessment of the reasonableness or efficiency of </w:t>
      </w:r>
      <w:r w:rsidR="00CC27C7" w:rsidRPr="00BB165A">
        <w:t>university</w:t>
      </w:r>
      <w:r w:rsidR="00971C2B" w:rsidRPr="00BB165A">
        <w:t xml:space="preserve"> costs can be drawn from the data.</w:t>
      </w:r>
      <w:r w:rsidR="00151666" w:rsidRPr="00BB165A">
        <w:t xml:space="preserve"> </w:t>
      </w:r>
    </w:p>
    <w:p w14:paraId="0A43175F" w14:textId="5FEFCC21" w:rsidR="00924B60" w:rsidRPr="00BB165A" w:rsidRDefault="00924B60" w:rsidP="00691B65">
      <w:pPr>
        <w:pStyle w:val="HeadingB"/>
      </w:pPr>
      <w:r w:rsidRPr="00BB165A">
        <w:t>Challenges in comparing results across universities</w:t>
      </w:r>
    </w:p>
    <w:p w14:paraId="7EBFEEFA" w14:textId="77777777" w:rsidR="00924B60" w:rsidRPr="00024B7D" w:rsidRDefault="00924B60" w:rsidP="00924B60">
      <w:r w:rsidRPr="00BB165A">
        <w:t xml:space="preserve">In addition to </w:t>
      </w:r>
      <w:r w:rsidR="0034051F" w:rsidRPr="00BB165A">
        <w:t>the items noted above</w:t>
      </w:r>
      <w:r w:rsidRPr="00BB165A">
        <w:t xml:space="preserve">, many universities </w:t>
      </w:r>
      <w:r w:rsidR="0034051F" w:rsidRPr="00BB165A">
        <w:t>commented on</w:t>
      </w:r>
      <w:r w:rsidRPr="00BB165A">
        <w:t xml:space="preserve"> the validity of comparing results across the sector</w:t>
      </w:r>
      <w:r w:rsidR="0034051F" w:rsidRPr="00BB165A">
        <w:t>.</w:t>
      </w:r>
      <w:r w:rsidR="0034051F" w:rsidRPr="00024B7D">
        <w:t xml:space="preserve"> </w:t>
      </w:r>
    </w:p>
    <w:p w14:paraId="243FF651" w14:textId="77777777" w:rsidR="00E26A40" w:rsidRPr="00BB165A" w:rsidRDefault="00E26A40" w:rsidP="00E26A40">
      <w:r w:rsidRPr="00BB165A">
        <w:t>Universities raised concerns around the extent to which differences in costs across the sector might be driven by differences in methodologies and the sophistication of cost allocation models. As discussed previously, several universities are unable to differentiate between costs at different levels of study within an FOE. Questions were also raised about the potential for the results to be driven by different degrees in accuracy of allocating costs between teaching and research, although approaches to estimating these components were discussed in the course of university consultations.</w:t>
      </w:r>
    </w:p>
    <w:p w14:paraId="34A0861B" w14:textId="4F8D5473" w:rsidR="00505BE2" w:rsidRPr="00BB165A" w:rsidRDefault="00F3261F" w:rsidP="004A5951">
      <w:r w:rsidRPr="00BB165A">
        <w:t>It was also noted that some universities</w:t>
      </w:r>
      <w:r w:rsidR="001D7EEF" w:rsidRPr="00BB165A">
        <w:t xml:space="preserve"> have been involved in this exercise for several years, while others are undertaking it for the first time. As such</w:t>
      </w:r>
      <w:r w:rsidRPr="00BB165A">
        <w:t>,</w:t>
      </w:r>
      <w:r w:rsidR="001D7EEF" w:rsidRPr="00BB165A">
        <w:t xml:space="preserve"> </w:t>
      </w:r>
      <w:r w:rsidR="00574FF2" w:rsidRPr="00BB165A">
        <w:t xml:space="preserve">costing expertise </w:t>
      </w:r>
      <w:r w:rsidR="001D7EEF" w:rsidRPr="00BB165A">
        <w:t>can</w:t>
      </w:r>
      <w:r w:rsidR="00574FF2" w:rsidRPr="00BB165A">
        <w:t xml:space="preserve"> vary from </w:t>
      </w:r>
      <w:r w:rsidR="00F97480" w:rsidRPr="00BB165A">
        <w:t xml:space="preserve">across </w:t>
      </w:r>
      <w:r w:rsidR="009F7B38" w:rsidRPr="00BB165A">
        <w:t>universities</w:t>
      </w:r>
      <w:r w:rsidR="00574FF2" w:rsidRPr="00BB165A">
        <w:t xml:space="preserve"> as some institutions have a history of </w:t>
      </w:r>
      <w:r w:rsidR="001D7EEF" w:rsidRPr="00BB165A">
        <w:t>sophisticated</w:t>
      </w:r>
      <w:r w:rsidR="00574FF2" w:rsidRPr="00BB165A">
        <w:t xml:space="preserve"> methodologies</w:t>
      </w:r>
      <w:r w:rsidR="001D7EEF" w:rsidRPr="00BB165A">
        <w:t xml:space="preserve"> (e.g. </w:t>
      </w:r>
      <w:r w:rsidR="0018431D" w:rsidRPr="00BB165A">
        <w:t>ABC</w:t>
      </w:r>
      <w:r w:rsidR="001D7EEF" w:rsidRPr="00BB165A">
        <w:t xml:space="preserve"> models)</w:t>
      </w:r>
      <w:r w:rsidR="00574FF2" w:rsidRPr="00BB165A">
        <w:t xml:space="preserve"> being </w:t>
      </w:r>
      <w:r w:rsidR="001D7EEF" w:rsidRPr="00BB165A">
        <w:t>used</w:t>
      </w:r>
      <w:r w:rsidR="00574FF2" w:rsidRPr="00BB165A">
        <w:t xml:space="preserve"> for</w:t>
      </w:r>
      <w:r w:rsidR="001D7EEF" w:rsidRPr="00BB165A">
        <w:t xml:space="preserve"> both</w:t>
      </w:r>
      <w:r w:rsidR="00574FF2" w:rsidRPr="00BB165A">
        <w:t xml:space="preserve"> internal decision-making and </w:t>
      </w:r>
      <w:r w:rsidR="00F13455" w:rsidRPr="00BB165A">
        <w:t>for prior years</w:t>
      </w:r>
      <w:r w:rsidR="00056077">
        <w:t>’</w:t>
      </w:r>
      <w:r w:rsidR="00F13455" w:rsidRPr="00BB165A">
        <w:t xml:space="preserve"> data collection.</w:t>
      </w:r>
      <w:r w:rsidR="0018431D" w:rsidRPr="00BB165A">
        <w:t xml:space="preserve"> Therefore, having</w:t>
      </w:r>
      <w:r w:rsidR="00574FF2" w:rsidRPr="00BB165A">
        <w:t xml:space="preserve"> sophisticated systems </w:t>
      </w:r>
      <w:r w:rsidR="0018431D" w:rsidRPr="00BB165A">
        <w:t>already in</w:t>
      </w:r>
      <w:r w:rsidR="00574FF2" w:rsidRPr="00BB165A">
        <w:t xml:space="preserve"> place </w:t>
      </w:r>
      <w:r w:rsidR="0018431D" w:rsidRPr="00BB165A">
        <w:t>can make it easier to</w:t>
      </w:r>
      <w:r w:rsidR="00574FF2" w:rsidRPr="00BB165A">
        <w:t xml:space="preserve"> produce high quality data relatively easily. </w:t>
      </w:r>
    </w:p>
    <w:p w14:paraId="10101009" w14:textId="46902F05" w:rsidR="00993B43" w:rsidRPr="00BB165A" w:rsidRDefault="00574FF2" w:rsidP="004A5951">
      <w:r w:rsidRPr="00BB165A">
        <w:t xml:space="preserve">Other universities are less equipped and will have needed to develop </w:t>
      </w:r>
      <w:r w:rsidR="0018431D" w:rsidRPr="00BB165A">
        <w:t>more</w:t>
      </w:r>
      <w:r w:rsidRPr="00BB165A">
        <w:t xml:space="preserve"> ad hoc </w:t>
      </w:r>
      <w:r w:rsidR="0018431D" w:rsidRPr="00BB165A">
        <w:t>methods</w:t>
      </w:r>
      <w:r w:rsidRPr="00BB165A">
        <w:t xml:space="preserve"> for collating </w:t>
      </w:r>
      <w:r w:rsidR="00466041" w:rsidRPr="00BB165A">
        <w:t>the</w:t>
      </w:r>
      <w:r w:rsidRPr="00BB165A">
        <w:t xml:space="preserve"> data</w:t>
      </w:r>
      <w:r w:rsidR="0018431D" w:rsidRPr="00BB165A">
        <w:t xml:space="preserve"> </w:t>
      </w:r>
      <w:r w:rsidR="00BD6BDB">
        <w:t>in the</w:t>
      </w:r>
      <w:r w:rsidR="006A5C33">
        <w:t>ir</w:t>
      </w:r>
      <w:r w:rsidR="00BD6BDB">
        <w:t xml:space="preserve"> first year of participation</w:t>
      </w:r>
      <w:r w:rsidRPr="00BB165A">
        <w:t xml:space="preserve">. This </w:t>
      </w:r>
      <w:r w:rsidR="0018431D" w:rsidRPr="00BB165A">
        <w:t>could then</w:t>
      </w:r>
      <w:r w:rsidRPr="00BB165A">
        <w:t xml:space="preserve"> </w:t>
      </w:r>
      <w:r w:rsidR="0018431D" w:rsidRPr="00BB165A">
        <w:t>create</w:t>
      </w:r>
      <w:r w:rsidRPr="00BB165A">
        <w:t xml:space="preserve"> some disparity in the quality of data </w:t>
      </w:r>
      <w:r w:rsidR="00C52082" w:rsidRPr="00BB165A">
        <w:t>collected</w:t>
      </w:r>
      <w:r w:rsidRPr="00BB165A">
        <w:t>.</w:t>
      </w:r>
    </w:p>
    <w:p w14:paraId="79B07A09" w14:textId="28867CF4" w:rsidR="00DC5D5E" w:rsidRPr="0041101C" w:rsidRDefault="00DC5D5E" w:rsidP="007E3102">
      <w:r w:rsidRPr="00BB165A">
        <w:t xml:space="preserve">Another issue raised </w:t>
      </w:r>
      <w:r w:rsidR="0041101C" w:rsidRPr="00BB165A">
        <w:t>was</w:t>
      </w:r>
      <w:r w:rsidRPr="00BB165A">
        <w:t xml:space="preserve"> the concept of ‘teaching scholarship’</w:t>
      </w:r>
      <w:r w:rsidR="0041101C" w:rsidRPr="00BB165A">
        <w:t xml:space="preserve"> and the subjective nature of the term leading to different interpretations and variability between universities. It was also noted that it can be difficult to disentangle teaching scholarship from an academic’s research time.</w:t>
      </w:r>
      <w:r w:rsidR="0082285C">
        <w:t xml:space="preserve"> </w:t>
      </w:r>
      <w:r w:rsidR="0041101C" w:rsidRPr="00BB165A">
        <w:t>While this is a valid concern, the purpose of the consultations and Guidelines were to ensure a consistent definition of scholarship was adopted across the sector with the intent of improving comparability. The exclusion of scholarship would also run the risk of reducing comparability in results over time.</w:t>
      </w:r>
    </w:p>
    <w:p w14:paraId="6B138069" w14:textId="7E70BB58" w:rsidR="00483A1D" w:rsidRPr="00BB165A" w:rsidRDefault="000A5B1C">
      <w:r w:rsidRPr="00BB165A">
        <w:t xml:space="preserve">Other concerns related to the inclusion </w:t>
      </w:r>
      <w:r w:rsidR="00FF4D33" w:rsidRPr="00BB165A">
        <w:t xml:space="preserve">of additional and optional line items </w:t>
      </w:r>
      <w:r w:rsidRPr="00BB165A">
        <w:t xml:space="preserve">which could </w:t>
      </w:r>
      <w:r w:rsidR="00FE0B85">
        <w:t>reduce comparability of</w:t>
      </w:r>
      <w:r w:rsidR="00FF4D33" w:rsidRPr="00BB165A">
        <w:t xml:space="preserve"> costs due to inconsistencies in approaches across universities.</w:t>
      </w:r>
      <w:r w:rsidR="007E3102" w:rsidRPr="00BB165A">
        <w:t xml:space="preserve"> </w:t>
      </w:r>
      <w:r w:rsidRPr="00BB165A">
        <w:t>One university also expressed caution</w:t>
      </w:r>
      <w:r w:rsidR="007E3102" w:rsidRPr="00BB165A">
        <w:t xml:space="preserve"> about </w:t>
      </w:r>
      <w:r w:rsidRPr="00BB165A">
        <w:t>comparing results to</w:t>
      </w:r>
      <w:r w:rsidR="007E3102" w:rsidRPr="00BB165A">
        <w:t xml:space="preserve"> international </w:t>
      </w:r>
      <w:r w:rsidR="000A1274" w:rsidRPr="00BB165A">
        <w:t>jurisdictions</w:t>
      </w:r>
      <w:r w:rsidR="007E3102" w:rsidRPr="00BB165A">
        <w:t xml:space="preserve"> </w:t>
      </w:r>
      <w:r w:rsidRPr="00BB165A">
        <w:t>noting that it would be</w:t>
      </w:r>
      <w:r w:rsidR="007E3102" w:rsidRPr="00BB165A">
        <w:t xml:space="preserve"> very difficult to compare </w:t>
      </w:r>
      <w:r w:rsidRPr="00BB165A">
        <w:t xml:space="preserve">to overseas universities. </w:t>
      </w:r>
    </w:p>
    <w:p w14:paraId="10EB829D" w14:textId="77777777" w:rsidR="00924B60" w:rsidRPr="007F2F0B" w:rsidRDefault="00C11E1C">
      <w:r w:rsidRPr="00BB165A">
        <w:t>Questions were also raised regarding the extent to which differences in costs across the sector are likely to be driven by contextual factors at a university level, and by</w:t>
      </w:r>
      <w:r w:rsidR="00F75331" w:rsidRPr="00BB165A">
        <w:t xml:space="preserve"> </w:t>
      </w:r>
      <w:r w:rsidRPr="00BB165A">
        <w:t xml:space="preserve">differences in strategic objectives. </w:t>
      </w:r>
      <w:r w:rsidR="00F75331" w:rsidRPr="00BB165A">
        <w:t>F</w:t>
      </w:r>
      <w:r w:rsidR="00924B60" w:rsidRPr="00BB165A">
        <w:t>actors</w:t>
      </w:r>
      <w:r w:rsidR="00F75331" w:rsidRPr="00BB165A">
        <w:t xml:space="preserve"> that were noted by universities included</w:t>
      </w:r>
      <w:r w:rsidR="00924B60" w:rsidRPr="00BB165A">
        <w:t>:</w:t>
      </w:r>
      <w:r w:rsidR="00924B60" w:rsidRPr="007F2F0B">
        <w:t xml:space="preserve"> </w:t>
      </w:r>
    </w:p>
    <w:p w14:paraId="35FE84C6" w14:textId="17EA0827" w:rsidR="00924B60" w:rsidRPr="00BB165A" w:rsidRDefault="007F2F0B" w:rsidP="007B09DB">
      <w:pPr>
        <w:pStyle w:val="ListBullet"/>
        <w:numPr>
          <w:ilvl w:val="0"/>
          <w:numId w:val="32"/>
        </w:numPr>
      </w:pPr>
      <w:r w:rsidRPr="00BB165A">
        <w:t>Scale</w:t>
      </w:r>
      <w:r w:rsidR="00971C2B" w:rsidRPr="00BB165A">
        <w:t xml:space="preserve"> </w:t>
      </w:r>
      <w:r w:rsidR="00C535AE" w:rsidRPr="00BB165A">
        <w:t xml:space="preserve">(universities with </w:t>
      </w:r>
      <w:r w:rsidR="005C14FC" w:rsidRPr="00BB165A">
        <w:t>higher</w:t>
      </w:r>
      <w:r w:rsidR="00C535AE" w:rsidRPr="00BB165A">
        <w:t xml:space="preserve"> EFTSL could spread capital and other fixed costs across more students resulting in lower costs per EFTSL)</w:t>
      </w:r>
    </w:p>
    <w:p w14:paraId="003866B4" w14:textId="038B760B" w:rsidR="00924B60" w:rsidRPr="00BB165A" w:rsidRDefault="007F2F0B" w:rsidP="007B09DB">
      <w:pPr>
        <w:pStyle w:val="ListBullet"/>
        <w:numPr>
          <w:ilvl w:val="0"/>
          <w:numId w:val="32"/>
        </w:numPr>
      </w:pPr>
      <w:r w:rsidRPr="00BB165A">
        <w:t>Capital footprint</w:t>
      </w:r>
      <w:r w:rsidR="005C14FC" w:rsidRPr="00BB165A">
        <w:t xml:space="preserve"> </w:t>
      </w:r>
      <w:r w:rsidR="00C52082" w:rsidRPr="00BB165A">
        <w:t>(universities differ in the amount of capital investments for several reasons, including the size of the campus, research intensity and strategic goals)</w:t>
      </w:r>
    </w:p>
    <w:p w14:paraId="0EC8BD31" w14:textId="77777777" w:rsidR="008D126E" w:rsidRPr="00BB165A" w:rsidRDefault="00924B60" w:rsidP="007B09DB">
      <w:pPr>
        <w:pStyle w:val="ListBullet"/>
        <w:numPr>
          <w:ilvl w:val="0"/>
          <w:numId w:val="32"/>
        </w:numPr>
      </w:pPr>
      <w:r w:rsidRPr="00BB165A">
        <w:t>Regional presence</w:t>
      </w:r>
      <w:r w:rsidR="00C11E1C" w:rsidRPr="00BB165A">
        <w:t>,</w:t>
      </w:r>
      <w:r w:rsidRPr="00BB165A">
        <w:t xml:space="preserve"> which could raise the cost of certain types of delivery and may require universities to provide a range of </w:t>
      </w:r>
      <w:r w:rsidR="00C11E1C" w:rsidRPr="00BB165A">
        <w:t xml:space="preserve">support </w:t>
      </w:r>
      <w:r w:rsidR="007F2F0B" w:rsidRPr="00BB165A">
        <w:t xml:space="preserve">services. </w:t>
      </w:r>
    </w:p>
    <w:p w14:paraId="460EC450" w14:textId="7951D9DF" w:rsidR="00924B60" w:rsidRPr="00BB165A" w:rsidRDefault="007F2F0B" w:rsidP="007B09DB">
      <w:pPr>
        <w:pStyle w:val="ListBullet"/>
        <w:numPr>
          <w:ilvl w:val="1"/>
          <w:numId w:val="32"/>
        </w:numPr>
      </w:pPr>
      <w:r w:rsidRPr="00BB165A">
        <w:t>On the other hand</w:t>
      </w:r>
      <w:r w:rsidR="008D126E" w:rsidRPr="00BB165A">
        <w:t>,</w:t>
      </w:r>
      <w:r w:rsidRPr="00BB165A">
        <w:t xml:space="preserve"> some universities operating campuses in the CBD of larger cities </w:t>
      </w:r>
      <w:r w:rsidR="00F3647F" w:rsidRPr="00BB165A">
        <w:t xml:space="preserve">could </w:t>
      </w:r>
      <w:r w:rsidR="00397C8C" w:rsidRPr="00BB165A">
        <w:t>have high</w:t>
      </w:r>
      <w:r w:rsidRPr="00BB165A">
        <w:t xml:space="preserve"> </w:t>
      </w:r>
      <w:r w:rsidR="0082285C" w:rsidRPr="00BB165A">
        <w:t>costs</w:t>
      </w:r>
      <w:r w:rsidRPr="00BB165A">
        <w:t xml:space="preserve"> reflecting in part the cost of </w:t>
      </w:r>
      <w:r w:rsidR="00A5562E" w:rsidRPr="00BB165A">
        <w:t>operating</w:t>
      </w:r>
      <w:r w:rsidRPr="00BB165A">
        <w:t xml:space="preserve"> in those cities</w:t>
      </w:r>
      <w:r w:rsidR="004D5FBD" w:rsidRPr="00BB165A">
        <w:t xml:space="preserve"> </w:t>
      </w:r>
      <w:r w:rsidRPr="00BB165A">
        <w:t>- which may impact both staff costs and the costs of leasing facilities</w:t>
      </w:r>
    </w:p>
    <w:p w14:paraId="47753771" w14:textId="54203C9E" w:rsidR="00924B60" w:rsidRPr="00BB165A" w:rsidRDefault="00924B60" w:rsidP="007B09DB">
      <w:pPr>
        <w:pStyle w:val="ListBullet"/>
        <w:numPr>
          <w:ilvl w:val="0"/>
          <w:numId w:val="32"/>
        </w:numPr>
      </w:pPr>
      <w:r w:rsidRPr="00BB165A">
        <w:t>The proportion of international students</w:t>
      </w:r>
      <w:r w:rsidR="00C11E1C" w:rsidRPr="00BB165A">
        <w:t>,</w:t>
      </w:r>
      <w:r w:rsidRPr="00BB165A">
        <w:t xml:space="preserve"> which may help fund greater expenditure on teaching and scholarship but also create some international student specific te</w:t>
      </w:r>
      <w:r w:rsidR="007F2F0B" w:rsidRPr="00BB165A">
        <w:t>aching costs</w:t>
      </w:r>
    </w:p>
    <w:p w14:paraId="788B98A2" w14:textId="0D48DEBF" w:rsidR="00CA5FD8" w:rsidRPr="00BB165A" w:rsidRDefault="00CA5FD8" w:rsidP="007B09DB">
      <w:pPr>
        <w:pStyle w:val="ListBullet"/>
        <w:numPr>
          <w:ilvl w:val="1"/>
          <w:numId w:val="32"/>
        </w:numPr>
      </w:pPr>
      <w:r>
        <w:t xml:space="preserve">One university noted </w:t>
      </w:r>
      <w:r w:rsidR="007B4AF8">
        <w:t>that</w:t>
      </w:r>
      <w:r>
        <w:t xml:space="preserve"> international students are viewed as a necessity to help </w:t>
      </w:r>
      <w:r w:rsidR="00475C95">
        <w:t xml:space="preserve">cover </w:t>
      </w:r>
      <w:r>
        <w:t>an apportionment of fixed overheads associated with the cost of teaching. Whil</w:t>
      </w:r>
      <w:r w:rsidR="00467914">
        <w:t>e</w:t>
      </w:r>
      <w:r>
        <w:t xml:space="preserve"> they do carry an incremental recruitment and support cost, </w:t>
      </w:r>
      <w:r w:rsidR="00167F72">
        <w:t>without</w:t>
      </w:r>
      <w:r>
        <w:t xml:space="preserve"> international students, </w:t>
      </w:r>
      <w:r w:rsidR="00167F72">
        <w:t>the</w:t>
      </w:r>
      <w:r>
        <w:t xml:space="preserve"> cost </w:t>
      </w:r>
      <w:r w:rsidR="003E1E0A">
        <w:t xml:space="preserve">per EFTSL </w:t>
      </w:r>
      <w:r>
        <w:t xml:space="preserve">would be significantly higher. </w:t>
      </w:r>
    </w:p>
    <w:p w14:paraId="76DCCCE1" w14:textId="0D03596F" w:rsidR="00924B60" w:rsidRPr="00BB165A" w:rsidRDefault="00924B60" w:rsidP="00F1455C">
      <w:pPr>
        <w:pStyle w:val="ListBullet"/>
        <w:numPr>
          <w:ilvl w:val="0"/>
          <w:numId w:val="32"/>
        </w:numPr>
      </w:pPr>
      <w:r w:rsidRPr="00BB165A">
        <w:t xml:space="preserve">The </w:t>
      </w:r>
      <w:r w:rsidR="00321A0A" w:rsidRPr="00BB165A">
        <w:t>research profile of a university (while research costs are excluded from the exercise</w:t>
      </w:r>
      <w:r w:rsidR="00E45C74">
        <w:t>,</w:t>
      </w:r>
      <w:r w:rsidR="00321A0A" w:rsidRPr="00BB165A">
        <w:t xml:space="preserve"> universities have noted above that it is difficult to split teaching and </w:t>
      </w:r>
      <w:r w:rsidR="00C535AE" w:rsidRPr="00BB165A">
        <w:t>research</w:t>
      </w:r>
      <w:r w:rsidR="00321A0A" w:rsidRPr="00BB165A">
        <w:t xml:space="preserve"> costs</w:t>
      </w:r>
      <w:r w:rsidR="00C535AE" w:rsidRPr="00BB165A">
        <w:t xml:space="preserve"> and could affect results</w:t>
      </w:r>
      <w:r w:rsidR="00321A0A" w:rsidRPr="00BB165A">
        <w:t xml:space="preserve">) </w:t>
      </w:r>
    </w:p>
    <w:p w14:paraId="0FACC3FC" w14:textId="0FA91944" w:rsidR="00924B60" w:rsidRPr="00BB165A" w:rsidRDefault="00D1643B" w:rsidP="007B09DB">
      <w:pPr>
        <w:pStyle w:val="ListBullet"/>
        <w:numPr>
          <w:ilvl w:val="0"/>
          <w:numId w:val="32"/>
        </w:numPr>
      </w:pPr>
      <w:r w:rsidRPr="00BB165A">
        <w:t>Different</w:t>
      </w:r>
      <w:r w:rsidR="007F2F0B" w:rsidRPr="00BB165A">
        <w:t xml:space="preserve"> delivery modes</w:t>
      </w:r>
      <w:r w:rsidR="003E09A3" w:rsidRPr="00BB165A">
        <w:t xml:space="preserve"> (costs per EFTSL can vary significantly depending on delivery methods</w:t>
      </w:r>
      <w:r w:rsidR="00167F72" w:rsidRPr="00BB165A">
        <w:t xml:space="preserve">, for example </w:t>
      </w:r>
      <w:r w:rsidR="003E09A3" w:rsidRPr="00BB165A">
        <w:t>higher online content, lab time and the associated investment to develop and deliver alternative teaching methods)</w:t>
      </w:r>
    </w:p>
    <w:p w14:paraId="50DD4BF9" w14:textId="3E2ABF46" w:rsidR="00321A0A" w:rsidRPr="00BB165A" w:rsidRDefault="00D1643B" w:rsidP="007B09DB">
      <w:pPr>
        <w:pStyle w:val="ListBullet"/>
        <w:numPr>
          <w:ilvl w:val="0"/>
          <w:numId w:val="32"/>
        </w:numPr>
      </w:pPr>
      <w:r w:rsidRPr="00BB165A">
        <w:t>Differing e</w:t>
      </w:r>
      <w:r w:rsidR="00321A0A" w:rsidRPr="00BB165A">
        <w:t>nrolment density</w:t>
      </w:r>
      <w:r w:rsidR="00C535AE" w:rsidRPr="00BB165A">
        <w:t xml:space="preserve"> </w:t>
      </w:r>
      <w:r w:rsidR="00321A0A" w:rsidRPr="00BB165A">
        <w:t xml:space="preserve">(i.e. a high proportion of student EFTSL are studying part-time). Therefore, the student headcount </w:t>
      </w:r>
      <w:r w:rsidRPr="00BB165A">
        <w:t>would</w:t>
      </w:r>
      <w:r w:rsidR="00321A0A" w:rsidRPr="00BB165A">
        <w:t xml:space="preserve"> </w:t>
      </w:r>
      <w:r w:rsidR="00F1455C" w:rsidRPr="00BB165A">
        <w:t>significantly be</w:t>
      </w:r>
      <w:r w:rsidR="00321A0A" w:rsidRPr="00BB165A">
        <w:t xml:space="preserve"> different to EFTSL</w:t>
      </w:r>
      <w:r w:rsidRPr="00BB165A">
        <w:t xml:space="preserve">, which would have </w:t>
      </w:r>
      <w:r w:rsidR="00321A0A" w:rsidRPr="00BB165A">
        <w:t>an impact on many costs which are driven by headcount rather than study load</w:t>
      </w:r>
    </w:p>
    <w:p w14:paraId="13D18AD1" w14:textId="45A2022F" w:rsidR="004B37F7" w:rsidRPr="00BB165A" w:rsidRDefault="00924B60" w:rsidP="007B09DB">
      <w:pPr>
        <w:pStyle w:val="ListBullet"/>
        <w:numPr>
          <w:ilvl w:val="0"/>
          <w:numId w:val="32"/>
        </w:numPr>
      </w:pPr>
      <w:r w:rsidRPr="00BB165A">
        <w:t xml:space="preserve">The level of disadvantage </w:t>
      </w:r>
      <w:r w:rsidR="00C535AE" w:rsidRPr="00BB165A">
        <w:t xml:space="preserve">in </w:t>
      </w:r>
      <w:r w:rsidRPr="00BB165A">
        <w:t>the student cohort</w:t>
      </w:r>
      <w:r w:rsidR="00C535AE" w:rsidRPr="00BB165A">
        <w:t>, with</w:t>
      </w:r>
      <w:r w:rsidRPr="00BB165A">
        <w:t xml:space="preserve"> </w:t>
      </w:r>
      <w:r w:rsidR="00971C2B" w:rsidRPr="00BB165A">
        <w:t xml:space="preserve">additional costs </w:t>
      </w:r>
      <w:r w:rsidR="00C535AE" w:rsidRPr="00BB165A">
        <w:t xml:space="preserve">potentially borne </w:t>
      </w:r>
      <w:r w:rsidR="00971C2B" w:rsidRPr="00BB165A">
        <w:t xml:space="preserve">in supporting </w:t>
      </w:r>
      <w:r w:rsidR="00C535AE" w:rsidRPr="00BB165A">
        <w:t>the</w:t>
      </w:r>
      <w:r w:rsidR="00971C2B" w:rsidRPr="00BB165A">
        <w:t xml:space="preserve"> retention and progression</w:t>
      </w:r>
      <w:r w:rsidR="00C535AE" w:rsidRPr="00BB165A">
        <w:t xml:space="preserve"> of these students</w:t>
      </w:r>
    </w:p>
    <w:p w14:paraId="379D1CE5" w14:textId="2982391B" w:rsidR="003D38B6" w:rsidRPr="00BB165A" w:rsidRDefault="003D38B6" w:rsidP="007B09DB">
      <w:pPr>
        <w:pStyle w:val="ListBullet"/>
        <w:numPr>
          <w:ilvl w:val="0"/>
          <w:numId w:val="32"/>
        </w:numPr>
      </w:pPr>
      <w:r w:rsidRPr="00BB165A">
        <w:t>Universities are each bound by enterprise agreements that could constrain responsiveness to changes in funding</w:t>
      </w:r>
      <w:r w:rsidR="007E3102" w:rsidRPr="00BB165A">
        <w:t>.</w:t>
      </w:r>
    </w:p>
    <w:p w14:paraId="523E8720" w14:textId="3F960932" w:rsidR="00BC1C07" w:rsidRPr="00BB165A" w:rsidRDefault="00F75331" w:rsidP="00BC1C07">
      <w:r w:rsidRPr="00BB165A">
        <w:t>T</w:t>
      </w:r>
      <w:r w:rsidR="00924B60" w:rsidRPr="00BB165A">
        <w:t xml:space="preserve">hese concerns </w:t>
      </w:r>
      <w:r w:rsidR="006841E1" w:rsidRPr="00BB165A">
        <w:t xml:space="preserve">tend to </w:t>
      </w:r>
      <w:r w:rsidR="00924B60" w:rsidRPr="00BB165A">
        <w:t>relate less to whether or not the exercise is accurately capturing the costs of teaching and scholarship</w:t>
      </w:r>
      <w:r w:rsidRPr="00BB165A">
        <w:t xml:space="preserve">, </w:t>
      </w:r>
      <w:r w:rsidR="00924B60" w:rsidRPr="00BB165A">
        <w:t xml:space="preserve">and more to the extent to which inferences </w:t>
      </w:r>
      <w:r w:rsidR="00DA5D1C" w:rsidRPr="00BB165A">
        <w:t xml:space="preserve">can </w:t>
      </w:r>
      <w:r w:rsidR="00C2676A">
        <w:t>reliably</w:t>
      </w:r>
      <w:r w:rsidR="00DA5D1C" w:rsidRPr="00BB165A">
        <w:t xml:space="preserve"> be drawn </w:t>
      </w:r>
      <w:r w:rsidR="00924B60" w:rsidRPr="00BB165A">
        <w:t xml:space="preserve">in relation to </w:t>
      </w:r>
      <w:r w:rsidR="006841E1" w:rsidRPr="00BB165A">
        <w:t xml:space="preserve">university </w:t>
      </w:r>
      <w:r w:rsidR="00924B60" w:rsidRPr="00BB165A">
        <w:t xml:space="preserve">efficiency based on comparisons across individual universities. Put simply, </w:t>
      </w:r>
      <w:r w:rsidR="00C2676A">
        <w:t>there is concern that</w:t>
      </w:r>
      <w:r w:rsidR="00924B60" w:rsidRPr="00BB165A">
        <w:t xml:space="preserve"> contextual factors </w:t>
      </w:r>
      <w:r w:rsidRPr="00BB165A">
        <w:t xml:space="preserve">may </w:t>
      </w:r>
      <w:r w:rsidR="00924B60" w:rsidRPr="00BB165A">
        <w:t xml:space="preserve">mean that two equally efficient universities </w:t>
      </w:r>
      <w:r w:rsidR="007F2F0B" w:rsidRPr="00BB165A">
        <w:t>could have very different costs</w:t>
      </w:r>
      <w:r w:rsidRPr="00BB165A">
        <w:t>,</w:t>
      </w:r>
      <w:r w:rsidR="00924B60" w:rsidRPr="00BB165A">
        <w:t xml:space="preserve"> </w:t>
      </w:r>
      <w:r w:rsidR="007F2F0B" w:rsidRPr="00BB165A">
        <w:t xml:space="preserve">reflecting differences in context, strategic objectives and teaching methods. This is an important consideration when comparing differences in both total costs across the sector and costs within a FOE. </w:t>
      </w:r>
    </w:p>
    <w:p w14:paraId="5037724D" w14:textId="35FA8A31" w:rsidR="0065656F" w:rsidRPr="00BB165A" w:rsidRDefault="00087F61" w:rsidP="0065656F">
      <w:pPr>
        <w:pStyle w:val="Heading2"/>
      </w:pPr>
      <w:bookmarkStart w:id="799" w:name="_Ref529189712"/>
      <w:bookmarkStart w:id="800" w:name="_Toc20246020"/>
      <w:bookmarkStart w:id="801" w:name="_Ref103332993"/>
      <w:bookmarkStart w:id="802" w:name="_Toc105776203"/>
      <w:r w:rsidRPr="00BB165A">
        <w:t xml:space="preserve">Potential areas for improvement in </w:t>
      </w:r>
      <w:bookmarkEnd w:id="799"/>
      <w:bookmarkEnd w:id="800"/>
      <w:r w:rsidR="007C4401" w:rsidRPr="00BB165A">
        <w:t>subsequent analysis</w:t>
      </w:r>
      <w:bookmarkEnd w:id="801"/>
      <w:bookmarkEnd w:id="802"/>
    </w:p>
    <w:p w14:paraId="7976FA1F" w14:textId="7574D7B3" w:rsidR="00E107B4" w:rsidRDefault="0065656F" w:rsidP="0065656F">
      <w:r w:rsidRPr="00BB165A">
        <w:t xml:space="preserve">While </w:t>
      </w:r>
      <w:r w:rsidR="00465A18">
        <w:t>the principle of consistency is critical to the exercise – and</w:t>
      </w:r>
      <w:r w:rsidRPr="00BB165A">
        <w:t xml:space="preserve"> many universities reiterated </w:t>
      </w:r>
      <w:r w:rsidR="00465A18">
        <w:t xml:space="preserve">its value </w:t>
      </w:r>
      <w:r w:rsidRPr="00BB165A">
        <w:t xml:space="preserve">in ensuring the comparability of results over time and reducing the need to </w:t>
      </w:r>
      <w:r w:rsidR="00465A18">
        <w:t>modify</w:t>
      </w:r>
      <w:r w:rsidR="00465A18" w:rsidRPr="00BB165A">
        <w:t xml:space="preserve"> </w:t>
      </w:r>
      <w:r w:rsidRPr="00BB165A">
        <w:t xml:space="preserve">reporting systems – a number of potential areas for improvement were identified in the course of university consultations and in university Supporting Statements. </w:t>
      </w:r>
      <w:r w:rsidR="00E107B4">
        <w:t>This includes:</w:t>
      </w:r>
    </w:p>
    <w:p w14:paraId="0C3EF8FE" w14:textId="6CDA69F4" w:rsidR="00E107B4" w:rsidRDefault="00E107B4" w:rsidP="00355033">
      <w:pPr>
        <w:pStyle w:val="ListBullet"/>
        <w:numPr>
          <w:ilvl w:val="0"/>
          <w:numId w:val="32"/>
        </w:numPr>
      </w:pPr>
      <w:r w:rsidRPr="00E107B4">
        <w:t>Providing the date of the Transforming the Collection of Student Information (TCSI) submission used to calculate the pre-filled EFTSL data in the Transparent Costing Worksheet</w:t>
      </w:r>
    </w:p>
    <w:p w14:paraId="5430961F" w14:textId="536EA7CA" w:rsidR="00F93EFB" w:rsidRDefault="00F93EFB" w:rsidP="00F20EF6">
      <w:pPr>
        <w:pStyle w:val="ListBullet"/>
        <w:numPr>
          <w:ilvl w:val="0"/>
          <w:numId w:val="32"/>
        </w:numPr>
      </w:pPr>
      <w:r w:rsidRPr="00F93EFB">
        <w:t>Revisions to the Supporting Statement to reduce administrative burden on universities</w:t>
      </w:r>
    </w:p>
    <w:p w14:paraId="2D8592DF" w14:textId="5AE10F31" w:rsidR="00F93EFB" w:rsidRDefault="001D2EAD" w:rsidP="00D02C5F">
      <w:pPr>
        <w:pStyle w:val="ListBullet"/>
        <w:numPr>
          <w:ilvl w:val="0"/>
          <w:numId w:val="32"/>
        </w:numPr>
      </w:pPr>
      <w:r w:rsidRPr="001D2EAD">
        <w:t>Further investigation into the feasibility of a margin for sustainable investment (an institution-specific margin that is based on an average of past financial performance and forecast performance)</w:t>
      </w:r>
    </w:p>
    <w:p w14:paraId="0D91986E" w14:textId="0710C0E4" w:rsidR="001D2EAD" w:rsidRDefault="002020BB" w:rsidP="005653E1">
      <w:pPr>
        <w:pStyle w:val="ListBullet"/>
        <w:numPr>
          <w:ilvl w:val="0"/>
          <w:numId w:val="32"/>
        </w:numPr>
      </w:pPr>
      <w:r>
        <w:t xml:space="preserve">Reflection on the </w:t>
      </w:r>
      <w:r w:rsidR="000F74ED">
        <w:t xml:space="preserve">way in which </w:t>
      </w:r>
      <w:r w:rsidRPr="002020BB">
        <w:t>below the line items for in-kind costs, third-party and partnership costs and the optional depreciation adjustment are collected and reported</w:t>
      </w:r>
    </w:p>
    <w:p w14:paraId="4E3E89C0" w14:textId="0158B10A" w:rsidR="0065656F" w:rsidRPr="00BB165A" w:rsidRDefault="00271BDE" w:rsidP="00B0185C">
      <w:pPr>
        <w:pStyle w:val="ListBullet"/>
        <w:numPr>
          <w:ilvl w:val="0"/>
          <w:numId w:val="32"/>
        </w:numPr>
      </w:pPr>
      <w:r>
        <w:t xml:space="preserve">Timing the data collection </w:t>
      </w:r>
      <w:r w:rsidR="00ED12F6">
        <w:t>exercise</w:t>
      </w:r>
      <w:r>
        <w:t xml:space="preserve"> </w:t>
      </w:r>
      <w:r w:rsidR="00ED12F6">
        <w:t xml:space="preserve">to avoid clashing, as best as possible, with </w:t>
      </w:r>
      <w:r w:rsidR="00EC60A7" w:rsidRPr="00BB165A">
        <w:t xml:space="preserve">internal financial processes </w:t>
      </w:r>
      <w:r w:rsidR="00ED12F6">
        <w:t>at</w:t>
      </w:r>
      <w:r w:rsidR="00EC60A7" w:rsidRPr="00BB165A">
        <w:t xml:space="preserve"> universities. Future submissions could also be signalled well in advance to allow universities to incorporate the data collection process into annual planning processes. </w:t>
      </w:r>
    </w:p>
    <w:p w14:paraId="10D30BFF" w14:textId="77777777" w:rsidR="00103A34" w:rsidRPr="00BB165A" w:rsidRDefault="00103A34" w:rsidP="00103A34">
      <w:pPr>
        <w:pStyle w:val="Heading1un-numbered"/>
      </w:pPr>
      <w:bookmarkStart w:id="803" w:name="_Toc105776204"/>
      <w:r w:rsidRPr="00BB165A">
        <w:t>Appendix A: Transparent Costing Worksheet</w:t>
      </w:r>
      <w:bookmarkEnd w:id="803"/>
    </w:p>
    <w:p w14:paraId="3C42B005" w14:textId="77777777" w:rsidR="005F1260" w:rsidRPr="00BB165A" w:rsidRDefault="005F1260" w:rsidP="00103A34"/>
    <w:p w14:paraId="627D3959" w14:textId="77777777" w:rsidR="009548BA" w:rsidRPr="00573D17" w:rsidRDefault="009548BA" w:rsidP="006118C2">
      <w:r w:rsidRPr="00BB165A">
        <w:t>[see over page]</w:t>
      </w:r>
      <w:r w:rsidRPr="00573D17">
        <w:t xml:space="preserve"> </w:t>
      </w:r>
    </w:p>
    <w:p w14:paraId="15AC2289" w14:textId="77777777" w:rsidR="00CF2F64" w:rsidRPr="00BB165A" w:rsidRDefault="00CF2F64" w:rsidP="00477E68"/>
    <w:p w14:paraId="790DE76A" w14:textId="53EF12AC" w:rsidR="00F66C3D" w:rsidRPr="00BB165A" w:rsidRDefault="00F66C3D" w:rsidP="00477E68">
      <w:pPr>
        <w:sectPr w:rsidR="00F66C3D" w:rsidRPr="00BB165A" w:rsidSect="00201BEB">
          <w:pgSz w:w="11906" w:h="16838" w:code="9"/>
          <w:pgMar w:top="1985" w:right="1416" w:bottom="1134" w:left="1418" w:header="680" w:footer="425" w:gutter="0"/>
          <w:cols w:space="284"/>
          <w:docGrid w:linePitch="360"/>
        </w:sectPr>
      </w:pPr>
    </w:p>
    <w:p w14:paraId="2573D6C7" w14:textId="6E8EC596" w:rsidR="00CF2F64" w:rsidRPr="00BB165A" w:rsidRDefault="003D65C4" w:rsidP="00597423">
      <w:pPr>
        <w:pStyle w:val="AppendixFigureCaption"/>
      </w:pPr>
      <w:r w:rsidRPr="00BB165A">
        <w:rPr>
          <w:noProof/>
        </w:rPr>
        <w:drawing>
          <wp:anchor distT="0" distB="0" distL="114300" distR="114300" simplePos="0" relativeHeight="251569664" behindDoc="0" locked="0" layoutInCell="1" allowOverlap="1" wp14:anchorId="5D6A9C8F" wp14:editId="3A8744AD">
            <wp:simplePos x="0" y="0"/>
            <wp:positionH relativeFrom="margin">
              <wp:align>right</wp:align>
            </wp:positionH>
            <wp:positionV relativeFrom="page">
              <wp:posOffset>919312</wp:posOffset>
            </wp:positionV>
            <wp:extent cx="10173335" cy="6047740"/>
            <wp:effectExtent l="0" t="0" r="0" b="0"/>
            <wp:wrapTopAndBottom/>
            <wp:docPr id="43" name="Picture 43" descr="Display of the Transparency costing worksheet that is provided to universities to collect data on the cost of teaching and scholarship. Displayed is the excel template for the exercise fo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splay of the Transparency costing worksheet that is provided to universities to collect data on the cost of teaching and scholarship. Displayed is the excel template for the exercise for 20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0173335" cy="604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423" w:rsidRPr="00BB165A">
        <w:t>Figure A.1: Transparent Costing Worksheet</w:t>
      </w:r>
      <w:r w:rsidR="00382A37">
        <w:t xml:space="preserve"> (20</w:t>
      </w:r>
      <w:r w:rsidR="00597423" w:rsidRPr="00BB165A">
        <w:t>19</w:t>
      </w:r>
      <w:r w:rsidR="00382A37">
        <w:t>)</w:t>
      </w:r>
      <w:r w:rsidR="00597423" w:rsidRPr="00BB165A">
        <w:t xml:space="preserve"> </w:t>
      </w:r>
    </w:p>
    <w:p w14:paraId="54FB4BBF" w14:textId="6B54818C" w:rsidR="00E97DE5" w:rsidRDefault="00597423" w:rsidP="00CA75D3">
      <w:pPr>
        <w:pStyle w:val="AppendixFigureCaption"/>
      </w:pPr>
      <w:r w:rsidRPr="00BB165A">
        <w:rPr>
          <w:noProof/>
        </w:rPr>
        <w:drawing>
          <wp:anchor distT="0" distB="0" distL="114300" distR="114300" simplePos="0" relativeHeight="251557376" behindDoc="0" locked="0" layoutInCell="1" allowOverlap="1" wp14:anchorId="2C0ADC43" wp14:editId="622D11BA">
            <wp:simplePos x="0" y="0"/>
            <wp:positionH relativeFrom="margin">
              <wp:align>left</wp:align>
            </wp:positionH>
            <wp:positionV relativeFrom="page">
              <wp:posOffset>991870</wp:posOffset>
            </wp:positionV>
            <wp:extent cx="10179685" cy="5974715"/>
            <wp:effectExtent l="0" t="0" r="0" b="0"/>
            <wp:wrapTopAndBottom/>
            <wp:docPr id="42" name="Picture 42" descr="Display of the Transparency costing worksheet that is provided to universities to collect data on the cost of teaching and scholarship. Displayed is the excel template for the exercise for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splay of the Transparency costing worksheet that is provided to universities to collect data on the cost of teaching and scholarship. Displayed is the excel template for the exercise for 201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179685" cy="5974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C4E" w:rsidRPr="00BB165A">
        <w:t xml:space="preserve">Figure A.2: Transparent Costing Worksheet </w:t>
      </w:r>
      <w:r w:rsidR="00382A37">
        <w:t>(</w:t>
      </w:r>
      <w:r w:rsidR="00307C4E" w:rsidRPr="00BB165A">
        <w:t>2020</w:t>
      </w:r>
      <w:r w:rsidR="00382A37">
        <w:t>)</w:t>
      </w:r>
      <w:r w:rsidR="00307C4E">
        <w:t xml:space="preserve"> </w:t>
      </w:r>
    </w:p>
    <w:p w14:paraId="68036123" w14:textId="56A42AF7" w:rsidR="00FA10EA" w:rsidRPr="00035C39" w:rsidRDefault="00FA10EA" w:rsidP="00477E68">
      <w:pPr>
        <w:sectPr w:rsidR="00FA10EA" w:rsidRPr="00035C39" w:rsidSect="006118C2">
          <w:pgSz w:w="16838" w:h="11906" w:orient="landscape" w:code="9"/>
          <w:pgMar w:top="680" w:right="395" w:bottom="4281" w:left="426" w:header="680" w:footer="425" w:gutter="0"/>
          <w:cols w:space="284"/>
          <w:docGrid w:linePitch="360"/>
        </w:sectPr>
      </w:pPr>
    </w:p>
    <w:p w14:paraId="64B27B8A" w14:textId="20789979" w:rsidR="00492785" w:rsidRPr="00BB165A" w:rsidRDefault="00573D17" w:rsidP="00103A34">
      <w:pPr>
        <w:pStyle w:val="Heading1un-numbered"/>
      </w:pPr>
      <w:bookmarkStart w:id="804" w:name="_Toc105776205"/>
      <w:bookmarkStart w:id="805" w:name="_Toc521918510"/>
      <w:r w:rsidRPr="00BB165A">
        <w:t>Appendix B</w:t>
      </w:r>
      <w:r w:rsidR="00492785" w:rsidRPr="00BB165A">
        <w:t xml:space="preserve">: Data collection </w:t>
      </w:r>
      <w:r w:rsidR="007A2756" w:rsidRPr="00BB165A">
        <w:t>Guidelines</w:t>
      </w:r>
      <w:bookmarkEnd w:id="804"/>
    </w:p>
    <w:p w14:paraId="2E3A58B1" w14:textId="77777777" w:rsidR="00492785" w:rsidRPr="00BB165A" w:rsidRDefault="00492785" w:rsidP="00146B33">
      <w:pPr>
        <w:pStyle w:val="Appendixhead2"/>
      </w:pPr>
      <w:r w:rsidRPr="00BB165A">
        <w:t>Definitions</w:t>
      </w:r>
      <w:bookmarkEnd w:id="805"/>
    </w:p>
    <w:tbl>
      <w:tblPr>
        <w:tblStyle w:val="Deloittetable"/>
        <w:tblW w:w="8505" w:type="dxa"/>
        <w:tblLayout w:type="fixed"/>
        <w:tblLook w:val="04A0" w:firstRow="1" w:lastRow="0" w:firstColumn="1" w:lastColumn="0" w:noHBand="0" w:noVBand="1"/>
      </w:tblPr>
      <w:tblGrid>
        <w:gridCol w:w="2101"/>
        <w:gridCol w:w="6404"/>
      </w:tblGrid>
      <w:tr w:rsidR="00492785" w:rsidRPr="00BB165A" w14:paraId="7FA2D1B4" w14:textId="77777777" w:rsidTr="00146B33">
        <w:trPr>
          <w:cnfStyle w:val="100000000000" w:firstRow="1" w:lastRow="0" w:firstColumn="0" w:lastColumn="0" w:oddVBand="0" w:evenVBand="0" w:oddHBand="0" w:evenHBand="0" w:firstRowFirstColumn="0" w:firstRowLastColumn="0" w:lastRowFirstColumn="0" w:lastRowLastColumn="0"/>
          <w:tblHeader/>
        </w:trPr>
        <w:tc>
          <w:tcPr>
            <w:tcW w:w="2694" w:type="dxa"/>
          </w:tcPr>
          <w:p w14:paraId="0F6945EF" w14:textId="77777777" w:rsidR="00492785" w:rsidRPr="00BB165A" w:rsidRDefault="00492785" w:rsidP="00101F62">
            <w:pPr>
              <w:pStyle w:val="TabletextLeft"/>
              <w:rPr>
                <w:b/>
              </w:rPr>
            </w:pPr>
            <w:r w:rsidRPr="00BB165A">
              <w:rPr>
                <w:b/>
              </w:rPr>
              <w:t>Term</w:t>
            </w:r>
          </w:p>
        </w:tc>
        <w:tc>
          <w:tcPr>
            <w:tcW w:w="8221" w:type="dxa"/>
          </w:tcPr>
          <w:p w14:paraId="54ACAE2D" w14:textId="77777777" w:rsidR="00492785" w:rsidRPr="00BB165A" w:rsidRDefault="00492785" w:rsidP="00101F62">
            <w:pPr>
              <w:pStyle w:val="TabletextLeft"/>
              <w:rPr>
                <w:b/>
              </w:rPr>
            </w:pPr>
            <w:r w:rsidRPr="00BB165A">
              <w:rPr>
                <w:b/>
              </w:rPr>
              <w:t xml:space="preserve">Description </w:t>
            </w:r>
          </w:p>
        </w:tc>
      </w:tr>
      <w:tr w:rsidR="00492785" w:rsidRPr="00BB165A" w14:paraId="52065BF0" w14:textId="77777777" w:rsidTr="00376F97">
        <w:tc>
          <w:tcPr>
            <w:tcW w:w="2694" w:type="dxa"/>
          </w:tcPr>
          <w:p w14:paraId="2453F308" w14:textId="77777777" w:rsidR="00492785" w:rsidRPr="00BB165A" w:rsidRDefault="00492785" w:rsidP="00101F62">
            <w:pPr>
              <w:pStyle w:val="TabletextLeft"/>
            </w:pPr>
            <w:r w:rsidRPr="00BB165A">
              <w:t xml:space="preserve">Field of education </w:t>
            </w:r>
          </w:p>
        </w:tc>
        <w:tc>
          <w:tcPr>
            <w:tcW w:w="8221" w:type="dxa"/>
          </w:tcPr>
          <w:p w14:paraId="439F517F" w14:textId="77777777" w:rsidR="00492785" w:rsidRPr="00BB165A" w:rsidRDefault="00492785" w:rsidP="00101F62">
            <w:pPr>
              <w:pStyle w:val="TabletextLeft"/>
            </w:pPr>
            <w:r w:rsidRPr="00BB165A">
              <w:t xml:space="preserve">Fields of education are defined using the Australian Standard Classification of Education (ASCED). The specific categorisation of fields has been determined by the Department. </w:t>
            </w:r>
          </w:p>
        </w:tc>
      </w:tr>
      <w:tr w:rsidR="00492785" w:rsidRPr="00BB165A" w14:paraId="68A0498F" w14:textId="77777777" w:rsidTr="00376F97">
        <w:tc>
          <w:tcPr>
            <w:tcW w:w="2694" w:type="dxa"/>
          </w:tcPr>
          <w:p w14:paraId="5901E81E" w14:textId="77777777" w:rsidR="00492785" w:rsidRPr="00BB165A" w:rsidRDefault="00492785" w:rsidP="00101F62">
            <w:pPr>
              <w:pStyle w:val="TabletextLeft"/>
            </w:pPr>
            <w:r w:rsidRPr="00BB165A">
              <w:t xml:space="preserve">Sub-bachelor </w:t>
            </w:r>
          </w:p>
        </w:tc>
        <w:tc>
          <w:tcPr>
            <w:tcW w:w="8221" w:type="dxa"/>
          </w:tcPr>
          <w:p w14:paraId="3932B040" w14:textId="77777777" w:rsidR="00492785" w:rsidRPr="00BB165A" w:rsidRDefault="00492785" w:rsidP="00101F62">
            <w:pPr>
              <w:pStyle w:val="TabletextLeft"/>
            </w:pPr>
            <w:r w:rsidRPr="00BB165A">
              <w:t>Sub-bachelor covers all courses delivered at the diploma, advanced diploma and associate degree level. Excludes non-award and enabling courses.</w:t>
            </w:r>
          </w:p>
        </w:tc>
      </w:tr>
      <w:tr w:rsidR="00492785" w:rsidRPr="00BB165A" w14:paraId="3B83B962" w14:textId="77777777" w:rsidTr="00376F97">
        <w:tc>
          <w:tcPr>
            <w:tcW w:w="2694" w:type="dxa"/>
          </w:tcPr>
          <w:p w14:paraId="6832E9A2" w14:textId="77777777" w:rsidR="00492785" w:rsidRPr="00BB165A" w:rsidRDefault="00492785" w:rsidP="00101F62">
            <w:pPr>
              <w:pStyle w:val="TabletextLeft"/>
            </w:pPr>
            <w:r w:rsidRPr="00BB165A">
              <w:t>Bachelor</w:t>
            </w:r>
          </w:p>
        </w:tc>
        <w:tc>
          <w:tcPr>
            <w:tcW w:w="8221" w:type="dxa"/>
          </w:tcPr>
          <w:p w14:paraId="0439E145" w14:textId="77777777" w:rsidR="00492785" w:rsidRPr="00BB165A" w:rsidRDefault="00492785" w:rsidP="00101F62">
            <w:pPr>
              <w:pStyle w:val="TabletextLeft"/>
            </w:pPr>
            <w:r w:rsidRPr="00BB165A">
              <w:t xml:space="preserve">Bachelor covers all courses delivered at a Bachelor degree level. This includes Bachelor's Pass, Bachelor's Honours and Bachelor's Graduate Entry. Excludes non-award and enabling courses. </w:t>
            </w:r>
          </w:p>
        </w:tc>
      </w:tr>
      <w:tr w:rsidR="00492785" w:rsidRPr="00BB165A" w14:paraId="7FDE82FD" w14:textId="77777777" w:rsidTr="00376F97">
        <w:tc>
          <w:tcPr>
            <w:tcW w:w="2694" w:type="dxa"/>
          </w:tcPr>
          <w:p w14:paraId="476BA99C" w14:textId="77777777" w:rsidR="00492785" w:rsidRPr="00BB165A" w:rsidRDefault="00492785" w:rsidP="00101F62">
            <w:pPr>
              <w:pStyle w:val="TabletextLeft"/>
            </w:pPr>
            <w:r w:rsidRPr="00BB165A">
              <w:t>Postgraduate coursework</w:t>
            </w:r>
          </w:p>
        </w:tc>
        <w:tc>
          <w:tcPr>
            <w:tcW w:w="8221" w:type="dxa"/>
          </w:tcPr>
          <w:p w14:paraId="0856AAAE" w14:textId="77777777" w:rsidR="00492785" w:rsidRPr="00BB165A" w:rsidRDefault="00492785" w:rsidP="00101F62">
            <w:pPr>
              <w:pStyle w:val="TabletextLeft"/>
            </w:pPr>
            <w:r w:rsidRPr="00BB165A">
              <w:t xml:space="preserve">Postgraduate coursework includes all postgraduate degrees that are delivered predominantly through coursework (e.g. those courses for which research makes up less than two thirds of the student load as per the Commonwealth Scholarships Guidelines (Research) 2017), including Masters and coursework PhDs. Where a coursework postgraduate degree includes a research component, this should be included as postgraduate coursework. Excludes non-award and enabling courses. </w:t>
            </w:r>
          </w:p>
        </w:tc>
      </w:tr>
      <w:tr w:rsidR="00492785" w:rsidRPr="00BB165A" w14:paraId="1EBD575F" w14:textId="77777777" w:rsidTr="00376F97">
        <w:tc>
          <w:tcPr>
            <w:tcW w:w="2694" w:type="dxa"/>
          </w:tcPr>
          <w:p w14:paraId="16542371" w14:textId="77777777" w:rsidR="00492785" w:rsidRPr="00BB165A" w:rsidRDefault="00492785" w:rsidP="00101F62">
            <w:pPr>
              <w:pStyle w:val="TabletextLeft"/>
            </w:pPr>
            <w:r w:rsidRPr="00BB165A">
              <w:t>Academic staff</w:t>
            </w:r>
          </w:p>
        </w:tc>
        <w:tc>
          <w:tcPr>
            <w:tcW w:w="8221" w:type="dxa"/>
          </w:tcPr>
          <w:p w14:paraId="34E05F86" w14:textId="77777777" w:rsidR="00492785" w:rsidRPr="00BB165A" w:rsidRDefault="00492785" w:rsidP="00101F62">
            <w:pPr>
              <w:pStyle w:val="TabletextLeft"/>
            </w:pPr>
            <w:r w:rsidRPr="00BB165A">
              <w:t>Members of staff, whether full-time or part-time, who are employed wholly or principally in teaching and/or research or to whom such persons are responsible in relation to their teaching or research. This includes staff who are employed wholly or principally to assist other academic staff in teaching and/or research activities (e.g. tutors, research assistants, etc.). This excludes casual academic staff.</w:t>
            </w:r>
          </w:p>
        </w:tc>
      </w:tr>
      <w:tr w:rsidR="00492785" w:rsidRPr="00BB165A" w14:paraId="3E26046F" w14:textId="77777777" w:rsidTr="00376F97">
        <w:tc>
          <w:tcPr>
            <w:tcW w:w="2694" w:type="dxa"/>
          </w:tcPr>
          <w:p w14:paraId="60CD9A1F" w14:textId="77777777" w:rsidR="00492785" w:rsidRPr="00BB165A" w:rsidRDefault="00492785" w:rsidP="00101F62">
            <w:pPr>
              <w:pStyle w:val="TabletextLeft"/>
            </w:pPr>
            <w:r w:rsidRPr="00BB165A">
              <w:t>Casual academic staff</w:t>
            </w:r>
          </w:p>
        </w:tc>
        <w:tc>
          <w:tcPr>
            <w:tcW w:w="8221" w:type="dxa"/>
          </w:tcPr>
          <w:p w14:paraId="4A9E8375" w14:textId="77777777" w:rsidR="00492785" w:rsidRPr="00BB165A" w:rsidRDefault="00492785" w:rsidP="00101F62">
            <w:pPr>
              <w:pStyle w:val="TabletextLeft"/>
            </w:pPr>
            <w:r w:rsidRPr="00BB165A">
              <w:t>Members of staff employed on a casual basis, wholly or principally involved in teaching and/or research (e.g. tutors, research assistants, and labour hire arrangements, where a 3rd party is contracted to provide teaching services on a casual basis). This excludes members of staff employed on a full-time or part-time basis.</w:t>
            </w:r>
          </w:p>
        </w:tc>
      </w:tr>
      <w:tr w:rsidR="00492785" w:rsidRPr="00BB165A" w14:paraId="435E3854" w14:textId="77777777" w:rsidTr="00376F97">
        <w:tc>
          <w:tcPr>
            <w:tcW w:w="2694" w:type="dxa"/>
          </w:tcPr>
          <w:p w14:paraId="5384E380" w14:textId="77777777" w:rsidR="00492785" w:rsidRPr="00BB165A" w:rsidRDefault="00492785" w:rsidP="00101F62">
            <w:pPr>
              <w:pStyle w:val="TabletextLeft"/>
            </w:pPr>
            <w:r w:rsidRPr="00BB165A">
              <w:t>Non-academic staff</w:t>
            </w:r>
          </w:p>
        </w:tc>
        <w:tc>
          <w:tcPr>
            <w:tcW w:w="8221" w:type="dxa"/>
          </w:tcPr>
          <w:p w14:paraId="2C1882CA" w14:textId="77777777" w:rsidR="00492785" w:rsidRPr="00BB165A" w:rsidRDefault="00492785" w:rsidP="00101F62">
            <w:pPr>
              <w:pStyle w:val="TabletextLeft"/>
            </w:pPr>
            <w:r w:rsidRPr="00BB165A">
              <w:t>Both permanent and casual members of staff who are not academic staff (teaching and/or research), and instead provide support functions for the university, e.g. administrative staff, IT staff, those involved in student enrolments and learning assistance. Non-academic staffing levels should amount to total staff minus academic staff and casual academic staff.</w:t>
            </w:r>
          </w:p>
        </w:tc>
      </w:tr>
      <w:tr w:rsidR="00492785" w:rsidRPr="00BB165A" w14:paraId="6AD6F8B2" w14:textId="77777777" w:rsidTr="00376F97">
        <w:tc>
          <w:tcPr>
            <w:tcW w:w="2694" w:type="dxa"/>
          </w:tcPr>
          <w:p w14:paraId="10A3CA28" w14:textId="77777777" w:rsidR="00492785" w:rsidRPr="00BB165A" w:rsidRDefault="00492785" w:rsidP="00101F62">
            <w:pPr>
              <w:pStyle w:val="TabletextLeft"/>
            </w:pPr>
            <w:r w:rsidRPr="00BB165A">
              <w:t>Teaching</w:t>
            </w:r>
          </w:p>
        </w:tc>
        <w:tc>
          <w:tcPr>
            <w:tcW w:w="8221" w:type="dxa"/>
          </w:tcPr>
          <w:p w14:paraId="768F19A0" w14:textId="77777777" w:rsidR="00492785" w:rsidRPr="00BB165A" w:rsidRDefault="00492785" w:rsidP="00101F62">
            <w:pPr>
              <w:pStyle w:val="TabletextLeft"/>
            </w:pPr>
            <w:r w:rsidRPr="00BB165A">
              <w:t>Teaching time includes all of the following: lecturing, tutoring, demonstrating, reading and preparation for classes (lecture and tutorial content, handouts, workbooks, placing material on the Web, laboratories), all forms of marking and assessment, discussion and feedback to students (both face-to-face and electronically), administration of subjects, course advice and enrolment, organisation and supervision of practicum (including work experience and excursions), supervision of Honours students and committee work related to teaching. Teaching only staff are those whose time is spent exclusively on teaching and scholarship activities.</w:t>
            </w:r>
          </w:p>
        </w:tc>
      </w:tr>
      <w:tr w:rsidR="00492785" w:rsidRPr="00BB165A" w14:paraId="0CD8D4C5" w14:textId="77777777" w:rsidTr="00376F97">
        <w:tc>
          <w:tcPr>
            <w:tcW w:w="2694" w:type="dxa"/>
          </w:tcPr>
          <w:p w14:paraId="540FC251" w14:textId="77777777" w:rsidR="00492785" w:rsidRPr="00BB165A" w:rsidRDefault="00492785" w:rsidP="00101F62">
            <w:pPr>
              <w:pStyle w:val="TabletextLeft"/>
            </w:pPr>
            <w:r w:rsidRPr="00BB165A">
              <w:t>Teaching &amp; Research</w:t>
            </w:r>
          </w:p>
        </w:tc>
        <w:tc>
          <w:tcPr>
            <w:tcW w:w="8221" w:type="dxa"/>
          </w:tcPr>
          <w:p w14:paraId="7B9E8ECA" w14:textId="2217F009" w:rsidR="00492785" w:rsidRPr="00BB165A" w:rsidRDefault="00492785" w:rsidP="00101F62">
            <w:pPr>
              <w:pStyle w:val="TabletextLeft"/>
            </w:pPr>
            <w:r w:rsidRPr="00BB165A">
              <w:t xml:space="preserve">Time spent by staff members that are involved in both teaching and research activities. This category recognises that staff may be involved in a variety of activities including teaching, supervising research students and engaging in research and scholarship. </w:t>
            </w:r>
          </w:p>
        </w:tc>
      </w:tr>
      <w:tr w:rsidR="00492785" w:rsidRPr="00BB165A" w14:paraId="5A78333A" w14:textId="77777777" w:rsidTr="00376F97">
        <w:tc>
          <w:tcPr>
            <w:tcW w:w="2694" w:type="dxa"/>
          </w:tcPr>
          <w:p w14:paraId="756746EE" w14:textId="77777777" w:rsidR="00492785" w:rsidRPr="00BB165A" w:rsidRDefault="00492785" w:rsidP="00101F62">
            <w:pPr>
              <w:pStyle w:val="TabletextLeft"/>
            </w:pPr>
            <w:r w:rsidRPr="00BB165A">
              <w:t>Research only</w:t>
            </w:r>
          </w:p>
        </w:tc>
        <w:tc>
          <w:tcPr>
            <w:tcW w:w="8221" w:type="dxa"/>
          </w:tcPr>
          <w:p w14:paraId="16190F9A" w14:textId="77777777" w:rsidR="00492785" w:rsidRPr="00BB165A" w:rsidRDefault="00492785" w:rsidP="00101F62">
            <w:pPr>
              <w:pStyle w:val="TabletextLeft"/>
            </w:pPr>
            <w:r w:rsidRPr="00BB165A">
              <w:t xml:space="preserve">Certain staff will only be employed for research, i.e. staff with no teaching responsibilities. These staff, activities and costs are explicitly excluded. </w:t>
            </w:r>
          </w:p>
        </w:tc>
      </w:tr>
      <w:tr w:rsidR="00492785" w:rsidRPr="00BB165A" w14:paraId="0290AC3F" w14:textId="77777777" w:rsidTr="00376F97">
        <w:tc>
          <w:tcPr>
            <w:tcW w:w="2694" w:type="dxa"/>
          </w:tcPr>
          <w:p w14:paraId="50521F52" w14:textId="77777777" w:rsidR="00492785" w:rsidRPr="00BB165A" w:rsidRDefault="00492785" w:rsidP="00101F62">
            <w:pPr>
              <w:pStyle w:val="TabletextLeft"/>
            </w:pPr>
            <w:r w:rsidRPr="00BB165A">
              <w:t>Employee wages, benefits and on-costs (i.e. total wage bill)</w:t>
            </w:r>
          </w:p>
        </w:tc>
        <w:tc>
          <w:tcPr>
            <w:tcW w:w="8221" w:type="dxa"/>
          </w:tcPr>
          <w:p w14:paraId="7988722A" w14:textId="77777777" w:rsidR="00492785" w:rsidRPr="00BB165A" w:rsidRDefault="00492785" w:rsidP="00101F62">
            <w:pPr>
              <w:pStyle w:val="TabletextLeft"/>
            </w:pPr>
            <w:r w:rsidRPr="00BB165A">
              <w:t>All staff-related expenses. The wage bill should include all expenditure on staff compensation including gross salaries and salary on-costs such as superannuation and leave entitlements (i.e. annual leave, personal leave and long service leave).</w:t>
            </w:r>
          </w:p>
        </w:tc>
      </w:tr>
      <w:tr w:rsidR="00492785" w:rsidRPr="00BB165A" w14:paraId="735C84F6" w14:textId="77777777" w:rsidTr="00376F97">
        <w:tc>
          <w:tcPr>
            <w:tcW w:w="2694" w:type="dxa"/>
          </w:tcPr>
          <w:p w14:paraId="032CB173" w14:textId="77777777" w:rsidR="00492785" w:rsidRPr="00BB165A" w:rsidRDefault="00492785" w:rsidP="00101F62">
            <w:pPr>
              <w:pStyle w:val="TabletextLeft"/>
            </w:pPr>
            <w:r w:rsidRPr="00BB165A">
              <w:t>Cost of materials, utilities, equipment</w:t>
            </w:r>
          </w:p>
        </w:tc>
        <w:tc>
          <w:tcPr>
            <w:tcW w:w="8221" w:type="dxa"/>
          </w:tcPr>
          <w:p w14:paraId="64A043F9" w14:textId="77777777" w:rsidR="00492785" w:rsidRPr="00BB165A" w:rsidRDefault="00492785" w:rsidP="00101F62">
            <w:pPr>
              <w:pStyle w:val="TabletextLeft"/>
            </w:pPr>
            <w:r w:rsidRPr="00BB165A">
              <w:t>Cost of teaching-related expenses such as materials, utilities and equipment by field of education</w:t>
            </w:r>
          </w:p>
        </w:tc>
      </w:tr>
      <w:tr w:rsidR="00492785" w:rsidRPr="00BB165A" w14:paraId="225F6307" w14:textId="77777777" w:rsidTr="00376F97">
        <w:tc>
          <w:tcPr>
            <w:tcW w:w="2694" w:type="dxa"/>
          </w:tcPr>
          <w:p w14:paraId="3F65BDF0" w14:textId="77777777" w:rsidR="00492785" w:rsidRPr="00BB165A" w:rsidRDefault="00492785" w:rsidP="00101F62">
            <w:pPr>
              <w:pStyle w:val="TabletextLeft"/>
            </w:pPr>
            <w:r w:rsidRPr="00BB165A">
              <w:t>Expenses that relate to placements</w:t>
            </w:r>
          </w:p>
        </w:tc>
        <w:tc>
          <w:tcPr>
            <w:tcW w:w="8221" w:type="dxa"/>
          </w:tcPr>
          <w:p w14:paraId="3D3481AB" w14:textId="77777777" w:rsidR="00492785" w:rsidRPr="00BB165A" w:rsidRDefault="00492785" w:rsidP="00101F62">
            <w:pPr>
              <w:pStyle w:val="TabletextLeft"/>
            </w:pPr>
            <w:r w:rsidRPr="00BB165A">
              <w:t xml:space="preserve">Cost of teaching-related expenses associated with the placements by field of education. </w:t>
            </w:r>
          </w:p>
        </w:tc>
      </w:tr>
      <w:tr w:rsidR="00492785" w:rsidRPr="00BB165A" w14:paraId="45BA8F0D" w14:textId="77777777" w:rsidTr="00376F97">
        <w:trPr>
          <w:trHeight w:val="370"/>
        </w:trPr>
        <w:tc>
          <w:tcPr>
            <w:tcW w:w="2694" w:type="dxa"/>
          </w:tcPr>
          <w:p w14:paraId="4066B838" w14:textId="77777777" w:rsidR="00492785" w:rsidRPr="00BB165A" w:rsidRDefault="00492785" w:rsidP="00101F62">
            <w:pPr>
              <w:pStyle w:val="TabletextLeft"/>
              <w:spacing w:line="0" w:lineRule="atLeast"/>
            </w:pPr>
            <w:r w:rsidRPr="00BB165A">
              <w:t>Depreciation, amortisation, repairs and maintenance, borrowing and bad debts.</w:t>
            </w:r>
          </w:p>
        </w:tc>
        <w:tc>
          <w:tcPr>
            <w:tcW w:w="8221" w:type="dxa"/>
          </w:tcPr>
          <w:p w14:paraId="3FB60A6B" w14:textId="77777777" w:rsidR="00492785" w:rsidRPr="00BB165A" w:rsidRDefault="00492785" w:rsidP="00101F62">
            <w:pPr>
              <w:pStyle w:val="TabletextLeft"/>
              <w:spacing w:line="0" w:lineRule="atLeast"/>
            </w:pPr>
            <w:r w:rsidRPr="00BB165A">
              <w:t xml:space="preserve">Cost associated with asset and capital management. </w:t>
            </w:r>
          </w:p>
        </w:tc>
      </w:tr>
      <w:tr w:rsidR="00492785" w:rsidRPr="00BB165A" w14:paraId="1BA53F24" w14:textId="77777777" w:rsidTr="00376F97">
        <w:trPr>
          <w:trHeight w:val="534"/>
        </w:trPr>
        <w:tc>
          <w:tcPr>
            <w:tcW w:w="2694" w:type="dxa"/>
          </w:tcPr>
          <w:p w14:paraId="210EB9F2" w14:textId="77777777" w:rsidR="00492785" w:rsidRPr="00BB165A" w:rsidRDefault="00492785" w:rsidP="00101F62">
            <w:pPr>
              <w:pStyle w:val="TabletextLeft"/>
            </w:pPr>
            <w:r w:rsidRPr="00BB165A">
              <w:t>Other non-staff expenses</w:t>
            </w:r>
          </w:p>
        </w:tc>
        <w:tc>
          <w:tcPr>
            <w:tcW w:w="8221" w:type="dxa"/>
          </w:tcPr>
          <w:p w14:paraId="4D0032AF" w14:textId="77777777" w:rsidR="00492785" w:rsidRPr="00BB165A" w:rsidRDefault="00492785" w:rsidP="00101F62">
            <w:pPr>
              <w:pStyle w:val="TabletextLeft"/>
            </w:pPr>
            <w:r w:rsidRPr="00BB165A">
              <w:t>All remaining costs by field of education, i.e. costs not captured by 'staff costs', 'cost of materials, utilities and equipment',  'expenses relating to labs/practicum/field work' and 'depreciation, amortisation, repairs, maintenance, borrowing and bad debts'.</w:t>
            </w:r>
          </w:p>
        </w:tc>
      </w:tr>
    </w:tbl>
    <w:p w14:paraId="2D73FA35" w14:textId="77777777" w:rsidR="00492785" w:rsidRPr="00BB165A" w:rsidRDefault="00492785" w:rsidP="00492785">
      <w:pPr>
        <w:sectPr w:rsidR="00492785" w:rsidRPr="00BB165A" w:rsidSect="00376F97">
          <w:headerReference w:type="default" r:id="rId79"/>
          <w:footerReference w:type="default" r:id="rId80"/>
          <w:pgSz w:w="11906" w:h="16838" w:code="9"/>
          <w:pgMar w:top="1985" w:right="1418" w:bottom="1134" w:left="1418" w:header="680" w:footer="425" w:gutter="0"/>
          <w:cols w:space="284"/>
          <w:docGrid w:linePitch="360"/>
        </w:sectPr>
      </w:pPr>
    </w:p>
    <w:p w14:paraId="55528A96" w14:textId="77777777" w:rsidR="00492785" w:rsidRPr="00BB165A" w:rsidRDefault="00492785" w:rsidP="00146B33">
      <w:pPr>
        <w:pStyle w:val="Appendixhead2"/>
      </w:pPr>
      <w:bookmarkStart w:id="806" w:name="_Toc521918511"/>
      <w:r w:rsidRPr="00BB165A">
        <w:t>Background</w:t>
      </w:r>
      <w:bookmarkEnd w:id="806"/>
    </w:p>
    <w:p w14:paraId="41E2E906" w14:textId="146597B8" w:rsidR="00553ABD" w:rsidRPr="00BB165A" w:rsidRDefault="00553ABD" w:rsidP="00553ABD">
      <w:bookmarkStart w:id="807" w:name="_Toc8637369"/>
      <w:bookmarkStart w:id="808" w:name="_Toc10626381"/>
      <w:r w:rsidRPr="00BB165A">
        <w:t>Deloitte Access Economics has been engaged by the Department of Education, Skills and</w:t>
      </w:r>
      <w:r w:rsidR="00B65058" w:rsidRPr="00BB165A">
        <w:t xml:space="preserve"> </w:t>
      </w:r>
      <w:r w:rsidRPr="00BB165A">
        <w:t>Employment (the Department) to collect and analyse data on the cost of delivering higher education – the costs of teaching and scholarship – at Australia’s public universities.</w:t>
      </w:r>
    </w:p>
    <w:p w14:paraId="194E0E55" w14:textId="77777777" w:rsidR="00553ABD" w:rsidRPr="00BB165A" w:rsidRDefault="00553ABD" w:rsidP="00553ABD">
      <w:pPr>
        <w:rPr>
          <w:b/>
        </w:rPr>
      </w:pPr>
      <w:r w:rsidRPr="00BB165A">
        <w:t>This exercise extends on previous studies in 2019 and 2018 where Deloitte Access Economics collected teaching and scholarship cost data related to activity in the 2018 and 2017 calendar years from universities. Similar studies were also conducted in 2016 and 2011. Each year, the coverage of the university sector has expanded, with the 2021 collection to include all public universities.</w:t>
      </w:r>
    </w:p>
    <w:p w14:paraId="18A471BA" w14:textId="1B8D5DA4" w:rsidR="00492785" w:rsidRPr="00BB165A" w:rsidRDefault="00492785" w:rsidP="00553ABD">
      <w:pPr>
        <w:pStyle w:val="Appendixhead2"/>
      </w:pPr>
      <w:r w:rsidRPr="00BB165A">
        <w:t>Introduction and context</w:t>
      </w:r>
      <w:bookmarkEnd w:id="807"/>
      <w:bookmarkEnd w:id="808"/>
      <w:r w:rsidRPr="00BB165A">
        <w:t xml:space="preserve"> </w:t>
      </w:r>
    </w:p>
    <w:p w14:paraId="3EDEF927" w14:textId="77777777" w:rsidR="0079324C" w:rsidRPr="00BB165A" w:rsidRDefault="0079324C" w:rsidP="00F96165">
      <w:bookmarkStart w:id="809" w:name="_Toc10451062"/>
      <w:bookmarkStart w:id="810" w:name="_Toc10625760"/>
      <w:bookmarkStart w:id="811" w:name="_Toc10626382"/>
      <w:bookmarkStart w:id="812" w:name="_Toc8377810"/>
      <w:bookmarkStart w:id="813" w:name="_Toc8637370"/>
      <w:bookmarkStart w:id="814" w:name="_Toc10626383"/>
      <w:bookmarkEnd w:id="809"/>
      <w:bookmarkEnd w:id="810"/>
      <w:bookmarkEnd w:id="811"/>
      <w:bookmarkEnd w:id="812"/>
      <w:r w:rsidRPr="00BB165A">
        <w:t>At a high level, the key objectives that the Department is seeking to achieve with this exercise include:</w:t>
      </w:r>
    </w:p>
    <w:p w14:paraId="7F850553" w14:textId="3BBCF400" w:rsidR="00F96165" w:rsidRPr="00BB165A" w:rsidRDefault="0079324C" w:rsidP="00F96165">
      <w:pPr>
        <w:pStyle w:val="ListBullet"/>
      </w:pPr>
      <w:r w:rsidRPr="00BB165A">
        <w:t>Accurately measuring the costs of teaching (including scholarship</w:t>
      </w:r>
      <w:r w:rsidR="00A36B2A" w:rsidRPr="00BB165A">
        <w:rPr>
          <w:rStyle w:val="FootnoteReference"/>
        </w:rPr>
        <w:footnoteReference w:id="26"/>
      </w:r>
      <w:r w:rsidRPr="00BB165A">
        <w:t>) by field and level of education.</w:t>
      </w:r>
    </w:p>
    <w:p w14:paraId="7B3851BA" w14:textId="087614F4" w:rsidR="0079324C" w:rsidRPr="00BB165A" w:rsidRDefault="0079324C" w:rsidP="00F96165">
      <w:pPr>
        <w:pStyle w:val="ListBullet"/>
      </w:pPr>
      <w:r w:rsidRPr="00BB165A">
        <w:t>The continued transition to a more comprehensive, systematic and streamlined data collection process over period from 2018 to 202</w:t>
      </w:r>
      <w:r w:rsidR="00A60A86">
        <w:t>0</w:t>
      </w:r>
      <w:r w:rsidRPr="00BB165A">
        <w:t xml:space="preserve"> (and beyond).</w:t>
      </w:r>
    </w:p>
    <w:p w14:paraId="3AA45970" w14:textId="77777777" w:rsidR="0079324C" w:rsidRPr="00BB165A" w:rsidRDefault="0079324C" w:rsidP="00F96165">
      <w:r w:rsidRPr="00BB165A">
        <w:t>As part of this important study, Deloitte Access Economics will work closely with universities to support the successful collection of data. This document forms one element of this support, and has been developed to assist universities in reporting their data on a consistent basis, and to cover common questions that are likely to arise in the course of collecting and allocating the costs of teaching.</w:t>
      </w:r>
    </w:p>
    <w:p w14:paraId="4E07E3BF" w14:textId="77777777" w:rsidR="0079324C" w:rsidRPr="00BB165A" w:rsidRDefault="0079324C" w:rsidP="00F96165">
      <w:r w:rsidRPr="00BB165A">
        <w:t>Importantly, while this document intends to cover a number of issues and clarifications, it is unlikely to cover all scenarios or questions that you may have for your institution. For this reason, the Deloitte Access Economics team will arrange a time (if it has not already done so) to conduct an extended discussion with each institution, which will address:</w:t>
      </w:r>
    </w:p>
    <w:p w14:paraId="66E1CEF8" w14:textId="77777777" w:rsidR="00F96165" w:rsidRPr="00BB165A" w:rsidRDefault="0079324C" w:rsidP="00F96165">
      <w:pPr>
        <w:pStyle w:val="ListBullet"/>
      </w:pPr>
      <w:r w:rsidRPr="00BB165A">
        <w:t>any issues or queries you have with respect to the data collection tool;</w:t>
      </w:r>
    </w:p>
    <w:p w14:paraId="22F70A16" w14:textId="77777777" w:rsidR="00F96165" w:rsidRPr="00BB165A" w:rsidRDefault="0079324C" w:rsidP="00F96165">
      <w:pPr>
        <w:pStyle w:val="ListBullet"/>
      </w:pPr>
      <w:r w:rsidRPr="00BB165A">
        <w:t>any contextual points specific to your university that we should be aware of in interpreting the data provided; and</w:t>
      </w:r>
    </w:p>
    <w:p w14:paraId="0748D3B6" w14:textId="0B0391A4" w:rsidR="0079324C" w:rsidRPr="00BB165A" w:rsidRDefault="0079324C" w:rsidP="00F96165">
      <w:pPr>
        <w:pStyle w:val="ListBullet"/>
      </w:pPr>
      <w:r w:rsidRPr="00BB165A">
        <w:t>any further background on the decision-making regarding the relative costs of teaching within your institution.</w:t>
      </w:r>
    </w:p>
    <w:p w14:paraId="0FEE9B80" w14:textId="77777777" w:rsidR="0079324C" w:rsidRPr="00BB165A" w:rsidRDefault="0079324C" w:rsidP="00F96165">
      <w:r w:rsidRPr="00BB165A">
        <w:t>Alongside the Excel-based Transparent Costing Worksheet, universities will also be provided with guidelines for a Supporting Statement in order to provide additional commentary on how they have completed the data collection exercise.</w:t>
      </w:r>
    </w:p>
    <w:p w14:paraId="4FD041AF" w14:textId="6881C3AB" w:rsidR="0079324C" w:rsidRPr="00BB165A" w:rsidRDefault="0079324C" w:rsidP="00F96165">
      <w:r w:rsidRPr="00BB165A">
        <w:t xml:space="preserve">In addition, the Deloitte Access Economics team is available to answer questions as they arise. In any instances where you require clarification or guidance, please contact the project email address at </w:t>
      </w:r>
      <w:hyperlink r:id="rId81" w:history="1">
        <w:r w:rsidR="00F96165" w:rsidRPr="00BB165A">
          <w:rPr>
            <w:rStyle w:val="Hyperlink"/>
          </w:rPr>
          <w:t>HEcosting@deloitte.com.au</w:t>
        </w:r>
      </w:hyperlink>
      <w:r w:rsidRPr="00BB165A">
        <w:t>.</w:t>
      </w:r>
    </w:p>
    <w:p w14:paraId="55E06D1F" w14:textId="2DF1C458" w:rsidR="00457675" w:rsidRPr="00BB165A" w:rsidRDefault="0079324C" w:rsidP="00F96165">
      <w:pPr>
        <w:rPr>
          <w:b/>
        </w:rPr>
      </w:pPr>
      <w:r w:rsidRPr="00BB165A">
        <w:t>We thank you for your participation in</w:t>
      </w:r>
      <w:r w:rsidR="00F96165" w:rsidRPr="00BB165A">
        <w:t xml:space="preserve"> this important research and look forward to being in contact.</w:t>
      </w:r>
    </w:p>
    <w:p w14:paraId="050D8BA7" w14:textId="0E1DDB3E" w:rsidR="009F60F0" w:rsidRPr="00BB165A" w:rsidRDefault="00492785" w:rsidP="004B5FBD">
      <w:pPr>
        <w:pStyle w:val="Appendixhead2"/>
      </w:pPr>
      <w:r w:rsidRPr="00BB165A">
        <w:t>Some guiding principles</w:t>
      </w:r>
      <w:bookmarkEnd w:id="813"/>
      <w:bookmarkEnd w:id="814"/>
      <w:r w:rsidRPr="00BB165A">
        <w:t xml:space="preserve"> </w:t>
      </w:r>
    </w:p>
    <w:p w14:paraId="745F89F8" w14:textId="54F44F27" w:rsidR="009F60F0" w:rsidRPr="00BB165A" w:rsidRDefault="009F60F0" w:rsidP="009F60F0">
      <w:r w:rsidRPr="00BB165A">
        <w:t>The objective of this exercise, as outlined above, is to estimate the cost of teaching (including scholarship) in higher education. While the collection is intended to reconcile against universities’</w:t>
      </w:r>
      <w:r w:rsidR="000866F4" w:rsidRPr="00BB165A">
        <w:t xml:space="preserve"> statutory financial accounts, the basis upon which costs are characterised in the collection differs to standard accounting approaches.</w:t>
      </w:r>
      <w:r w:rsidR="00EC1A12" w:rsidRPr="00BB165A">
        <w:rPr>
          <w:rStyle w:val="FootnoteReference"/>
        </w:rPr>
        <w:footnoteReference w:id="27"/>
      </w:r>
    </w:p>
    <w:p w14:paraId="1C8B3291" w14:textId="77777777" w:rsidR="00FF7114" w:rsidRPr="00BB165A" w:rsidRDefault="00FF7114" w:rsidP="00FF7114">
      <w:r w:rsidRPr="00BB165A">
        <w:t>In seeking to appropriately estimate the cost of higher education teaching (including scholarship), the exercise is concerned with the economic cost attributable to each field and level of education. This may see costs allocated across activities in a manner, which differs to how they might be allocated for other – accounting – purposes.</w:t>
      </w:r>
    </w:p>
    <w:p w14:paraId="231FA903" w14:textId="0366F948" w:rsidR="00FF7114" w:rsidRPr="00BB165A" w:rsidRDefault="00FF7114" w:rsidP="00FF7114">
      <w:r w:rsidRPr="00BB165A">
        <w:t>With this in mind, the design of the approach and methodology has been geared toward achieving the overarching objectives of this exercise and has been informed by a number of guiding principles. These principles are intended to support the generation of a final dataset in which costs are characterised and captured in a manner that is:</w:t>
      </w:r>
    </w:p>
    <w:p w14:paraId="79FA6C4E" w14:textId="1719DDB5" w:rsidR="00FF7114" w:rsidRPr="00BB165A" w:rsidRDefault="00FF7114" w:rsidP="007B09DB">
      <w:pPr>
        <w:pStyle w:val="ListNumber"/>
        <w:numPr>
          <w:ilvl w:val="0"/>
          <w:numId w:val="29"/>
        </w:numPr>
      </w:pPr>
      <w:r w:rsidRPr="00BB165A">
        <w:rPr>
          <w:b/>
        </w:rPr>
        <w:t>Reliable</w:t>
      </w:r>
      <w:r w:rsidRPr="00BB165A">
        <w:t xml:space="preserve"> - such that a suitable level of assurance can be established regarding the underlying data.</w:t>
      </w:r>
    </w:p>
    <w:p w14:paraId="2AAF65FD" w14:textId="77777777" w:rsidR="00FF7114" w:rsidRPr="00BB165A" w:rsidRDefault="00FF7114" w:rsidP="007B09DB">
      <w:pPr>
        <w:pStyle w:val="ListNumber"/>
        <w:numPr>
          <w:ilvl w:val="0"/>
          <w:numId w:val="29"/>
        </w:numPr>
      </w:pPr>
      <w:r w:rsidRPr="00BB165A">
        <w:rPr>
          <w:b/>
        </w:rPr>
        <w:t>Comparable</w:t>
      </w:r>
      <w:r w:rsidRPr="00BB165A">
        <w:t xml:space="preserve"> - across universities, given differences in university context, and over time.</w:t>
      </w:r>
    </w:p>
    <w:p w14:paraId="18823081" w14:textId="77777777" w:rsidR="00FF7114" w:rsidRPr="00BB165A" w:rsidRDefault="00FF7114" w:rsidP="007B09DB">
      <w:pPr>
        <w:pStyle w:val="ListNumber"/>
        <w:numPr>
          <w:ilvl w:val="0"/>
          <w:numId w:val="29"/>
        </w:numPr>
      </w:pPr>
      <w:r w:rsidRPr="00BB165A">
        <w:rPr>
          <w:b/>
        </w:rPr>
        <w:t>Attributable</w:t>
      </w:r>
      <w:r w:rsidRPr="00BB165A">
        <w:t xml:space="preserve"> - ensuring costs are captured only to the extent that they are incurred as a result of a defined and in-scope activity.</w:t>
      </w:r>
    </w:p>
    <w:p w14:paraId="171481A4" w14:textId="6219F2BD" w:rsidR="00FF7114" w:rsidRPr="00BB165A" w:rsidRDefault="00FF7114" w:rsidP="007B09DB">
      <w:pPr>
        <w:pStyle w:val="ListNumber"/>
        <w:numPr>
          <w:ilvl w:val="0"/>
          <w:numId w:val="29"/>
        </w:numPr>
      </w:pPr>
      <w:r w:rsidRPr="00BB165A">
        <w:rPr>
          <w:b/>
        </w:rPr>
        <w:t xml:space="preserve">Actual </w:t>
      </w:r>
      <w:r w:rsidRPr="00BB165A">
        <w:t>- in that the economic rather than the accounting measure of cost is of primary interest to the exercise.</w:t>
      </w:r>
    </w:p>
    <w:p w14:paraId="61863F6F" w14:textId="77777777" w:rsidR="00FF7114" w:rsidRPr="00BB165A" w:rsidRDefault="00FF7114" w:rsidP="00FF7114">
      <w:pPr>
        <w:pStyle w:val="ListNumber"/>
        <w:ind w:left="720" w:firstLine="0"/>
      </w:pPr>
    </w:p>
    <w:p w14:paraId="08BE22EF" w14:textId="77777777" w:rsidR="00FF7114" w:rsidRPr="00BB165A" w:rsidRDefault="00FF7114" w:rsidP="00FF7114">
      <w:r w:rsidRPr="00BB165A">
        <w:t>The practical application of these principles necessitates an approach which:</w:t>
      </w:r>
    </w:p>
    <w:p w14:paraId="1727A565" w14:textId="77777777" w:rsidR="00FF7114" w:rsidRPr="00BB165A" w:rsidRDefault="00FF7114" w:rsidP="00FF7114">
      <w:pPr>
        <w:pStyle w:val="ListBullet"/>
      </w:pPr>
      <w:r w:rsidRPr="00BB165A">
        <w:t>scrutinises existing information sources carefully</w:t>
      </w:r>
    </w:p>
    <w:p w14:paraId="75DE9154" w14:textId="77777777" w:rsidR="00FF7114" w:rsidRPr="00BB165A" w:rsidRDefault="00FF7114" w:rsidP="00FF7114">
      <w:pPr>
        <w:pStyle w:val="ListBullet"/>
      </w:pPr>
      <w:r w:rsidRPr="00BB165A">
        <w:t>applies common definitions while allowing for local context</w:t>
      </w:r>
    </w:p>
    <w:p w14:paraId="5C5D3092" w14:textId="77777777" w:rsidR="00FF7114" w:rsidRPr="00BB165A" w:rsidRDefault="00FF7114" w:rsidP="00FF7114">
      <w:pPr>
        <w:pStyle w:val="ListBullet"/>
      </w:pPr>
      <w:r w:rsidRPr="00BB165A">
        <w:t>requires the application of standards and rules for apportioning shared costs in line with appropriate economic attribution</w:t>
      </w:r>
    </w:p>
    <w:p w14:paraId="3964CD0F" w14:textId="2C733FA4" w:rsidR="00FF7114" w:rsidRPr="00BB165A" w:rsidRDefault="00FF7114" w:rsidP="00FF7114">
      <w:pPr>
        <w:pStyle w:val="ListBullet"/>
      </w:pPr>
      <w:r w:rsidRPr="00BB165A">
        <w:t>sees iterative interaction through the course of the collection to support real time guidance and moderation.</w:t>
      </w:r>
    </w:p>
    <w:p w14:paraId="6B1B7E94" w14:textId="77777777" w:rsidR="00FF7114" w:rsidRPr="00BB165A" w:rsidRDefault="00FF7114" w:rsidP="00FF7114">
      <w:r w:rsidRPr="00BB165A">
        <w:t>Their application can be further understood with reference to two practical examples.</w:t>
      </w:r>
    </w:p>
    <w:p w14:paraId="18D3F492" w14:textId="77777777" w:rsidR="00FF7114" w:rsidRPr="00BB165A" w:rsidRDefault="00FF7114" w:rsidP="0076245C">
      <w:pPr>
        <w:pStyle w:val="Appendixhead4"/>
      </w:pPr>
      <w:r w:rsidRPr="00BB165A">
        <w:t>Example 1: Pro-rating common costs by a common cost driver</w:t>
      </w:r>
    </w:p>
    <w:p w14:paraId="165A41CF" w14:textId="77777777" w:rsidR="00FF7114" w:rsidRPr="00BB165A" w:rsidRDefault="00FF7114" w:rsidP="00FF7114">
      <w:r w:rsidRPr="00BB165A">
        <w:t>Using common cost drivers to allocate central costs is an example of applying the ‘attributable’ principle, whereby a common cost driver (or drivers) is chosen that allows systematic alignment of costs to specific teaching activities.</w:t>
      </w:r>
    </w:p>
    <w:p w14:paraId="1F9B6197" w14:textId="77777777" w:rsidR="00FF7114" w:rsidRPr="00BB165A" w:rsidRDefault="00FF7114" w:rsidP="00FF7114">
      <w:r w:rsidRPr="00BB165A">
        <w:t>For example – IT systems and computer labs may be a central cost for the whole-of-institution, but clearly have a role in teaching and may not be equally shared or used by each teaching unit. Depending on the systems available, and a university’s understanding of how to most reliably allocate costs to where they are ultimately incurred, one or multiple cost drivers may be used to partition this central cost (e.g. EFTSL, staff numbers, student login counts, etc.).</w:t>
      </w:r>
    </w:p>
    <w:p w14:paraId="26FBAAF5" w14:textId="77777777" w:rsidR="00FF7114" w:rsidRPr="00BB165A" w:rsidRDefault="00FF7114" w:rsidP="0076245C">
      <w:pPr>
        <w:pStyle w:val="Appendixhead4"/>
      </w:pPr>
      <w:r w:rsidRPr="00BB165A">
        <w:t>Example 2: Recognising scholarship activities that are required for teaching</w:t>
      </w:r>
    </w:p>
    <w:p w14:paraId="1FDA4F53" w14:textId="170CB318" w:rsidR="00FF7114" w:rsidRPr="00BB165A" w:rsidRDefault="00FF7114" w:rsidP="00FF7114">
      <w:r w:rsidRPr="00BB165A">
        <w:t>The inclusion of ‘scholarship’ costs is another example of the ‘attributable’ principle, by recognising that activities such as presenting public lectures or keeping up to date with contemporary discipline knowledge is important and necessary for the delivery of teaching and learning by staff.</w:t>
      </w:r>
      <w:r w:rsidR="00F327DA" w:rsidRPr="00BB165A">
        <w:rPr>
          <w:rStyle w:val="FootnoteReference"/>
        </w:rPr>
        <w:footnoteReference w:id="28"/>
      </w:r>
    </w:p>
    <w:p w14:paraId="36829FEA" w14:textId="1521E039" w:rsidR="00492785" w:rsidRPr="00BB165A" w:rsidRDefault="00FF7114" w:rsidP="00FF7114">
      <w:r w:rsidRPr="00BB165A">
        <w:t>Noting that the breadth and depth of scholarship activities can vary by staff type and discipline, universities are required to consider the principle of attributable costs in identifying and defining costs of scholarship, as they necessarily relate to the delivery of teaching.</w:t>
      </w:r>
    </w:p>
    <w:p w14:paraId="4C3D939F" w14:textId="77777777" w:rsidR="001B01D0" w:rsidRPr="00BB165A" w:rsidRDefault="001B01D0" w:rsidP="00146B33">
      <w:pPr>
        <w:rPr>
          <w:rFonts w:eastAsia="Times New Roman" w:cs="Times New Roman"/>
          <w:color w:val="62B5E5" w:themeColor="accent3"/>
          <w:szCs w:val="28"/>
        </w:rPr>
      </w:pPr>
      <w:bookmarkStart w:id="815" w:name="_Toc521918514"/>
      <w:r w:rsidRPr="00BB165A">
        <w:br w:type="page"/>
      </w:r>
    </w:p>
    <w:p w14:paraId="71551CC4" w14:textId="77777777" w:rsidR="00492785" w:rsidRPr="00BB165A" w:rsidRDefault="00492785" w:rsidP="00146B33">
      <w:pPr>
        <w:pStyle w:val="Appendixhead2"/>
      </w:pPr>
      <w:r w:rsidRPr="00BB165A">
        <w:t>Guidelines</w:t>
      </w:r>
      <w:bookmarkEnd w:id="815"/>
    </w:p>
    <w:p w14:paraId="693D7B85" w14:textId="77777777" w:rsidR="00492785" w:rsidRPr="00BB165A" w:rsidRDefault="00492785" w:rsidP="00146B33">
      <w:pPr>
        <w:pStyle w:val="Appendixhead3"/>
      </w:pPr>
      <w:bookmarkStart w:id="816" w:name="_Toc8637372"/>
      <w:bookmarkStart w:id="817" w:name="_Toc10626386"/>
      <w:r w:rsidRPr="00BB165A">
        <w:t>Structure of the template</w:t>
      </w:r>
      <w:bookmarkEnd w:id="816"/>
      <w:bookmarkEnd w:id="817"/>
      <w:r w:rsidRPr="00BB165A">
        <w:t xml:space="preserve"> </w:t>
      </w:r>
    </w:p>
    <w:p w14:paraId="76B881F1" w14:textId="77777777" w:rsidR="00492785" w:rsidRPr="00BB165A" w:rsidRDefault="00492785" w:rsidP="00492785">
      <w:r w:rsidRPr="00BB165A">
        <w:t xml:space="preserve">At a high level, the Transparent Costing Worksheet is structured by cost item and level of education (along rows), and by field of education (across columns). Data is collected for each combination of these three elements, which are described in detail below. </w:t>
      </w:r>
    </w:p>
    <w:p w14:paraId="1F5DF895" w14:textId="77777777" w:rsidR="00492785" w:rsidRPr="00BB165A" w:rsidRDefault="00492785" w:rsidP="002B3713">
      <w:pPr>
        <w:pStyle w:val="Appendixhead4"/>
      </w:pPr>
      <w:bookmarkStart w:id="818" w:name="_Toc8637373"/>
      <w:bookmarkStart w:id="819" w:name="_Toc10626387"/>
      <w:r w:rsidRPr="00BB165A">
        <w:t>Levels of education</w:t>
      </w:r>
      <w:bookmarkEnd w:id="818"/>
      <w:bookmarkEnd w:id="819"/>
    </w:p>
    <w:p w14:paraId="731633AF" w14:textId="77777777" w:rsidR="00492785" w:rsidRPr="00BB165A" w:rsidRDefault="00492785" w:rsidP="00492785">
      <w:pPr>
        <w:pStyle w:val="ListBullet"/>
        <w:numPr>
          <w:ilvl w:val="0"/>
          <w:numId w:val="0"/>
        </w:numPr>
      </w:pPr>
      <w:r w:rsidRPr="00BB165A">
        <w:t xml:space="preserve">The levels of education to be reported separately are sub-bachelor, bachelor, and coursework postgraduate. </w:t>
      </w:r>
      <w:r w:rsidR="00035C39" w:rsidRPr="00BB165A">
        <w:t xml:space="preserve">These are defined in </w:t>
      </w:r>
      <w:r w:rsidR="000E0793" w:rsidRPr="00BB165A">
        <w:t>Table B.1</w:t>
      </w:r>
      <w:r w:rsidR="00035C39" w:rsidRPr="00BB165A">
        <w:t>.</w:t>
      </w:r>
      <w:r w:rsidR="008A2D5F" w:rsidRPr="00BB165A">
        <w:t xml:space="preserve"> </w:t>
      </w:r>
      <w:r w:rsidRPr="00BB165A">
        <w:t xml:space="preserve">Only onshore enrolments are included in the scope of the data collection. </w:t>
      </w:r>
    </w:p>
    <w:p w14:paraId="35C9AC52" w14:textId="77777777" w:rsidR="00492785" w:rsidRPr="00BB165A" w:rsidRDefault="008A2D5F">
      <w:pPr>
        <w:pStyle w:val="AppendixTableCaption"/>
      </w:pPr>
      <w:bookmarkStart w:id="820" w:name="_Toc105776723"/>
      <w:r w:rsidRPr="00BB165A">
        <w:t>Table B.1:</w:t>
      </w:r>
      <w:r w:rsidR="00492785" w:rsidRPr="00BB165A">
        <w:t xml:space="preserve"> </w:t>
      </w:r>
      <w:bookmarkStart w:id="821" w:name="_Ref20141822"/>
      <w:bookmarkStart w:id="822" w:name="_Toc20245937"/>
      <w:r w:rsidR="00492785" w:rsidRPr="00BB165A">
        <w:t>Levels of education</w:t>
      </w:r>
      <w:bookmarkEnd w:id="820"/>
      <w:bookmarkEnd w:id="821"/>
      <w:bookmarkEnd w:id="822"/>
    </w:p>
    <w:tbl>
      <w:tblPr>
        <w:tblStyle w:val="Deloittetable"/>
        <w:tblW w:w="9215" w:type="dxa"/>
        <w:tblLayout w:type="fixed"/>
        <w:tblLook w:val="04A0" w:firstRow="1" w:lastRow="0" w:firstColumn="1" w:lastColumn="0" w:noHBand="0" w:noVBand="1"/>
      </w:tblPr>
      <w:tblGrid>
        <w:gridCol w:w="2410"/>
        <w:gridCol w:w="6805"/>
      </w:tblGrid>
      <w:tr w:rsidR="00492785" w:rsidRPr="00BB165A" w14:paraId="11E9C3EB" w14:textId="77777777" w:rsidTr="00AF7ABB">
        <w:trPr>
          <w:cnfStyle w:val="100000000000" w:firstRow="1" w:lastRow="0" w:firstColumn="0" w:lastColumn="0" w:oddVBand="0" w:evenVBand="0" w:oddHBand="0" w:evenHBand="0" w:firstRowFirstColumn="0" w:firstRowLastColumn="0" w:lastRowFirstColumn="0" w:lastRowLastColumn="0"/>
          <w:trHeight w:val="211"/>
        </w:trPr>
        <w:tc>
          <w:tcPr>
            <w:tcW w:w="2410" w:type="dxa"/>
          </w:tcPr>
          <w:p w14:paraId="14E4A76C" w14:textId="77777777" w:rsidR="00492785" w:rsidRPr="00BB165A" w:rsidRDefault="00492785" w:rsidP="00101F62">
            <w:pPr>
              <w:pStyle w:val="TabletextLeft"/>
              <w:rPr>
                <w:b/>
              </w:rPr>
            </w:pPr>
            <w:r w:rsidRPr="00BB165A">
              <w:rPr>
                <w:b/>
              </w:rPr>
              <w:t>Level of education</w:t>
            </w:r>
          </w:p>
        </w:tc>
        <w:tc>
          <w:tcPr>
            <w:tcW w:w="6805" w:type="dxa"/>
          </w:tcPr>
          <w:p w14:paraId="22F7A7B6" w14:textId="77777777" w:rsidR="00492785" w:rsidRPr="00BB165A" w:rsidRDefault="00492785" w:rsidP="00101F62">
            <w:pPr>
              <w:pStyle w:val="TabletextLeft"/>
              <w:rPr>
                <w:b/>
              </w:rPr>
            </w:pPr>
            <w:r w:rsidRPr="00BB165A">
              <w:rPr>
                <w:b/>
              </w:rPr>
              <w:t xml:space="preserve">Definition </w:t>
            </w:r>
          </w:p>
        </w:tc>
      </w:tr>
      <w:tr w:rsidR="00492785" w:rsidRPr="00BB165A" w14:paraId="64372753" w14:textId="77777777" w:rsidTr="00AF7ABB">
        <w:trPr>
          <w:trHeight w:val="409"/>
        </w:trPr>
        <w:tc>
          <w:tcPr>
            <w:tcW w:w="2410" w:type="dxa"/>
          </w:tcPr>
          <w:p w14:paraId="500DB6D5" w14:textId="77777777" w:rsidR="00492785" w:rsidRPr="00BB165A" w:rsidRDefault="00492785" w:rsidP="00101F62">
            <w:pPr>
              <w:pStyle w:val="TabletextLeft"/>
            </w:pPr>
            <w:r w:rsidRPr="00BB165A">
              <w:t xml:space="preserve">Sub-bachelor </w:t>
            </w:r>
          </w:p>
        </w:tc>
        <w:tc>
          <w:tcPr>
            <w:tcW w:w="6805" w:type="dxa"/>
          </w:tcPr>
          <w:p w14:paraId="392BE684" w14:textId="307E44AD" w:rsidR="00492785" w:rsidRPr="00BB165A" w:rsidRDefault="006B4331" w:rsidP="00101F62">
            <w:pPr>
              <w:pStyle w:val="TabletextLeft"/>
            </w:pPr>
            <w:r w:rsidRPr="00BB165A">
              <w:t>Sub-bachelor covers all courses delivered at the diploma, advanced diploma and associate degree level. Excludes non-award and enabling courses.</w:t>
            </w:r>
          </w:p>
        </w:tc>
      </w:tr>
      <w:tr w:rsidR="00492785" w:rsidRPr="00BB165A" w14:paraId="5C395BA7" w14:textId="77777777" w:rsidTr="00AF7ABB">
        <w:trPr>
          <w:trHeight w:val="409"/>
        </w:trPr>
        <w:tc>
          <w:tcPr>
            <w:tcW w:w="2410" w:type="dxa"/>
          </w:tcPr>
          <w:p w14:paraId="32EC7F08" w14:textId="77777777" w:rsidR="00492785" w:rsidRPr="00BB165A" w:rsidRDefault="00492785" w:rsidP="00101F62">
            <w:pPr>
              <w:pStyle w:val="TabletextLeft"/>
            </w:pPr>
            <w:r w:rsidRPr="00BB165A">
              <w:t>Bachelor</w:t>
            </w:r>
          </w:p>
        </w:tc>
        <w:tc>
          <w:tcPr>
            <w:tcW w:w="6805" w:type="dxa"/>
          </w:tcPr>
          <w:p w14:paraId="35D2349E" w14:textId="40BEFB38" w:rsidR="00492785" w:rsidRPr="00BB165A" w:rsidRDefault="00C55472" w:rsidP="00101F62">
            <w:pPr>
              <w:pStyle w:val="TabletextLeft"/>
            </w:pPr>
            <w:r w:rsidRPr="00BB165A">
              <w:t>Bachelor covers all courses delivered at a Bachelor degree level. This includes Bachelor's Pass, Bachelor's Honours, Undergraduate certificates and Bachelor's Graduate Entry. Excludes non-award and enabling courses.</w:t>
            </w:r>
          </w:p>
        </w:tc>
      </w:tr>
      <w:tr w:rsidR="00492785" w:rsidRPr="00BB165A" w14:paraId="1059D19F" w14:textId="77777777" w:rsidTr="00AF7ABB">
        <w:trPr>
          <w:trHeight w:val="1232"/>
        </w:trPr>
        <w:tc>
          <w:tcPr>
            <w:tcW w:w="2410" w:type="dxa"/>
          </w:tcPr>
          <w:p w14:paraId="1F7DEFBC" w14:textId="77777777" w:rsidR="00492785" w:rsidRPr="00BB165A" w:rsidRDefault="00492785" w:rsidP="00101F62">
            <w:pPr>
              <w:pStyle w:val="TabletextLeft"/>
            </w:pPr>
            <w:r w:rsidRPr="00BB165A">
              <w:t>Postgraduate coursework</w:t>
            </w:r>
          </w:p>
        </w:tc>
        <w:tc>
          <w:tcPr>
            <w:tcW w:w="6805" w:type="dxa"/>
          </w:tcPr>
          <w:p w14:paraId="3D62BF83" w14:textId="72EBADDA" w:rsidR="00492785" w:rsidRPr="00BB165A" w:rsidRDefault="00E6036F" w:rsidP="00101F62">
            <w:pPr>
              <w:pStyle w:val="TabletextLeft"/>
            </w:pPr>
            <w:r w:rsidRPr="00BB165A">
              <w:t>Postgraduate coursework includes all postgraduate degrees that are delivered predominantly through coursework (e.g. those courses for which research makes up less than two thirds of the student load as per the Commonwealth Scholarships Guidelines (Research) 2017), including Masters and coursework PhDs. Where a coursework postgraduate degree includes a research component, this should be included as postgraduate coursework. Excludes non-award and enabling courses.</w:t>
            </w:r>
          </w:p>
        </w:tc>
      </w:tr>
    </w:tbl>
    <w:p w14:paraId="71E4650E" w14:textId="77777777" w:rsidR="0050466B" w:rsidRPr="00BB165A" w:rsidRDefault="0050466B" w:rsidP="0050466B">
      <w:bookmarkStart w:id="823" w:name="_Toc8637374"/>
      <w:bookmarkStart w:id="824" w:name="_Toc10626388"/>
    </w:p>
    <w:p w14:paraId="3F5ACB2D" w14:textId="0AD39413" w:rsidR="0050466B" w:rsidRPr="00BB165A" w:rsidRDefault="0050466B" w:rsidP="0050466B">
      <w:r w:rsidRPr="00BB165A">
        <w:t>The scope of the data collection includes all students in award courses at the sub-bachelor, bachelor and postgraduate coursework level including Commonwealth Supported Places, domestic fee-paying students and onshore international students. Student in non-award courses and enabling programs are not included within the scope of the data collection exercise.</w:t>
      </w:r>
    </w:p>
    <w:p w14:paraId="193140F0" w14:textId="12B87003" w:rsidR="0050466B" w:rsidRPr="00BB165A" w:rsidRDefault="0050466B" w:rsidP="0050466B">
      <w:r w:rsidRPr="00BB165A">
        <w:t>Students who are enrolled in short-term coursework exchange programs are in scope.</w:t>
      </w:r>
      <w:r w:rsidRPr="00BB165A">
        <w:rPr>
          <w:rStyle w:val="FootnoteReference"/>
        </w:rPr>
        <w:footnoteReference w:id="29"/>
      </w:r>
      <w:r w:rsidRPr="00BB165A">
        <w:t xml:space="preserve"> While a student is on exchange, some of their teaching costs are likely to be incurred by the institution they are doing their exchange at (i.e. the host institution), which will typically be overseas. As a result, a university may not face all the teaching costs for students who are on exchange and these should not be included in the exercise. However, a university will incur additional teaching costs for inbound exchange students – that is, students who come to a university for a short-term exchange program but who are based at other institutions.</w:t>
      </w:r>
    </w:p>
    <w:p w14:paraId="6EA23B96" w14:textId="77777777" w:rsidR="0050466B" w:rsidRPr="00BB165A" w:rsidRDefault="0050466B" w:rsidP="0050466B">
      <w:pPr>
        <w:rPr>
          <w:b/>
        </w:rPr>
      </w:pPr>
      <w:r w:rsidRPr="00BB165A">
        <w:t>In practice, the number of outbound exchange students may not always match the number of inbound exchange students. However, it is reasonable to include the costs of inbound exchange students in this exercise. Although only outbound students are included as reported EFTSL (and not inbound exchange students), the cost of teaching inbound exchange students reflects the costs of offering an exchange program for an institution’s students and thus should be included in the costs of teaching and scholarship reported here.</w:t>
      </w:r>
    </w:p>
    <w:p w14:paraId="405FD7B6" w14:textId="57518D2F" w:rsidR="00492785" w:rsidRPr="00BB165A" w:rsidRDefault="00492785" w:rsidP="002B3713">
      <w:pPr>
        <w:pStyle w:val="Appendixhead4"/>
      </w:pPr>
      <w:r w:rsidRPr="00BB165A">
        <w:t>Cost items</w:t>
      </w:r>
      <w:bookmarkEnd w:id="823"/>
      <w:bookmarkEnd w:id="824"/>
    </w:p>
    <w:p w14:paraId="37E33078" w14:textId="77777777" w:rsidR="00492785" w:rsidRPr="00BB165A" w:rsidRDefault="00492785" w:rsidP="00492785">
      <w:r w:rsidRPr="00BB165A">
        <w:t>The cost items are distinguishable types of costs and have been chosen to reflect commonly understood categories of disaggregation. These cost types are:</w:t>
      </w:r>
    </w:p>
    <w:p w14:paraId="21C72CC9" w14:textId="77777777" w:rsidR="00492785" w:rsidRPr="00BB165A" w:rsidRDefault="00492785" w:rsidP="00046245">
      <w:pPr>
        <w:pStyle w:val="ListBullet"/>
      </w:pPr>
      <w:r w:rsidRPr="00BB165A">
        <w:t xml:space="preserve">Total staff costs - employee benefits and on-costs (i.e. </w:t>
      </w:r>
      <w:r w:rsidR="00035C39" w:rsidRPr="00BB165A">
        <w:t>total wage bill)</w:t>
      </w:r>
      <w:r w:rsidR="00035C39" w:rsidRPr="00BB165A">
        <w:rPr>
          <w:rStyle w:val="FootnoteReference"/>
        </w:rPr>
        <w:footnoteReference w:id="30"/>
      </w:r>
      <w:r w:rsidRPr="00BB165A">
        <w:t xml:space="preserve"> – teaching and scholarship:</w:t>
      </w:r>
    </w:p>
    <w:p w14:paraId="710DCF8B" w14:textId="77777777" w:rsidR="00492785" w:rsidRPr="00BB165A" w:rsidRDefault="00492785" w:rsidP="007B09DB">
      <w:pPr>
        <w:pStyle w:val="ListBullet"/>
        <w:numPr>
          <w:ilvl w:val="1"/>
          <w:numId w:val="12"/>
        </w:numPr>
      </w:pPr>
      <w:r w:rsidRPr="00BB165A">
        <w:t xml:space="preserve">Academic staff costs attributable to teaching and scholarship </w:t>
      </w:r>
    </w:p>
    <w:p w14:paraId="39DFEE00" w14:textId="77777777" w:rsidR="00492785" w:rsidRPr="00BB165A" w:rsidRDefault="00492785" w:rsidP="007B09DB">
      <w:pPr>
        <w:pStyle w:val="ListBullet"/>
        <w:numPr>
          <w:ilvl w:val="1"/>
          <w:numId w:val="12"/>
        </w:numPr>
      </w:pPr>
      <w:r w:rsidRPr="00BB165A">
        <w:t>Casual academic staff costs attributable to teaching and scholarship</w:t>
      </w:r>
    </w:p>
    <w:p w14:paraId="5EBA3C0E" w14:textId="77777777" w:rsidR="00492785" w:rsidRPr="00BB165A" w:rsidRDefault="00492785" w:rsidP="007B09DB">
      <w:pPr>
        <w:pStyle w:val="ListBullet"/>
        <w:numPr>
          <w:ilvl w:val="1"/>
          <w:numId w:val="12"/>
        </w:numPr>
      </w:pPr>
      <w:r w:rsidRPr="00BB165A">
        <w:t>Non-academic staff costs attributable to teaching and scholarship.</w:t>
      </w:r>
    </w:p>
    <w:p w14:paraId="299EDEEC" w14:textId="77777777" w:rsidR="00492785" w:rsidRPr="00BB165A" w:rsidRDefault="00492785" w:rsidP="00D1171B">
      <w:pPr>
        <w:pStyle w:val="ListBullet"/>
        <w:numPr>
          <w:ilvl w:val="1"/>
          <w:numId w:val="12"/>
        </w:numPr>
      </w:pPr>
      <w:r w:rsidRPr="00BB165A">
        <w:t>Non-staff costs attributable to teaching and learning:</w:t>
      </w:r>
    </w:p>
    <w:p w14:paraId="4EDAC48C" w14:textId="77777777" w:rsidR="00492785" w:rsidRPr="00BB165A" w:rsidRDefault="00492785" w:rsidP="007B09DB">
      <w:pPr>
        <w:pStyle w:val="ListBullet"/>
        <w:numPr>
          <w:ilvl w:val="1"/>
          <w:numId w:val="12"/>
        </w:numPr>
      </w:pPr>
      <w:r w:rsidRPr="00BB165A">
        <w:t xml:space="preserve">Cost of materials, utilities, equipment </w:t>
      </w:r>
    </w:p>
    <w:p w14:paraId="39B30D45" w14:textId="77777777" w:rsidR="00492785" w:rsidRPr="00BB165A" w:rsidRDefault="00492785" w:rsidP="007B09DB">
      <w:pPr>
        <w:pStyle w:val="ListBullet"/>
        <w:numPr>
          <w:ilvl w:val="1"/>
          <w:numId w:val="12"/>
        </w:numPr>
      </w:pPr>
      <w:r w:rsidRPr="00BB165A">
        <w:t>Expenses that relate to placements</w:t>
      </w:r>
      <w:r w:rsidR="00035C39" w:rsidRPr="00BB165A">
        <w:t xml:space="preserve"> (optional)</w:t>
      </w:r>
      <w:r w:rsidR="00035C39" w:rsidRPr="00BB165A">
        <w:rPr>
          <w:rStyle w:val="FootnoteReference"/>
        </w:rPr>
        <w:footnoteReference w:id="31"/>
      </w:r>
      <w:r w:rsidRPr="00BB165A">
        <w:t xml:space="preserve"> </w:t>
      </w:r>
    </w:p>
    <w:p w14:paraId="2510E4D0" w14:textId="77777777" w:rsidR="00492785" w:rsidRPr="00BB165A" w:rsidRDefault="00492785" w:rsidP="007B09DB">
      <w:pPr>
        <w:pStyle w:val="ListBullet"/>
        <w:numPr>
          <w:ilvl w:val="1"/>
          <w:numId w:val="12"/>
        </w:numPr>
      </w:pPr>
      <w:r w:rsidRPr="00BB165A">
        <w:t>Depreciation, amortisation, repairs, maintenance, borrowing, bad debts</w:t>
      </w:r>
    </w:p>
    <w:p w14:paraId="1426C3C0" w14:textId="77777777" w:rsidR="00492785" w:rsidRPr="00BB165A" w:rsidRDefault="00492785" w:rsidP="007B09DB">
      <w:pPr>
        <w:pStyle w:val="ListBullet"/>
        <w:numPr>
          <w:ilvl w:val="1"/>
          <w:numId w:val="12"/>
        </w:numPr>
      </w:pPr>
      <w:r w:rsidRPr="00BB165A">
        <w:t>Other non-staff expenses.</w:t>
      </w:r>
    </w:p>
    <w:p w14:paraId="4CDF0C40" w14:textId="77777777" w:rsidR="00D15C77" w:rsidRPr="00BB165A" w:rsidRDefault="00D15C77" w:rsidP="00D15C77">
      <w:pPr>
        <w:pStyle w:val="ListBullet"/>
        <w:numPr>
          <w:ilvl w:val="0"/>
          <w:numId w:val="0"/>
        </w:numPr>
        <w:ind w:left="680"/>
      </w:pPr>
    </w:p>
    <w:p w14:paraId="54F0A655" w14:textId="77777777" w:rsidR="00492785" w:rsidRPr="00BB165A" w:rsidRDefault="00492785" w:rsidP="00E44C0B">
      <w:r w:rsidRPr="00BB165A">
        <w:t>Some further cost measures are defined which relate to total costs across the institution (i.e. including research and non-teaching-related commercial activities) and total costs for non-teaching activities, to be used for the purposes of reconciliation with institution-wide financial reporting. These additional cost types are:</w:t>
      </w:r>
    </w:p>
    <w:p w14:paraId="673CC029" w14:textId="77777777" w:rsidR="00492785" w:rsidRPr="00BB165A" w:rsidRDefault="00492785" w:rsidP="00E44C0B">
      <w:pPr>
        <w:pStyle w:val="ListBullet"/>
      </w:pPr>
      <w:r w:rsidRPr="00BB165A">
        <w:t>Total staff costs - employee benefits and on-costs for staff excluding teaching and scholarship activities (e.g. research, community activities etc</w:t>
      </w:r>
      <w:r w:rsidR="00035C39" w:rsidRPr="00BB165A">
        <w:t>.)</w:t>
      </w:r>
    </w:p>
    <w:p w14:paraId="7F567B52" w14:textId="77777777" w:rsidR="00492785" w:rsidRPr="00BB165A" w:rsidRDefault="00492785" w:rsidP="00E44C0B">
      <w:pPr>
        <w:pStyle w:val="ListBullet"/>
      </w:pPr>
      <w:r w:rsidRPr="00BB165A">
        <w:t>Total staff costs - employee benefits and on-costs for all staff (i.e. total wage bill</w:t>
      </w:r>
      <w:r w:rsidR="00035C39" w:rsidRPr="00BB165A">
        <w:t>)</w:t>
      </w:r>
    </w:p>
    <w:p w14:paraId="73C9EF8A" w14:textId="77777777" w:rsidR="00492785" w:rsidRPr="00BB165A" w:rsidRDefault="00492785" w:rsidP="00E44C0B">
      <w:pPr>
        <w:pStyle w:val="ListBullet"/>
      </w:pPr>
      <w:r w:rsidRPr="00BB165A">
        <w:t>Total non-staff costs excluding teaching and scholarship activities (e.g. research, community activities etc</w:t>
      </w:r>
      <w:r w:rsidR="00035C39" w:rsidRPr="00BB165A">
        <w:t>.)</w:t>
      </w:r>
    </w:p>
    <w:p w14:paraId="47BEFD0A" w14:textId="40D984D6" w:rsidR="00492785" w:rsidRPr="00BB165A" w:rsidRDefault="00492785" w:rsidP="00E44C0B">
      <w:pPr>
        <w:pStyle w:val="ListBullet"/>
      </w:pPr>
      <w:r w:rsidRPr="00BB165A">
        <w:t>Total non-staff costs for the whole institution.</w:t>
      </w:r>
    </w:p>
    <w:p w14:paraId="04FE3ECE" w14:textId="77777777" w:rsidR="00492785" w:rsidRPr="00BB165A" w:rsidRDefault="00492785" w:rsidP="00492785">
      <w:r w:rsidRPr="00BB165A">
        <w:t>It is not required that these costs be provided by field of education, but rather at the whole of institution level.</w:t>
      </w:r>
    </w:p>
    <w:p w14:paraId="25F3EA12" w14:textId="5882FB4E" w:rsidR="00492785" w:rsidRPr="00BB165A" w:rsidRDefault="00035C39" w:rsidP="00492785">
      <w:pPr>
        <w:rPr>
          <w:b/>
        </w:rPr>
      </w:pPr>
      <w:r w:rsidRPr="00BB165A">
        <w:t xml:space="preserve">Three additional items are also separately identified below the main costing collection area of the template – ‘in-kind’ costs, ‘third-party and partnership’ costs and an optional ‘depreciation adjustment’. These items are collected to inform a broader picture of costs, but are not used in reconciliation with financial reporting. </w:t>
      </w:r>
      <w:r w:rsidR="00E44C0B" w:rsidRPr="00BB165A">
        <w:t xml:space="preserve">These three items are described in more detail in </w:t>
      </w:r>
      <w:r w:rsidR="003B3FAD" w:rsidRPr="00BB165A">
        <w:t>later.</w:t>
      </w:r>
    </w:p>
    <w:p w14:paraId="6ED7FAA0" w14:textId="55AE976C" w:rsidR="00492785" w:rsidRPr="00BB165A" w:rsidRDefault="00492785" w:rsidP="002B3713">
      <w:pPr>
        <w:pStyle w:val="Appendixhead4"/>
      </w:pPr>
      <w:bookmarkStart w:id="825" w:name="_Toc8637375"/>
      <w:bookmarkStart w:id="826" w:name="_Toc10626389"/>
      <w:r w:rsidRPr="00BB165A">
        <w:t>Fields of education</w:t>
      </w:r>
      <w:bookmarkEnd w:id="825"/>
      <w:bookmarkEnd w:id="826"/>
    </w:p>
    <w:p w14:paraId="07B63B0F" w14:textId="40433F7A" w:rsidR="00A428E2" w:rsidRPr="00BB165A" w:rsidRDefault="00A428E2" w:rsidP="00A428E2">
      <w:bookmarkStart w:id="827" w:name="_Ref20141894"/>
      <w:bookmarkStart w:id="828" w:name="_Toc20245938"/>
      <w:r w:rsidRPr="00BB165A">
        <w:t>Fields of education are defined using 22 ASCED code groupings in Table B.2. These fields of education have been chosen by the Department. The current categories were adopted in the 2018 exercise and are broadly consistent with those chosen in the previous 2016 exercise. The columns representing fields of education should be considered to be exhaustive, such that all courses and teaching activity are captured. A full six-digit concordance tab is also provided in the Transparent Costing Worksheet.</w:t>
      </w:r>
    </w:p>
    <w:p w14:paraId="7625801F" w14:textId="3DE7FBDE" w:rsidR="00492785" w:rsidRPr="00BB165A" w:rsidRDefault="008A2D5F">
      <w:pPr>
        <w:pStyle w:val="AppendixTableCaption"/>
      </w:pPr>
      <w:bookmarkStart w:id="829" w:name="_Toc105776724"/>
      <w:r w:rsidRPr="00BB165A">
        <w:t>Table B.2</w:t>
      </w:r>
      <w:r w:rsidR="00492785" w:rsidRPr="00BB165A">
        <w:t>: Fields of education</w:t>
      </w:r>
      <w:bookmarkEnd w:id="827"/>
      <w:bookmarkEnd w:id="828"/>
      <w:bookmarkEnd w:id="829"/>
      <w:r w:rsidR="00492785" w:rsidRPr="00BB165A">
        <w:t xml:space="preserve"> </w:t>
      </w:r>
    </w:p>
    <w:tbl>
      <w:tblPr>
        <w:tblStyle w:val="Deloittetable"/>
        <w:tblW w:w="6946" w:type="dxa"/>
        <w:tblLook w:val="04A0" w:firstRow="1" w:lastRow="0" w:firstColumn="1" w:lastColumn="0" w:noHBand="0" w:noVBand="1"/>
      </w:tblPr>
      <w:tblGrid>
        <w:gridCol w:w="1560"/>
        <w:gridCol w:w="2126"/>
        <w:gridCol w:w="3260"/>
      </w:tblGrid>
      <w:tr w:rsidR="00492785" w:rsidRPr="00BB165A" w14:paraId="54B8BD3D" w14:textId="77777777" w:rsidTr="00035C39">
        <w:trPr>
          <w:cnfStyle w:val="100000000000" w:firstRow="1" w:lastRow="0" w:firstColumn="0" w:lastColumn="0" w:oddVBand="0" w:evenVBand="0" w:oddHBand="0" w:evenHBand="0" w:firstRowFirstColumn="0" w:firstRowLastColumn="0" w:lastRowFirstColumn="0" w:lastRowLastColumn="0"/>
          <w:tblHeader/>
        </w:trPr>
        <w:tc>
          <w:tcPr>
            <w:tcW w:w="1560" w:type="dxa"/>
          </w:tcPr>
          <w:p w14:paraId="17B11B47" w14:textId="77777777" w:rsidR="00492785" w:rsidRPr="00BB165A" w:rsidRDefault="00492785" w:rsidP="00101F62">
            <w:pPr>
              <w:rPr>
                <w:b/>
              </w:rPr>
            </w:pPr>
            <w:r w:rsidRPr="00BB165A">
              <w:rPr>
                <w:b/>
              </w:rPr>
              <w:t>Number</w:t>
            </w:r>
          </w:p>
        </w:tc>
        <w:tc>
          <w:tcPr>
            <w:tcW w:w="2126" w:type="dxa"/>
          </w:tcPr>
          <w:p w14:paraId="00702992" w14:textId="77777777" w:rsidR="00492785" w:rsidRPr="00BB165A" w:rsidRDefault="00492785" w:rsidP="00101F62">
            <w:pPr>
              <w:rPr>
                <w:b/>
              </w:rPr>
            </w:pPr>
            <w:r w:rsidRPr="00BB165A">
              <w:rPr>
                <w:b/>
              </w:rPr>
              <w:t>ASCED Code</w:t>
            </w:r>
          </w:p>
        </w:tc>
        <w:tc>
          <w:tcPr>
            <w:tcW w:w="3260" w:type="dxa"/>
          </w:tcPr>
          <w:p w14:paraId="69F7710C" w14:textId="77777777" w:rsidR="00492785" w:rsidRPr="00BB165A" w:rsidRDefault="00492785" w:rsidP="00101F62">
            <w:pPr>
              <w:rPr>
                <w:b/>
              </w:rPr>
            </w:pPr>
            <w:r w:rsidRPr="00BB165A">
              <w:rPr>
                <w:b/>
              </w:rPr>
              <w:t>Title</w:t>
            </w:r>
          </w:p>
        </w:tc>
      </w:tr>
      <w:tr w:rsidR="00492785" w:rsidRPr="00BB165A" w14:paraId="53E4CACD" w14:textId="77777777" w:rsidTr="00035C39">
        <w:trPr>
          <w:tblHeader/>
        </w:trPr>
        <w:tc>
          <w:tcPr>
            <w:tcW w:w="1560" w:type="dxa"/>
          </w:tcPr>
          <w:p w14:paraId="4E40B75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w:t>
            </w:r>
          </w:p>
        </w:tc>
        <w:tc>
          <w:tcPr>
            <w:tcW w:w="2126" w:type="dxa"/>
            <w:vAlign w:val="bottom"/>
          </w:tcPr>
          <w:p w14:paraId="23C6207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0101</w:t>
            </w:r>
          </w:p>
        </w:tc>
        <w:tc>
          <w:tcPr>
            <w:tcW w:w="3260" w:type="dxa"/>
            <w:vAlign w:val="bottom"/>
          </w:tcPr>
          <w:p w14:paraId="02D8D80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Mathematical Science</w:t>
            </w:r>
          </w:p>
        </w:tc>
      </w:tr>
      <w:tr w:rsidR="00492785" w:rsidRPr="00BB165A" w14:paraId="62911E39" w14:textId="77777777" w:rsidTr="00035C39">
        <w:trPr>
          <w:tblHeader/>
        </w:trPr>
        <w:tc>
          <w:tcPr>
            <w:tcW w:w="1560" w:type="dxa"/>
          </w:tcPr>
          <w:p w14:paraId="0B450C2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2</w:t>
            </w:r>
          </w:p>
        </w:tc>
        <w:tc>
          <w:tcPr>
            <w:tcW w:w="2126" w:type="dxa"/>
            <w:vAlign w:val="bottom"/>
          </w:tcPr>
          <w:p w14:paraId="72EFA09C"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0109901</w:t>
            </w:r>
          </w:p>
        </w:tc>
        <w:tc>
          <w:tcPr>
            <w:tcW w:w="3260" w:type="dxa"/>
            <w:vAlign w:val="bottom"/>
          </w:tcPr>
          <w:p w14:paraId="6DF17136"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Medical Science</w:t>
            </w:r>
          </w:p>
        </w:tc>
      </w:tr>
      <w:tr w:rsidR="00492785" w:rsidRPr="00BB165A" w14:paraId="6DEBE39D" w14:textId="77777777" w:rsidTr="00035C39">
        <w:trPr>
          <w:tblHeader/>
        </w:trPr>
        <w:tc>
          <w:tcPr>
            <w:tcW w:w="1560" w:type="dxa"/>
          </w:tcPr>
          <w:p w14:paraId="7441696A"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3</w:t>
            </w:r>
          </w:p>
        </w:tc>
        <w:tc>
          <w:tcPr>
            <w:tcW w:w="2126" w:type="dxa"/>
            <w:vAlign w:val="bottom"/>
          </w:tcPr>
          <w:p w14:paraId="0C75F941"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 xml:space="preserve">01 – Other </w:t>
            </w:r>
          </w:p>
        </w:tc>
        <w:tc>
          <w:tcPr>
            <w:tcW w:w="3260" w:type="dxa"/>
            <w:vAlign w:val="bottom"/>
          </w:tcPr>
          <w:p w14:paraId="24E7DBE7"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Other Science</w:t>
            </w:r>
          </w:p>
        </w:tc>
      </w:tr>
      <w:tr w:rsidR="00492785" w:rsidRPr="00BB165A" w14:paraId="0799BAEB" w14:textId="77777777" w:rsidTr="00035C39">
        <w:trPr>
          <w:tblHeader/>
        </w:trPr>
        <w:tc>
          <w:tcPr>
            <w:tcW w:w="1560" w:type="dxa"/>
          </w:tcPr>
          <w:p w14:paraId="0D87EECE"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4</w:t>
            </w:r>
          </w:p>
        </w:tc>
        <w:tc>
          <w:tcPr>
            <w:tcW w:w="2126" w:type="dxa"/>
            <w:vAlign w:val="bottom"/>
          </w:tcPr>
          <w:p w14:paraId="32E1168D"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02</w:t>
            </w:r>
          </w:p>
        </w:tc>
        <w:tc>
          <w:tcPr>
            <w:tcW w:w="3260" w:type="dxa"/>
            <w:vAlign w:val="bottom"/>
          </w:tcPr>
          <w:p w14:paraId="002ADE2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Information Technology</w:t>
            </w:r>
          </w:p>
        </w:tc>
      </w:tr>
      <w:tr w:rsidR="00492785" w:rsidRPr="00BB165A" w14:paraId="0C8B6F33" w14:textId="77777777" w:rsidTr="00035C39">
        <w:trPr>
          <w:tblHeader/>
        </w:trPr>
        <w:tc>
          <w:tcPr>
            <w:tcW w:w="1560" w:type="dxa"/>
          </w:tcPr>
          <w:p w14:paraId="2FA46BB1"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5</w:t>
            </w:r>
          </w:p>
        </w:tc>
        <w:tc>
          <w:tcPr>
            <w:tcW w:w="2126" w:type="dxa"/>
            <w:vAlign w:val="bottom"/>
          </w:tcPr>
          <w:p w14:paraId="51C42E7F"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03</w:t>
            </w:r>
          </w:p>
        </w:tc>
        <w:tc>
          <w:tcPr>
            <w:tcW w:w="3260" w:type="dxa"/>
            <w:vAlign w:val="bottom"/>
          </w:tcPr>
          <w:p w14:paraId="6E389A7C"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Engineering and Related Technology</w:t>
            </w:r>
          </w:p>
        </w:tc>
      </w:tr>
      <w:tr w:rsidR="00492785" w:rsidRPr="00BB165A" w14:paraId="40930CE8" w14:textId="77777777" w:rsidTr="00035C39">
        <w:trPr>
          <w:tblHeader/>
        </w:trPr>
        <w:tc>
          <w:tcPr>
            <w:tcW w:w="1560" w:type="dxa"/>
          </w:tcPr>
          <w:p w14:paraId="5C35BD9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6</w:t>
            </w:r>
          </w:p>
        </w:tc>
        <w:tc>
          <w:tcPr>
            <w:tcW w:w="2126" w:type="dxa"/>
            <w:vAlign w:val="bottom"/>
          </w:tcPr>
          <w:p w14:paraId="14B6F6F7"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04</w:t>
            </w:r>
          </w:p>
        </w:tc>
        <w:tc>
          <w:tcPr>
            <w:tcW w:w="3260" w:type="dxa"/>
            <w:vAlign w:val="bottom"/>
          </w:tcPr>
          <w:p w14:paraId="4A2D228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Architecture and Building</w:t>
            </w:r>
          </w:p>
        </w:tc>
      </w:tr>
      <w:tr w:rsidR="00492785" w:rsidRPr="00BB165A" w14:paraId="5ACC086B" w14:textId="77777777" w:rsidTr="00035C39">
        <w:trPr>
          <w:tblHeader/>
        </w:trPr>
        <w:tc>
          <w:tcPr>
            <w:tcW w:w="1560" w:type="dxa"/>
          </w:tcPr>
          <w:p w14:paraId="6462F506"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7</w:t>
            </w:r>
          </w:p>
        </w:tc>
        <w:tc>
          <w:tcPr>
            <w:tcW w:w="2126" w:type="dxa"/>
            <w:vAlign w:val="bottom"/>
          </w:tcPr>
          <w:p w14:paraId="435ED1BA"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0509</w:t>
            </w:r>
          </w:p>
        </w:tc>
        <w:tc>
          <w:tcPr>
            <w:tcW w:w="3260" w:type="dxa"/>
            <w:vAlign w:val="bottom"/>
          </w:tcPr>
          <w:p w14:paraId="27A0B1A6"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Environmental Science</w:t>
            </w:r>
          </w:p>
        </w:tc>
      </w:tr>
      <w:tr w:rsidR="00492785" w:rsidRPr="00BB165A" w14:paraId="3794542E" w14:textId="77777777" w:rsidTr="00035C39">
        <w:trPr>
          <w:tblHeader/>
        </w:trPr>
        <w:tc>
          <w:tcPr>
            <w:tcW w:w="1560" w:type="dxa"/>
          </w:tcPr>
          <w:p w14:paraId="606BC5EA"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8</w:t>
            </w:r>
          </w:p>
        </w:tc>
        <w:tc>
          <w:tcPr>
            <w:tcW w:w="2126" w:type="dxa"/>
          </w:tcPr>
          <w:p w14:paraId="21948211"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 xml:space="preserve">05 – Other </w:t>
            </w:r>
          </w:p>
        </w:tc>
        <w:tc>
          <w:tcPr>
            <w:tcW w:w="3260" w:type="dxa"/>
            <w:vAlign w:val="bottom"/>
          </w:tcPr>
          <w:p w14:paraId="594E9AC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Other Agriculture, Environmental and Related Studies</w:t>
            </w:r>
          </w:p>
        </w:tc>
      </w:tr>
      <w:tr w:rsidR="00492785" w:rsidRPr="00BB165A" w14:paraId="436ABD42" w14:textId="77777777" w:rsidTr="00035C39">
        <w:trPr>
          <w:tblHeader/>
        </w:trPr>
        <w:tc>
          <w:tcPr>
            <w:tcW w:w="1560" w:type="dxa"/>
          </w:tcPr>
          <w:p w14:paraId="506E2FA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9</w:t>
            </w:r>
          </w:p>
        </w:tc>
        <w:tc>
          <w:tcPr>
            <w:tcW w:w="2126" w:type="dxa"/>
            <w:vAlign w:val="bottom"/>
          </w:tcPr>
          <w:p w14:paraId="2E278D7C"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0601</w:t>
            </w:r>
          </w:p>
        </w:tc>
        <w:tc>
          <w:tcPr>
            <w:tcW w:w="3260" w:type="dxa"/>
            <w:vAlign w:val="bottom"/>
          </w:tcPr>
          <w:p w14:paraId="3E6BAA22"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Medical Studies</w:t>
            </w:r>
          </w:p>
        </w:tc>
      </w:tr>
      <w:tr w:rsidR="00492785" w:rsidRPr="00BB165A" w14:paraId="719CAD17" w14:textId="77777777" w:rsidTr="00035C39">
        <w:trPr>
          <w:tblHeader/>
        </w:trPr>
        <w:tc>
          <w:tcPr>
            <w:tcW w:w="1560" w:type="dxa"/>
          </w:tcPr>
          <w:p w14:paraId="70EB5DD2"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10</w:t>
            </w:r>
          </w:p>
        </w:tc>
        <w:tc>
          <w:tcPr>
            <w:tcW w:w="2126" w:type="dxa"/>
            <w:vAlign w:val="bottom"/>
          </w:tcPr>
          <w:p w14:paraId="107B411F"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0603</w:t>
            </w:r>
          </w:p>
        </w:tc>
        <w:tc>
          <w:tcPr>
            <w:tcW w:w="3260" w:type="dxa"/>
            <w:vAlign w:val="bottom"/>
          </w:tcPr>
          <w:p w14:paraId="637DF13D"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Nursing</w:t>
            </w:r>
          </w:p>
        </w:tc>
      </w:tr>
      <w:tr w:rsidR="00492785" w:rsidRPr="00BB165A" w14:paraId="7333FC7B" w14:textId="77777777" w:rsidTr="00035C39">
        <w:trPr>
          <w:tblHeader/>
        </w:trPr>
        <w:tc>
          <w:tcPr>
            <w:tcW w:w="1560" w:type="dxa"/>
          </w:tcPr>
          <w:p w14:paraId="22A935D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11</w:t>
            </w:r>
          </w:p>
        </w:tc>
        <w:tc>
          <w:tcPr>
            <w:tcW w:w="2126" w:type="dxa"/>
            <w:vAlign w:val="bottom"/>
          </w:tcPr>
          <w:p w14:paraId="5082E433"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0607</w:t>
            </w:r>
          </w:p>
        </w:tc>
        <w:tc>
          <w:tcPr>
            <w:tcW w:w="3260" w:type="dxa"/>
            <w:vAlign w:val="bottom"/>
          </w:tcPr>
          <w:p w14:paraId="48795EB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Dental Studies</w:t>
            </w:r>
          </w:p>
        </w:tc>
      </w:tr>
      <w:tr w:rsidR="00492785" w:rsidRPr="00BB165A" w14:paraId="6E843185" w14:textId="77777777" w:rsidTr="00035C39">
        <w:trPr>
          <w:tblHeader/>
        </w:trPr>
        <w:tc>
          <w:tcPr>
            <w:tcW w:w="1560" w:type="dxa"/>
          </w:tcPr>
          <w:p w14:paraId="2C69DEA4"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12</w:t>
            </w:r>
          </w:p>
        </w:tc>
        <w:tc>
          <w:tcPr>
            <w:tcW w:w="2126" w:type="dxa"/>
            <w:vAlign w:val="bottom"/>
          </w:tcPr>
          <w:p w14:paraId="748EF90A"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 xml:space="preserve">0611 </w:t>
            </w:r>
          </w:p>
        </w:tc>
        <w:tc>
          <w:tcPr>
            <w:tcW w:w="3260" w:type="dxa"/>
            <w:vAlign w:val="bottom"/>
          </w:tcPr>
          <w:p w14:paraId="2BF4EF11"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Veterinary Studies</w:t>
            </w:r>
          </w:p>
        </w:tc>
      </w:tr>
      <w:tr w:rsidR="00492785" w:rsidRPr="00BB165A" w14:paraId="557029D8" w14:textId="77777777" w:rsidTr="00035C39">
        <w:trPr>
          <w:tblHeader/>
        </w:trPr>
        <w:tc>
          <w:tcPr>
            <w:tcW w:w="1560" w:type="dxa"/>
          </w:tcPr>
          <w:p w14:paraId="606CAD0E"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13</w:t>
            </w:r>
          </w:p>
        </w:tc>
        <w:tc>
          <w:tcPr>
            <w:tcW w:w="2126" w:type="dxa"/>
            <w:vAlign w:val="bottom"/>
          </w:tcPr>
          <w:p w14:paraId="4437E819"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 xml:space="preserve">06 – Other </w:t>
            </w:r>
          </w:p>
        </w:tc>
        <w:tc>
          <w:tcPr>
            <w:tcW w:w="3260" w:type="dxa"/>
            <w:vAlign w:val="bottom"/>
          </w:tcPr>
          <w:p w14:paraId="2FCFE42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Other Health</w:t>
            </w:r>
          </w:p>
        </w:tc>
      </w:tr>
      <w:tr w:rsidR="00492785" w:rsidRPr="00BB165A" w14:paraId="3F91BC77" w14:textId="77777777" w:rsidTr="00035C39">
        <w:trPr>
          <w:tblHeader/>
        </w:trPr>
        <w:tc>
          <w:tcPr>
            <w:tcW w:w="1560" w:type="dxa"/>
          </w:tcPr>
          <w:p w14:paraId="4B022B78"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14</w:t>
            </w:r>
          </w:p>
        </w:tc>
        <w:tc>
          <w:tcPr>
            <w:tcW w:w="2126" w:type="dxa"/>
            <w:vAlign w:val="bottom"/>
          </w:tcPr>
          <w:p w14:paraId="2D4A78EE"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07</w:t>
            </w:r>
          </w:p>
        </w:tc>
        <w:tc>
          <w:tcPr>
            <w:tcW w:w="3260" w:type="dxa"/>
            <w:vAlign w:val="bottom"/>
          </w:tcPr>
          <w:p w14:paraId="1D0E103D"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Education</w:t>
            </w:r>
          </w:p>
        </w:tc>
      </w:tr>
      <w:tr w:rsidR="00492785" w:rsidRPr="00BB165A" w14:paraId="613AA05A" w14:textId="77777777" w:rsidTr="00035C39">
        <w:trPr>
          <w:tblHeader/>
        </w:trPr>
        <w:tc>
          <w:tcPr>
            <w:tcW w:w="1560" w:type="dxa"/>
          </w:tcPr>
          <w:p w14:paraId="54F805EF"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15</w:t>
            </w:r>
          </w:p>
        </w:tc>
        <w:tc>
          <w:tcPr>
            <w:tcW w:w="2126" w:type="dxa"/>
            <w:vAlign w:val="bottom"/>
          </w:tcPr>
          <w:p w14:paraId="4A08807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08</w:t>
            </w:r>
          </w:p>
        </w:tc>
        <w:tc>
          <w:tcPr>
            <w:tcW w:w="3260" w:type="dxa"/>
            <w:vAlign w:val="bottom"/>
          </w:tcPr>
          <w:p w14:paraId="4334F227"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Management and Commerce</w:t>
            </w:r>
          </w:p>
        </w:tc>
      </w:tr>
      <w:tr w:rsidR="00492785" w:rsidRPr="00BB165A" w14:paraId="47A345BB" w14:textId="77777777" w:rsidTr="00035C39">
        <w:trPr>
          <w:tblHeader/>
        </w:trPr>
        <w:tc>
          <w:tcPr>
            <w:tcW w:w="1560" w:type="dxa"/>
          </w:tcPr>
          <w:p w14:paraId="212682E6"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16</w:t>
            </w:r>
          </w:p>
        </w:tc>
        <w:tc>
          <w:tcPr>
            <w:tcW w:w="2126" w:type="dxa"/>
            <w:vAlign w:val="bottom"/>
          </w:tcPr>
          <w:p w14:paraId="5D78821A"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090701</w:t>
            </w:r>
          </w:p>
        </w:tc>
        <w:tc>
          <w:tcPr>
            <w:tcW w:w="3260" w:type="dxa"/>
            <w:vAlign w:val="bottom"/>
          </w:tcPr>
          <w:p w14:paraId="73240366"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Psychology*</w:t>
            </w:r>
          </w:p>
        </w:tc>
      </w:tr>
      <w:tr w:rsidR="00492785" w:rsidRPr="00BB165A" w14:paraId="0A92F22A" w14:textId="77777777" w:rsidTr="00035C39">
        <w:trPr>
          <w:tblHeader/>
        </w:trPr>
        <w:tc>
          <w:tcPr>
            <w:tcW w:w="1560" w:type="dxa"/>
          </w:tcPr>
          <w:p w14:paraId="5DB70381"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17</w:t>
            </w:r>
          </w:p>
        </w:tc>
        <w:tc>
          <w:tcPr>
            <w:tcW w:w="2126" w:type="dxa"/>
            <w:vAlign w:val="bottom"/>
          </w:tcPr>
          <w:p w14:paraId="510E4D4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091503 to 091519</w:t>
            </w:r>
          </w:p>
        </w:tc>
        <w:tc>
          <w:tcPr>
            <w:tcW w:w="3260" w:type="dxa"/>
            <w:vAlign w:val="bottom"/>
          </w:tcPr>
          <w:p w14:paraId="2CB72F01"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Foreign Languages and Translating</w:t>
            </w:r>
          </w:p>
        </w:tc>
      </w:tr>
      <w:tr w:rsidR="00492785" w:rsidRPr="00BB165A" w14:paraId="648DE66C" w14:textId="77777777" w:rsidTr="00035C39">
        <w:trPr>
          <w:tblHeader/>
        </w:trPr>
        <w:tc>
          <w:tcPr>
            <w:tcW w:w="1560" w:type="dxa"/>
          </w:tcPr>
          <w:p w14:paraId="4260DC98"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18</w:t>
            </w:r>
          </w:p>
        </w:tc>
        <w:tc>
          <w:tcPr>
            <w:tcW w:w="2126" w:type="dxa"/>
            <w:vAlign w:val="bottom"/>
          </w:tcPr>
          <w:p w14:paraId="18FB9AEC"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 xml:space="preserve">09 – Other </w:t>
            </w:r>
          </w:p>
        </w:tc>
        <w:tc>
          <w:tcPr>
            <w:tcW w:w="3260" w:type="dxa"/>
            <w:vAlign w:val="bottom"/>
          </w:tcPr>
          <w:p w14:paraId="07731233"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Other Society and Culture</w:t>
            </w:r>
          </w:p>
        </w:tc>
      </w:tr>
      <w:tr w:rsidR="00492785" w:rsidRPr="00BB165A" w14:paraId="2DC9DB49" w14:textId="77777777" w:rsidTr="00035C39">
        <w:trPr>
          <w:tblHeader/>
        </w:trPr>
        <w:tc>
          <w:tcPr>
            <w:tcW w:w="1560" w:type="dxa"/>
          </w:tcPr>
          <w:p w14:paraId="32CDAA68"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19</w:t>
            </w:r>
          </w:p>
        </w:tc>
        <w:tc>
          <w:tcPr>
            <w:tcW w:w="2126" w:type="dxa"/>
            <w:vAlign w:val="bottom"/>
          </w:tcPr>
          <w:p w14:paraId="170F2436"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1007</w:t>
            </w:r>
          </w:p>
        </w:tc>
        <w:tc>
          <w:tcPr>
            <w:tcW w:w="3260" w:type="dxa"/>
            <w:vAlign w:val="bottom"/>
          </w:tcPr>
          <w:p w14:paraId="3AECE995"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cs="Arial"/>
                <w:color w:val="000000"/>
                <w:sz w:val="16"/>
                <w:szCs w:val="16"/>
              </w:rPr>
              <w:t>Communication and Media Studies</w:t>
            </w:r>
          </w:p>
        </w:tc>
      </w:tr>
      <w:tr w:rsidR="00492785" w:rsidRPr="00BB165A" w14:paraId="30B8B520" w14:textId="77777777" w:rsidTr="00035C39">
        <w:trPr>
          <w:tblHeader/>
        </w:trPr>
        <w:tc>
          <w:tcPr>
            <w:tcW w:w="1560" w:type="dxa"/>
          </w:tcPr>
          <w:p w14:paraId="33EE5769"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20</w:t>
            </w:r>
          </w:p>
        </w:tc>
        <w:tc>
          <w:tcPr>
            <w:tcW w:w="2126" w:type="dxa"/>
            <w:vAlign w:val="bottom"/>
          </w:tcPr>
          <w:p w14:paraId="599C3374"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 xml:space="preserve">10 – Other </w:t>
            </w:r>
          </w:p>
        </w:tc>
        <w:tc>
          <w:tcPr>
            <w:tcW w:w="3260" w:type="dxa"/>
            <w:vAlign w:val="bottom"/>
          </w:tcPr>
          <w:p w14:paraId="586EE0F3"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6"/>
                <w:szCs w:val="16"/>
              </w:rPr>
            </w:pPr>
            <w:r w:rsidRPr="00BB165A">
              <w:rPr>
                <w:rFonts w:asciiTheme="majorHAnsi" w:hAnsiTheme="majorHAnsi" w:cs="Arial"/>
                <w:color w:val="000000"/>
                <w:sz w:val="16"/>
                <w:szCs w:val="16"/>
              </w:rPr>
              <w:t>Other Creative Arts</w:t>
            </w:r>
          </w:p>
        </w:tc>
      </w:tr>
      <w:tr w:rsidR="00492785" w:rsidRPr="00BB165A" w14:paraId="747955F3" w14:textId="77777777" w:rsidTr="00035C39">
        <w:trPr>
          <w:tblHeader/>
        </w:trPr>
        <w:tc>
          <w:tcPr>
            <w:tcW w:w="1560" w:type="dxa"/>
          </w:tcPr>
          <w:p w14:paraId="39096737"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21</w:t>
            </w:r>
          </w:p>
        </w:tc>
        <w:tc>
          <w:tcPr>
            <w:tcW w:w="2126" w:type="dxa"/>
            <w:vAlign w:val="bottom"/>
          </w:tcPr>
          <w:p w14:paraId="38C9739C"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11</w:t>
            </w:r>
          </w:p>
        </w:tc>
        <w:tc>
          <w:tcPr>
            <w:tcW w:w="3260" w:type="dxa"/>
            <w:vAlign w:val="bottom"/>
          </w:tcPr>
          <w:p w14:paraId="2364FE37"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6"/>
                <w:szCs w:val="16"/>
              </w:rPr>
            </w:pPr>
            <w:r w:rsidRPr="00BB165A">
              <w:rPr>
                <w:rFonts w:asciiTheme="majorHAnsi" w:hAnsiTheme="majorHAnsi"/>
                <w:sz w:val="16"/>
                <w:szCs w:val="16"/>
              </w:rPr>
              <w:t>Food, Hospitality and Personal Services</w:t>
            </w:r>
          </w:p>
        </w:tc>
      </w:tr>
      <w:tr w:rsidR="00492785" w:rsidRPr="00BB165A" w14:paraId="15BA592A" w14:textId="77777777" w:rsidTr="00035C39">
        <w:trPr>
          <w:tblHeader/>
        </w:trPr>
        <w:tc>
          <w:tcPr>
            <w:tcW w:w="1560" w:type="dxa"/>
            <w:tcBorders>
              <w:bottom w:val="single" w:sz="4" w:space="0" w:color="000000" w:themeColor="text1"/>
            </w:tcBorders>
          </w:tcPr>
          <w:p w14:paraId="6DE3408A"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22</w:t>
            </w:r>
          </w:p>
        </w:tc>
        <w:tc>
          <w:tcPr>
            <w:tcW w:w="2126" w:type="dxa"/>
            <w:tcBorders>
              <w:bottom w:val="single" w:sz="4" w:space="0" w:color="000000" w:themeColor="text1"/>
            </w:tcBorders>
            <w:vAlign w:val="bottom"/>
          </w:tcPr>
          <w:p w14:paraId="422FD250"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BB165A">
              <w:rPr>
                <w:rFonts w:asciiTheme="majorHAnsi" w:hAnsiTheme="majorHAnsi"/>
                <w:sz w:val="16"/>
                <w:szCs w:val="16"/>
              </w:rPr>
              <w:t>12</w:t>
            </w:r>
          </w:p>
        </w:tc>
        <w:tc>
          <w:tcPr>
            <w:tcW w:w="3260" w:type="dxa"/>
            <w:tcBorders>
              <w:bottom w:val="single" w:sz="4" w:space="0" w:color="000000" w:themeColor="text1"/>
            </w:tcBorders>
            <w:vAlign w:val="bottom"/>
          </w:tcPr>
          <w:p w14:paraId="3FA41B5B" w14:textId="77777777" w:rsidR="00492785" w:rsidRPr="00BB165A" w:rsidRDefault="00492785" w:rsidP="00101F62">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6"/>
                <w:szCs w:val="16"/>
              </w:rPr>
            </w:pPr>
            <w:r w:rsidRPr="00BB165A">
              <w:rPr>
                <w:rFonts w:asciiTheme="majorHAnsi" w:hAnsiTheme="majorHAnsi" w:cs="Arial"/>
                <w:color w:val="000000"/>
                <w:sz w:val="16"/>
                <w:szCs w:val="16"/>
              </w:rPr>
              <w:t>Mixed Field Programmes</w:t>
            </w:r>
          </w:p>
        </w:tc>
      </w:tr>
      <w:tr w:rsidR="00492785" w:rsidRPr="00BB165A" w14:paraId="4C6C291B" w14:textId="77777777" w:rsidTr="00035C39">
        <w:trPr>
          <w:tblHeader/>
        </w:trPr>
        <w:tc>
          <w:tcPr>
            <w:tcW w:w="6946" w:type="dxa"/>
            <w:gridSpan w:val="3"/>
            <w:tcBorders>
              <w:top w:val="single" w:sz="4" w:space="0" w:color="000000" w:themeColor="text1"/>
              <w:bottom w:val="nil"/>
            </w:tcBorders>
          </w:tcPr>
          <w:p w14:paraId="28FB5156" w14:textId="77777777" w:rsidR="00492785" w:rsidRPr="00BB165A" w:rsidRDefault="00492785" w:rsidP="00AF7ABB">
            <w:pPr>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000000"/>
                <w:sz w:val="14"/>
                <w:szCs w:val="16"/>
              </w:rPr>
            </w:pPr>
            <w:r w:rsidRPr="00BB165A">
              <w:rPr>
                <w:rFonts w:asciiTheme="majorHAnsi" w:hAnsiTheme="majorHAnsi"/>
                <w:sz w:val="14"/>
                <w:szCs w:val="16"/>
              </w:rPr>
              <w:t>* This field is intended to represent all psychology, not just ‘clinical psychology’.</w:t>
            </w:r>
          </w:p>
        </w:tc>
      </w:tr>
    </w:tbl>
    <w:p w14:paraId="6C71DAFB" w14:textId="77777777" w:rsidR="00492785" w:rsidRPr="00BB165A" w:rsidRDefault="00492785" w:rsidP="00492785">
      <w:r w:rsidRPr="00BB165A">
        <w:t>The structure of the data collection template is not to be changed, however the Deloitte Access Economics team welcomes suggestions from universities regarding any potential refinements for future versions of the survey.</w:t>
      </w:r>
    </w:p>
    <w:p w14:paraId="66EAB7C8" w14:textId="77777777" w:rsidR="00492785" w:rsidRPr="00BB165A" w:rsidRDefault="00492785" w:rsidP="00146B33">
      <w:pPr>
        <w:pStyle w:val="Appendixhead3"/>
      </w:pPr>
      <w:bookmarkStart w:id="830" w:name="_Toc8637376"/>
      <w:bookmarkStart w:id="831" w:name="_Toc10626390"/>
      <w:r w:rsidRPr="00BB165A">
        <w:t>Which activities and costs are in-scope?</w:t>
      </w:r>
      <w:bookmarkEnd w:id="830"/>
      <w:bookmarkEnd w:id="831"/>
    </w:p>
    <w:p w14:paraId="4F64E6E3" w14:textId="77777777" w:rsidR="00492785" w:rsidRPr="00BB165A" w:rsidRDefault="00492785" w:rsidP="00492785">
      <w:r w:rsidRPr="00BB165A">
        <w:t xml:space="preserve">The focus of this research is to collect and analyse costs related to teaching and scholarship for </w:t>
      </w:r>
      <w:r w:rsidR="00DA3981" w:rsidRPr="00BB165A">
        <w:t>2019 and 2020</w:t>
      </w:r>
      <w:r w:rsidR="00035C39" w:rsidRPr="00BB165A">
        <w:t>, such that only costs relevant to these activities should be included. Other university operations should be separated and excluded, such as costs related to research, community outreach and commercial activities (</w:t>
      </w:r>
      <w:r w:rsidRPr="00BB165A">
        <w:t>not related to teaching).</w:t>
      </w:r>
    </w:p>
    <w:p w14:paraId="6CFA7F7C" w14:textId="77777777" w:rsidR="00492785" w:rsidRPr="00BB165A" w:rsidRDefault="00492785" w:rsidP="00492785">
      <w:r w:rsidRPr="00BB165A">
        <w:t>This study recognises that teaching requires some ‘scholarship’ activities</w:t>
      </w:r>
      <w:r w:rsidR="00035C39" w:rsidRPr="00BB165A">
        <w:t xml:space="preserve"> to support teaching, i.e.</w:t>
      </w:r>
      <w:r w:rsidRPr="00BB165A">
        <w:t xml:space="preserve"> activities that maintain and advance the knowledge of an academic discipline required for staff to deliver teaching and training.</w:t>
      </w:r>
    </w:p>
    <w:p w14:paraId="7B9EAA95" w14:textId="77777777" w:rsidR="00DA3981" w:rsidRPr="00BB165A" w:rsidRDefault="00DA3981" w:rsidP="00DA3981">
      <w:r w:rsidRPr="00BB165A">
        <w:t>The level of scholarship may vary across field of education, and may include activities such as:</w:t>
      </w:r>
    </w:p>
    <w:p w14:paraId="5D6F725D" w14:textId="69DA6D44" w:rsidR="00492785" w:rsidRPr="00BB165A" w:rsidRDefault="00492785" w:rsidP="00DA3981">
      <w:pPr>
        <w:pStyle w:val="ListBullet"/>
      </w:pPr>
      <w:r w:rsidRPr="00BB165A">
        <w:t xml:space="preserve">Keeping up-to-date with contemporary discipline knowledge </w:t>
      </w:r>
    </w:p>
    <w:p w14:paraId="17833400" w14:textId="77777777" w:rsidR="00492785" w:rsidRPr="00BB165A" w:rsidRDefault="00492785" w:rsidP="00046245">
      <w:pPr>
        <w:pStyle w:val="ListBullet"/>
      </w:pPr>
      <w:r w:rsidRPr="00BB165A">
        <w:t xml:space="preserve">Writing textbooks or newspaper articles </w:t>
      </w:r>
    </w:p>
    <w:p w14:paraId="1F6EB227" w14:textId="77777777" w:rsidR="00492785" w:rsidRPr="00BB165A" w:rsidRDefault="00492785" w:rsidP="00046245">
      <w:pPr>
        <w:pStyle w:val="ListBullet"/>
      </w:pPr>
      <w:r w:rsidRPr="00BB165A">
        <w:t xml:space="preserve">Participating in conferences </w:t>
      </w:r>
    </w:p>
    <w:p w14:paraId="74B546F3" w14:textId="77777777" w:rsidR="00492785" w:rsidRPr="00BB165A" w:rsidRDefault="00492785" w:rsidP="00046245">
      <w:pPr>
        <w:pStyle w:val="ListBullet"/>
      </w:pPr>
      <w:r w:rsidRPr="00BB165A">
        <w:t xml:space="preserve">Delivering public lectures </w:t>
      </w:r>
    </w:p>
    <w:p w14:paraId="696FCEBD" w14:textId="77777777" w:rsidR="00492785" w:rsidRPr="00BB165A" w:rsidRDefault="00492785" w:rsidP="00046245">
      <w:pPr>
        <w:pStyle w:val="ListBullet"/>
      </w:pPr>
      <w:r w:rsidRPr="00BB165A">
        <w:t xml:space="preserve">Participating in government </w:t>
      </w:r>
      <w:r w:rsidR="00035C39" w:rsidRPr="00BB165A">
        <w:t>inquiries</w:t>
      </w:r>
      <w:r w:rsidRPr="00BB165A">
        <w:t>, among other relevant activities.</w:t>
      </w:r>
    </w:p>
    <w:p w14:paraId="015B093F" w14:textId="77777777" w:rsidR="00492785" w:rsidRPr="00BB165A" w:rsidRDefault="00492785" w:rsidP="00492785">
      <w:r w:rsidRPr="00BB165A">
        <w:t>Universities are required to proportionally separate time spent by staff on teaching and scholarship activities, from other non-teaching activities. Those staff who teach across multiple fields should have their costs appropriately partitioned across each of these fields based on staff time or alternatively EFTSL taught. Based on the approach agreed in the 2016 study, other areas of university activity that are included to the extent that they are related to delivery of teaching are:</w:t>
      </w:r>
    </w:p>
    <w:p w14:paraId="1C7E6E89" w14:textId="77777777" w:rsidR="00492785" w:rsidRPr="00BB165A" w:rsidRDefault="00492785" w:rsidP="00046245">
      <w:pPr>
        <w:pStyle w:val="ListBullet"/>
      </w:pPr>
      <w:r w:rsidRPr="00BB165A">
        <w:t xml:space="preserve">Student support and welfare systems </w:t>
      </w:r>
    </w:p>
    <w:p w14:paraId="39633D89" w14:textId="77777777" w:rsidR="00035C39" w:rsidRPr="00BB165A" w:rsidRDefault="00035C39" w:rsidP="00046245">
      <w:pPr>
        <w:pStyle w:val="ListBullet"/>
      </w:pPr>
      <w:r w:rsidRPr="00BB165A">
        <w:t>Marketing related to teaching e.g. coursework student recruitment, or a reasonable proportion of brand marketing</w:t>
      </w:r>
    </w:p>
    <w:p w14:paraId="2F3C85DA" w14:textId="77777777" w:rsidR="00492785" w:rsidRPr="00BB165A" w:rsidRDefault="00492785" w:rsidP="00046245">
      <w:pPr>
        <w:pStyle w:val="ListBullet"/>
      </w:pPr>
      <w:r w:rsidRPr="00BB165A">
        <w:t>Central administration costs that relate to university operations.</w:t>
      </w:r>
    </w:p>
    <w:p w14:paraId="3FE7CC85" w14:textId="77777777" w:rsidR="00492785" w:rsidRPr="00BB165A" w:rsidRDefault="00492785" w:rsidP="00A63C22">
      <w:pPr>
        <w:pStyle w:val="Appendixhead4"/>
      </w:pPr>
      <w:bookmarkStart w:id="832" w:name="_Toc8637377"/>
      <w:bookmarkStart w:id="833" w:name="_Toc10626391"/>
      <w:r w:rsidRPr="00BB165A">
        <w:t>Costs for low EFTSL</w:t>
      </w:r>
      <w:bookmarkEnd w:id="832"/>
      <w:bookmarkEnd w:id="833"/>
      <w:r w:rsidRPr="00BB165A">
        <w:t xml:space="preserve"> </w:t>
      </w:r>
    </w:p>
    <w:p w14:paraId="3A9DD95E" w14:textId="77777777" w:rsidR="00492785" w:rsidRPr="00BB165A" w:rsidRDefault="00492785" w:rsidP="00492785">
      <w:r w:rsidRPr="00BB165A">
        <w:t xml:space="preserve">Costing data will be collected for 22 fields of education by level of education, i.e. Management and Commerce at the bachelor level. </w:t>
      </w:r>
    </w:p>
    <w:p w14:paraId="54A8B6D3" w14:textId="77777777" w:rsidR="00492785" w:rsidRPr="00BB165A" w:rsidRDefault="00492785" w:rsidP="00492785">
      <w:r w:rsidRPr="00BB165A">
        <w:t xml:space="preserve">All field-level combinations are to be reported in the template. Minimum EFTSL thresholds will be applied in the reporting and analysis of data to exclude low EFTSL counts but institutions are asked to report all data as per the template even for field-level combinations with minimal EFTSL. </w:t>
      </w:r>
    </w:p>
    <w:p w14:paraId="677AA806" w14:textId="77777777" w:rsidR="00492785" w:rsidRPr="00BB165A" w:rsidRDefault="00492785" w:rsidP="00A63C22">
      <w:pPr>
        <w:pStyle w:val="Appendixhead4"/>
      </w:pPr>
      <w:bookmarkStart w:id="834" w:name="_Toc8637378"/>
      <w:bookmarkStart w:id="835" w:name="_Toc10626392"/>
      <w:r w:rsidRPr="00BB165A">
        <w:t>Irregular costs</w:t>
      </w:r>
      <w:bookmarkEnd w:id="834"/>
      <w:bookmarkEnd w:id="835"/>
    </w:p>
    <w:p w14:paraId="6F506B8A" w14:textId="77777777" w:rsidR="00492785" w:rsidRPr="00BB165A" w:rsidRDefault="00492785" w:rsidP="00492785">
      <w:r w:rsidRPr="00BB165A">
        <w:t xml:space="preserve">Additional costs may be incurred in a given year, for example, to support the development of new courses, or due to organisational restructures. These can be included in the template, but the irregular nature of these costs should be noted in the accompanying </w:t>
      </w:r>
      <w:r w:rsidR="00035C39" w:rsidRPr="00BB165A">
        <w:t>Supporting Statement.</w:t>
      </w:r>
    </w:p>
    <w:p w14:paraId="7B3A7967" w14:textId="77777777" w:rsidR="00035C39" w:rsidRPr="00BB165A" w:rsidRDefault="00035C39" w:rsidP="00035C39">
      <w:r w:rsidRPr="00BB165A">
        <w:t>Another example might arise where a given FOE is located in a relatively expensive building on campus or where an expanding university footprint results in the lease of additional space at an elevated cost compared to existing campus space. Deloitte Access Economics recognises this may lead to higher costs for those FOEs which happen to be located in more expensive buildings. This cost differential may not necessarily reflect differences in the cost of teaching for that particular FOE.</w:t>
      </w:r>
    </w:p>
    <w:p w14:paraId="4AC43019" w14:textId="77777777" w:rsidR="00035C39" w:rsidRPr="00BB165A" w:rsidRDefault="00035C39" w:rsidP="00035C39">
      <w:r w:rsidRPr="00BB165A">
        <w:t>Given the objective of the exercise is to capture the costs actually incurred by each FOE, it is advised that such irregular costs be included and allocated to the FOE in question. Universities can note in the Supporting Statement if this approach leads to a notable increase in costs for a specific FOE or group of FOEs.</w:t>
      </w:r>
    </w:p>
    <w:p w14:paraId="02B8233D" w14:textId="297CF89C" w:rsidR="00BF1FBF" w:rsidRPr="00BB165A" w:rsidRDefault="00BF1FBF" w:rsidP="00A63C22">
      <w:pPr>
        <w:pStyle w:val="Appendixhead4"/>
      </w:pPr>
      <w:bookmarkStart w:id="836" w:name="_Toc8637379"/>
      <w:bookmarkStart w:id="837" w:name="_Toc10626393"/>
      <w:r w:rsidRPr="00BB165A">
        <w:t>Costs for overseas students</w:t>
      </w:r>
    </w:p>
    <w:p w14:paraId="345051F4" w14:textId="7FC2185D" w:rsidR="00BF1FBF" w:rsidRPr="00BB165A" w:rsidRDefault="00BF1FBF" w:rsidP="00BF1FBF">
      <w:r w:rsidRPr="00BB165A">
        <w:t>Costs for overseas students who studied at or through an Australian campus are to be included in the Transparent Costing Worksheet. These students will be included in in-scope EFTSL (through use of the campus postcode), ensuring that costs associated with overseas students who studied outside Australia (e.g. due to international border restrictions in 2020) will be included in the Transparent Costing Worksheet.</w:t>
      </w:r>
    </w:p>
    <w:p w14:paraId="5BBAB9E9" w14:textId="5CB5EFFA" w:rsidR="00492785" w:rsidRPr="00BB165A" w:rsidRDefault="00492785" w:rsidP="00146B33">
      <w:pPr>
        <w:pStyle w:val="Appendixhead3"/>
      </w:pPr>
      <w:r w:rsidRPr="00BB165A">
        <w:t>Which costs and activities should be excluded?</w:t>
      </w:r>
      <w:bookmarkEnd w:id="836"/>
      <w:bookmarkEnd w:id="837"/>
    </w:p>
    <w:p w14:paraId="257AF7C3" w14:textId="77777777" w:rsidR="00492785" w:rsidRPr="00BB165A" w:rsidRDefault="00492785" w:rsidP="00492785">
      <w:r w:rsidRPr="00BB165A">
        <w:t xml:space="preserve">All costs and activities not directly related to ‘teaching’ are considered out-of-scope and excluded from this analysis based on the scope for the exercise established by the Department. A non-exhaustive list of activities and costs which should be excluded – based on the agreed approach in the 2016 exercise </w:t>
      </w:r>
      <w:r w:rsidR="00035C39" w:rsidRPr="00BB165A">
        <w:t xml:space="preserve">– is provided below: </w:t>
      </w:r>
    </w:p>
    <w:p w14:paraId="4E882673" w14:textId="77777777" w:rsidR="00035C39" w:rsidRPr="00BB165A" w:rsidRDefault="00035C39" w:rsidP="00D70171">
      <w:pPr>
        <w:pStyle w:val="ListBullet"/>
      </w:pPr>
      <w:r w:rsidRPr="00BB165A">
        <w:t>Non-award program and enabling courses, and any education not reported to the Department as EFTSL, examples including:</w:t>
      </w:r>
    </w:p>
    <w:p w14:paraId="1EA6E9E3" w14:textId="77777777" w:rsidR="00492785" w:rsidRPr="00BB165A" w:rsidRDefault="00492785" w:rsidP="00D70171">
      <w:pPr>
        <w:pStyle w:val="ListBullet2"/>
      </w:pPr>
      <w:r w:rsidRPr="00BB165A">
        <w:t>English language commercial courses</w:t>
      </w:r>
    </w:p>
    <w:p w14:paraId="611B4950" w14:textId="77777777" w:rsidR="00492785" w:rsidRPr="00BB165A" w:rsidRDefault="00492785" w:rsidP="00D70171">
      <w:pPr>
        <w:pStyle w:val="ListBullet2"/>
      </w:pPr>
      <w:r w:rsidRPr="00BB165A">
        <w:t xml:space="preserve">Open Academies/continuing education businesses for </w:t>
      </w:r>
      <w:r w:rsidR="00035C39" w:rsidRPr="00BB165A">
        <w:t xml:space="preserve">a </w:t>
      </w:r>
      <w:r w:rsidRPr="00BB165A">
        <w:t>Conservatorium</w:t>
      </w:r>
    </w:p>
    <w:p w14:paraId="3F33DAF8" w14:textId="54F1F39A" w:rsidR="00492785" w:rsidRPr="00BB165A" w:rsidRDefault="00492785" w:rsidP="00D70171">
      <w:pPr>
        <w:pStyle w:val="ListBullet2"/>
      </w:pPr>
      <w:r w:rsidRPr="00BB165A">
        <w:t>Rural Schools for Medicine/Dentistry funded by State Governments</w:t>
      </w:r>
    </w:p>
    <w:p w14:paraId="7A45FB76" w14:textId="77777777" w:rsidR="00D70171" w:rsidRPr="00BB165A" w:rsidRDefault="00D70171" w:rsidP="00D70171">
      <w:pPr>
        <w:pStyle w:val="ListBullet"/>
      </w:pPr>
      <w:r w:rsidRPr="00BB165A">
        <w:t>Off-shore activity and international campuses (unless teaching students enrolled at Australian campuses)</w:t>
      </w:r>
    </w:p>
    <w:p w14:paraId="5D3227EE" w14:textId="77777777" w:rsidR="00035C39" w:rsidRPr="00BB165A" w:rsidRDefault="00035C39" w:rsidP="00D70171">
      <w:pPr>
        <w:pStyle w:val="ListBullet"/>
      </w:pPr>
      <w:r w:rsidRPr="00BB165A">
        <w:t>Most commercial activities, including investments and investment funds management business (see further clarification in relation to commercial activities below)</w:t>
      </w:r>
    </w:p>
    <w:p w14:paraId="1F01249E" w14:textId="77777777" w:rsidR="00035C39" w:rsidRPr="00BB165A" w:rsidRDefault="00035C39" w:rsidP="00D70171">
      <w:pPr>
        <w:pStyle w:val="ListBullet"/>
      </w:pPr>
      <w:r w:rsidRPr="00BB165A">
        <w:t>Student and staff support services, provided on the basis of a fee for service or co-payment, for example childcare, health services (including IVF clinics), and student accommodation services (further clarification is provided below on services that are included to the extent that they contribute to education of students)</w:t>
      </w:r>
    </w:p>
    <w:p w14:paraId="08CB5C00" w14:textId="77777777" w:rsidR="00492785" w:rsidRPr="00BB165A" w:rsidRDefault="00492785" w:rsidP="00D70171">
      <w:pPr>
        <w:pStyle w:val="ListBullet"/>
      </w:pPr>
      <w:r w:rsidRPr="00BB165A">
        <w:t xml:space="preserve">Research activities, including research training and HDR supervision and expenditure related to research </w:t>
      </w:r>
      <w:r w:rsidR="00D70171" w:rsidRPr="00BB165A">
        <w:t>time of research only staff</w:t>
      </w:r>
    </w:p>
    <w:p w14:paraId="6E664252" w14:textId="77777777" w:rsidR="00D70171" w:rsidRPr="00BB165A" w:rsidRDefault="00D70171" w:rsidP="00D70171">
      <w:pPr>
        <w:pStyle w:val="ListBullet"/>
      </w:pPr>
      <w:r w:rsidRPr="00BB165A">
        <w:t>Marketing not related to coursework student recruitment</w:t>
      </w:r>
    </w:p>
    <w:p w14:paraId="4EF85AD3" w14:textId="77777777" w:rsidR="00D70171" w:rsidRPr="00BB165A" w:rsidRDefault="00D70171" w:rsidP="00D70171">
      <w:pPr>
        <w:pStyle w:val="ListBullet"/>
      </w:pPr>
      <w:r w:rsidRPr="00BB165A">
        <w:t>Philanthropic and community engagement activities</w:t>
      </w:r>
    </w:p>
    <w:p w14:paraId="289702D9" w14:textId="06158511" w:rsidR="00D70171" w:rsidRPr="00BB165A" w:rsidRDefault="00D70171" w:rsidP="00D70171">
      <w:pPr>
        <w:pStyle w:val="ListBullet"/>
      </w:pPr>
      <w:r w:rsidRPr="00BB165A">
        <w:t>All activities and staff that are for VET-training or administration (where that training and administration does not overlap with higher education activity).</w:t>
      </w:r>
    </w:p>
    <w:p w14:paraId="1FF6A900" w14:textId="469EAC61" w:rsidR="00492785" w:rsidRPr="00BB165A" w:rsidRDefault="00492785" w:rsidP="00A63C22">
      <w:pPr>
        <w:pStyle w:val="Appendixhead4"/>
        <w:jc w:val="both"/>
      </w:pPr>
      <w:bookmarkStart w:id="838" w:name="_Toc8637380"/>
      <w:bookmarkStart w:id="839" w:name="_Toc10626394"/>
      <w:r w:rsidRPr="00BB165A">
        <w:t>Other university activities (including commercial activities) which may have a teaching component</w:t>
      </w:r>
      <w:bookmarkEnd w:id="838"/>
      <w:bookmarkEnd w:id="839"/>
    </w:p>
    <w:p w14:paraId="761D7EF8" w14:textId="77777777" w:rsidR="00492785" w:rsidRPr="00BB165A" w:rsidRDefault="00492785" w:rsidP="00492785">
      <w:r w:rsidRPr="00BB165A">
        <w:t>Many university activities have multiple purposes, where one of those is to support teaching. For example, some commercial activities may also serve to provide teaching or placements to students.</w:t>
      </w:r>
    </w:p>
    <w:p w14:paraId="649CD65E" w14:textId="77777777" w:rsidR="00492785" w:rsidRPr="00BB165A" w:rsidRDefault="00492785" w:rsidP="00492785">
      <w:r w:rsidRPr="00BB165A">
        <w:t>For activities with multiple purposes, universities should include an estimate of the portion of costs that is associated with teaching and report this in the template, while excluding any other costs unrelated to teaching.</w:t>
      </w:r>
    </w:p>
    <w:p w14:paraId="6FD8D21A" w14:textId="77777777" w:rsidR="00774D3E" w:rsidRPr="00BB165A" w:rsidRDefault="00774D3E" w:rsidP="00774D3E">
      <w:r w:rsidRPr="00BB165A">
        <w:t>The aim is to capture the costs associated with teaching activities and to separate these from other costs associated with running other university activities (commercial or otherwise) that are not associated with teaching.</w:t>
      </w:r>
    </w:p>
    <w:p w14:paraId="6C01163F" w14:textId="77777777" w:rsidR="00492785" w:rsidRPr="00BB165A" w:rsidRDefault="00492785" w:rsidP="00492785">
      <w:r w:rsidRPr="00BB165A">
        <w:t>Since the focus is on the costs of teaching and scholarship, there is no requirement to offset these costs with revenue received. Commercial activities that have no role in teaching students are excluded from the scope of the data collection.</w:t>
      </w:r>
    </w:p>
    <w:p w14:paraId="1971E26C" w14:textId="7CAF4844" w:rsidR="00492785" w:rsidRPr="00BB165A" w:rsidRDefault="00492785" w:rsidP="00492785">
      <w:r w:rsidRPr="00BB165A">
        <w:t xml:space="preserve">Examples of other university activities (including commercial activities) in which the costs of teaching may be included are:  </w:t>
      </w:r>
    </w:p>
    <w:p w14:paraId="4107F5E4" w14:textId="77777777" w:rsidR="00492785" w:rsidRPr="00BB165A" w:rsidRDefault="00492785" w:rsidP="00046245">
      <w:pPr>
        <w:pStyle w:val="ListBullet"/>
      </w:pPr>
      <w:r w:rsidRPr="00BB165A">
        <w:t>Veterinary teaching hospitals used for training veterinary students</w:t>
      </w:r>
    </w:p>
    <w:p w14:paraId="69710F8E" w14:textId="77777777" w:rsidR="00035C39" w:rsidRPr="00BB165A" w:rsidRDefault="00035C39" w:rsidP="00046245">
      <w:pPr>
        <w:pStyle w:val="ListBullet"/>
      </w:pPr>
      <w:r w:rsidRPr="00BB165A">
        <w:t>Physio clinics used for training physiotherapy students</w:t>
      </w:r>
    </w:p>
    <w:p w14:paraId="316EB1B9" w14:textId="77777777" w:rsidR="00492785" w:rsidRPr="00BB165A" w:rsidRDefault="00492785" w:rsidP="00046245">
      <w:pPr>
        <w:pStyle w:val="ListBullet"/>
      </w:pPr>
      <w:r w:rsidRPr="00BB165A">
        <w:t xml:space="preserve">Farms used for training agriculture students </w:t>
      </w:r>
    </w:p>
    <w:p w14:paraId="7EA4D8B3" w14:textId="77777777" w:rsidR="00492785" w:rsidRPr="00BB165A" w:rsidRDefault="00492785" w:rsidP="00046245">
      <w:pPr>
        <w:pStyle w:val="ListBullet"/>
      </w:pPr>
      <w:r w:rsidRPr="00BB165A">
        <w:t xml:space="preserve">Performing Arts theatres for training theatre and performance students </w:t>
      </w:r>
    </w:p>
    <w:p w14:paraId="151A4AB5" w14:textId="77777777" w:rsidR="00492785" w:rsidRPr="00BB165A" w:rsidRDefault="00492785" w:rsidP="00046245">
      <w:pPr>
        <w:pStyle w:val="ListBullet"/>
      </w:pPr>
      <w:r w:rsidRPr="00BB165A">
        <w:t>Reciprocal arrangements in medical hospitals or medical clinics where services are provided in return for teaching services from non-University staff, e.g. professional administrative staff provided in return for ‘no cost teaching’ from hospital staff.</w:t>
      </w:r>
    </w:p>
    <w:p w14:paraId="2CB0C903" w14:textId="77777777" w:rsidR="00492785" w:rsidRPr="00BB165A" w:rsidRDefault="00492785" w:rsidP="00A63C22">
      <w:pPr>
        <w:pStyle w:val="Appendixhead4"/>
      </w:pPr>
      <w:bookmarkStart w:id="840" w:name="_Toc8637381"/>
      <w:bookmarkStart w:id="841" w:name="_Toc10626395"/>
      <w:r w:rsidRPr="00BB165A">
        <w:t>Vocational Education and Training (VET) delivered by Dual-sector universities</w:t>
      </w:r>
      <w:bookmarkEnd w:id="840"/>
      <w:bookmarkEnd w:id="841"/>
      <w:r w:rsidRPr="00BB165A">
        <w:t xml:space="preserve"> </w:t>
      </w:r>
    </w:p>
    <w:p w14:paraId="151C47F7" w14:textId="77777777" w:rsidR="00492785" w:rsidRPr="00BB165A" w:rsidRDefault="00492785" w:rsidP="00492785">
      <w:pPr>
        <w:pStyle w:val="ListBullet"/>
        <w:numPr>
          <w:ilvl w:val="0"/>
          <w:numId w:val="0"/>
        </w:numPr>
      </w:pPr>
      <w:r w:rsidRPr="00BB165A">
        <w:t>Universities that also deliver VET-training should not include any enrolment activity in VET courses. All costs for VET-training or administration (where that training and administration does not overlap with higher education activity) are explicitly excluded. However, all centralised administration costs associated with teaching of higher education students should be included.</w:t>
      </w:r>
    </w:p>
    <w:p w14:paraId="79019A54" w14:textId="77777777" w:rsidR="00492785" w:rsidRPr="00BB165A" w:rsidRDefault="00492785" w:rsidP="00146B33">
      <w:pPr>
        <w:pStyle w:val="Appendixhead3"/>
      </w:pPr>
      <w:bookmarkStart w:id="842" w:name="_Ref519631433"/>
      <w:bookmarkStart w:id="843" w:name="_Toc8637382"/>
      <w:bookmarkStart w:id="844" w:name="_Toc10626396"/>
      <w:r w:rsidRPr="00BB165A">
        <w:t>Additional collection items</w:t>
      </w:r>
      <w:bookmarkEnd w:id="842"/>
      <w:bookmarkEnd w:id="843"/>
      <w:bookmarkEnd w:id="844"/>
      <w:r w:rsidR="00035C39" w:rsidRPr="00BB165A">
        <w:t xml:space="preserve"> </w:t>
      </w:r>
    </w:p>
    <w:p w14:paraId="4D8A9348" w14:textId="47DCE5A4" w:rsidR="00035C39" w:rsidRPr="00BB165A" w:rsidRDefault="00035C39" w:rsidP="00035C39">
      <w:pPr>
        <w:rPr>
          <w:b/>
        </w:rPr>
      </w:pPr>
      <w:r w:rsidRPr="00BB165A">
        <w:t xml:space="preserve">Below the main data collection area of the Transparent Costing Worksheet, there are three additional items. These items are collected to inform a broader picture of costs, but are not used in reconciliation with financial reporting. These items include: (1) </w:t>
      </w:r>
      <w:r w:rsidR="00E771A9" w:rsidRPr="00BB165A">
        <w:t>Third-party</w:t>
      </w:r>
      <w:r w:rsidRPr="00BB165A">
        <w:t xml:space="preserve"> and partnership costs, (2) In-kind costs</w:t>
      </w:r>
      <w:r w:rsidR="006F2946" w:rsidRPr="00BB165A">
        <w:t>,</w:t>
      </w:r>
      <w:r w:rsidRPr="00BB165A">
        <w:t xml:space="preserve"> (3) the Optional depreciation adjustment</w:t>
      </w:r>
      <w:r w:rsidR="006F2946" w:rsidRPr="00BB165A">
        <w:t>, and (4) Impact of COVID-19 on university costs of teaching</w:t>
      </w:r>
      <w:r w:rsidRPr="00BB165A">
        <w:t xml:space="preserve">. </w:t>
      </w:r>
    </w:p>
    <w:p w14:paraId="58411A48" w14:textId="145C9770" w:rsidR="00035C39" w:rsidRPr="00BB165A" w:rsidRDefault="00E771A9" w:rsidP="007B09DB">
      <w:pPr>
        <w:pStyle w:val="ListNumber"/>
        <w:numPr>
          <w:ilvl w:val="0"/>
          <w:numId w:val="27"/>
        </w:numPr>
        <w:rPr>
          <w:b/>
        </w:rPr>
      </w:pPr>
      <w:bookmarkStart w:id="845" w:name="_Toc8637383"/>
      <w:r w:rsidRPr="00BB165A">
        <w:rPr>
          <w:b/>
        </w:rPr>
        <w:t>Third-party</w:t>
      </w:r>
      <w:r w:rsidR="00035C39" w:rsidRPr="00BB165A">
        <w:rPr>
          <w:b/>
        </w:rPr>
        <w:t xml:space="preserve"> and partnership arrangement costs</w:t>
      </w:r>
      <w:bookmarkEnd w:id="845"/>
    </w:p>
    <w:p w14:paraId="44D51595" w14:textId="77777777" w:rsidR="00035C39" w:rsidRPr="00BB165A" w:rsidRDefault="00035C39" w:rsidP="00035C39">
      <w:r w:rsidRPr="00BB165A">
        <w:t>All costs to the institution related to the delivery of teaching by any partner organisations (for EFTSL applicable to the institution) are to be included, as well as any administrative and management costs associated with the partnership agreement.</w:t>
      </w:r>
    </w:p>
    <w:p w14:paraId="3DA9CBD2" w14:textId="61AE6F39" w:rsidR="00035C39" w:rsidRPr="00BB165A" w:rsidRDefault="00035C39" w:rsidP="00035C39">
      <w:r w:rsidRPr="00BB165A">
        <w:t>The key principle in assigning partnership costs is that all teaching costs attributable to EFTSL attributed to the university (or reasonable proxies thereof) should be included. If a partnership arrangement involves, for example, the sharing of revenue with partner institutions, the revenue (foregone by the university) which accrues to the partner for the purposes of teaching can be included. This represents a reasonable proxy for the teaching costs that would otherwise be incurred by the university if it had taught these students itself.</w:t>
      </w:r>
      <w:r w:rsidRPr="00BB165A">
        <w:rPr>
          <w:rStyle w:val="FootnoteReference"/>
        </w:rPr>
        <w:footnoteReference w:id="32"/>
      </w:r>
    </w:p>
    <w:p w14:paraId="35FD1733" w14:textId="77777777" w:rsidR="00035C39" w:rsidRPr="00BB165A" w:rsidRDefault="00035C39" w:rsidP="00035C39">
      <w:r w:rsidRPr="00BB165A">
        <w:t>However, costs which are incurred (or estimated to have been incurred) by a partner organisation may need to be recorded in a different part of the Transparent Costing Worksheet to costs incurred by a university depending on the specific arrangement involved.</w:t>
      </w:r>
    </w:p>
    <w:p w14:paraId="496FC62F" w14:textId="77777777" w:rsidR="00035C39" w:rsidRPr="00BB165A" w:rsidRDefault="00035C39" w:rsidP="00035C39">
      <w:r w:rsidRPr="00BB165A">
        <w:t>Where universities incur teaching costs in relation to a partnership agreement which is recorded in their statutory accounts, these costs are to be included in the main cost collection area of the Transparent Costing Worksheet (i.e. in the first 70 rows of the worksheet). This could include teaching, administration or management costs incurred by the university itself or payments to third parties for teaching activities. In this case there is no need to separately include these costs in relation to ‘</w:t>
      </w:r>
      <w:r w:rsidR="00E771A9" w:rsidRPr="00BB165A">
        <w:t>Third-party</w:t>
      </w:r>
      <w:r w:rsidRPr="00BB165A">
        <w:t xml:space="preserve"> and partnership costs’ in rows 85 to 88 of the Transparent Costing Worksheet.</w:t>
      </w:r>
    </w:p>
    <w:p w14:paraId="6012DDED" w14:textId="77777777" w:rsidR="00035C39" w:rsidRPr="00BB165A" w:rsidRDefault="00035C39" w:rsidP="00035C39">
      <w:r w:rsidRPr="00BB165A">
        <w:t xml:space="preserve">In cases where costs related to teaching are incurred by a partner organisation, and these costs are not reflected in a university’s financial statement (e.g. where revenue is shared with a partner to cover these teaching costs), the revenue received by the partner should be recorded in rows 85 to 88 of the Transparent Costing Worksheet. </w:t>
      </w:r>
      <w:r w:rsidR="00AC4AD9" w:rsidRPr="00BB165A">
        <w:t>The relevant rows are labelled ‘Third-party and partnership costs’. This revenue is used to proxy the cost of teaching these students as if this teaching had been done by the university rather than a third party.</w:t>
      </w:r>
      <w:r w:rsidRPr="00BB165A">
        <w:t xml:space="preserve"> Any costs included here should not appear in a university’s statutory accounts.</w:t>
      </w:r>
    </w:p>
    <w:p w14:paraId="4ED8B9AB" w14:textId="77777777" w:rsidR="00AC4AD9" w:rsidRPr="00BB165A" w:rsidRDefault="00AC4AD9" w:rsidP="00AC4AD9">
      <w:r w:rsidRPr="00BB165A">
        <w:t>While each university relationship with a partner organisation may vary, there are likely to be some common types of arrangements. For example:</w:t>
      </w:r>
    </w:p>
    <w:p w14:paraId="59D1EAE1" w14:textId="2075FACD" w:rsidR="00AC4AD9" w:rsidRPr="00BB165A" w:rsidRDefault="00AC4AD9" w:rsidP="00AC4AD9">
      <w:pPr>
        <w:pStyle w:val="ListBullet"/>
      </w:pPr>
      <w:r w:rsidRPr="00BB165A">
        <w:t>A university may collect all revenue (and report the EFTSL), while the partner institution delivers all teaching. The partner receives some share of the revenue collected as payment. In the likely absence of cost data for the partner institution, the revenue shared is likely to be the most suitable measure of the cost of teaching and should be used as a proxy measure of the actual cost of teaching.</w:t>
      </w:r>
    </w:p>
    <w:p w14:paraId="47837459" w14:textId="77777777" w:rsidR="00AC4AD9" w:rsidRPr="00BB165A" w:rsidRDefault="00AC4AD9" w:rsidP="00AC4AD9">
      <w:pPr>
        <w:pStyle w:val="ListBullet2"/>
      </w:pPr>
      <w:r w:rsidRPr="00BB165A">
        <w:t>The revenue shared should be included in the separate line item for third-party and partnership costs in rows 85 to 88 of the worksheet (assuming it is not captured as a cost to the university in its statutory accounts).</w:t>
      </w:r>
    </w:p>
    <w:p w14:paraId="722E522C" w14:textId="77777777" w:rsidR="00AC4AD9" w:rsidRPr="00BB165A" w:rsidRDefault="00AC4AD9" w:rsidP="00AC4AD9">
      <w:pPr>
        <w:pStyle w:val="ListBullet"/>
      </w:pPr>
      <w:r w:rsidRPr="00BB165A">
        <w:t>A university may collect all revenue (and report the EFTSL), but pay a partner institution to undertake some teaching with these payments recorded in a university’s statutory accounts. In this case, payments to the partner institution should be recorded in the main part of the Transparent Costing Worksheet (most likely under ‘Other non-staff payments’ in rows 56 to 59) and no costs should be included under ‘Third-party and partnership costs’ in rows 85 to 88.</w:t>
      </w:r>
    </w:p>
    <w:p w14:paraId="79745AC0" w14:textId="1C25D378" w:rsidR="00AC4AD9" w:rsidRPr="00BB165A" w:rsidRDefault="00035C39" w:rsidP="00AC4AD9">
      <w:pPr>
        <w:pStyle w:val="ListBullet"/>
      </w:pPr>
      <w:r w:rsidRPr="00BB165A">
        <w:t xml:space="preserve">The partner may collect all the revenue, deliver all the teaching and distribute some share of the revenue to the university. The revenue share of the partner, as a proxy measure of the actual cost of teaching, </w:t>
      </w:r>
      <w:r w:rsidR="00492785" w:rsidRPr="00BB165A">
        <w:t xml:space="preserve">should be included in the separate line item for </w:t>
      </w:r>
      <w:r w:rsidRPr="00BB165A">
        <w:t>‘Third-party and partnership costs’ in rows 85 to 88 of the worksheet.</w:t>
      </w:r>
    </w:p>
    <w:p w14:paraId="56D1A034" w14:textId="77777777" w:rsidR="00870C3E" w:rsidRPr="00BB165A" w:rsidRDefault="00870C3E" w:rsidP="00870C3E">
      <w:pPr>
        <w:pStyle w:val="ListBullet"/>
      </w:pPr>
      <w:r w:rsidRPr="00BB165A">
        <w:t>A partner (or offshore campus of a university) may have performed some teaching in 2020 to international students unable to travel to Australia. These teaching costs can be included under third-party and partnership costs in the 2020 calendar year collection to the extent they relate to students enrolled at an Australian campus.</w:t>
      </w:r>
    </w:p>
    <w:p w14:paraId="6CC6A8CB" w14:textId="77777777" w:rsidR="00492785" w:rsidRPr="00BB165A" w:rsidRDefault="00492785" w:rsidP="00870C3E">
      <w:pPr>
        <w:pStyle w:val="ListBullet"/>
        <w:numPr>
          <w:ilvl w:val="0"/>
          <w:numId w:val="0"/>
        </w:numPr>
      </w:pPr>
    </w:p>
    <w:p w14:paraId="107A5F3F" w14:textId="2587FB76" w:rsidR="00492785" w:rsidRPr="00BB165A" w:rsidRDefault="00492785" w:rsidP="00870C3E">
      <w:pPr>
        <w:pStyle w:val="ListBullet"/>
        <w:numPr>
          <w:ilvl w:val="0"/>
          <w:numId w:val="0"/>
        </w:numPr>
      </w:pPr>
      <w:r w:rsidRPr="00BB165A">
        <w:t>In some instances, the EFTSL may be recorded to the partner institution (and not the host university). As the EFTSL is not attributable, no costs of teaching are to be included.</w:t>
      </w:r>
    </w:p>
    <w:p w14:paraId="67C4B728" w14:textId="77777777" w:rsidR="00035C39" w:rsidRPr="00BB165A" w:rsidRDefault="00035C39" w:rsidP="007B09DB">
      <w:pPr>
        <w:pStyle w:val="ListNumber"/>
        <w:numPr>
          <w:ilvl w:val="0"/>
          <w:numId w:val="27"/>
        </w:numPr>
        <w:rPr>
          <w:b/>
        </w:rPr>
      </w:pPr>
      <w:bookmarkStart w:id="846" w:name="_Toc8637384"/>
      <w:r w:rsidRPr="00BB165A">
        <w:rPr>
          <w:b/>
        </w:rPr>
        <w:t>Indirect or in-kind costs of teaching (optional)</w:t>
      </w:r>
      <w:bookmarkEnd w:id="846"/>
    </w:p>
    <w:p w14:paraId="47E2A30A" w14:textId="77777777" w:rsidR="007A5F43" w:rsidRPr="00BB165A" w:rsidRDefault="007A5F43" w:rsidP="007A5F43">
      <w:r w:rsidRPr="00BB165A">
        <w:t>In some instances, teaching may be delivered by another institution, or using another institution’s staff or other resources. The university may provide certain resources in-kind in relation to this teaching. Such in-kind contributions may include use of university buildings, research and library facilities or other resources.</w:t>
      </w:r>
    </w:p>
    <w:p w14:paraId="5C959AE3" w14:textId="77777777" w:rsidR="007A5F43" w:rsidRPr="00BB165A" w:rsidRDefault="007A5F43" w:rsidP="007A5F43">
      <w:r w:rsidRPr="00BB165A">
        <w:t>Universities may include a reasonable estimate of their in-kind costs such as the building and facility utilisation, staff time or other resources that they provide to the other institution. Only the in-kind costs to the university in the teaching arrangement should be included, and not any costs borne by the other institution.</w:t>
      </w:r>
    </w:p>
    <w:p w14:paraId="7263D1A6" w14:textId="77777777" w:rsidR="00035C39" w:rsidRPr="00BB165A" w:rsidRDefault="00035C39" w:rsidP="00035C39">
      <w:r w:rsidRPr="00BB165A">
        <w:t>These in-kind costs will need to be converted to a dollar figure and included in the template. The high-level process for calculating in-kind costs and any relevant considerations in interpreting these figures should be included in the Supporting Statement.</w:t>
      </w:r>
    </w:p>
    <w:p w14:paraId="7A6ECFAD" w14:textId="77777777" w:rsidR="00035C39" w:rsidRPr="00BB165A" w:rsidRDefault="00035C39" w:rsidP="00035C39">
      <w:r w:rsidRPr="00BB165A">
        <w:t>Deloitte Access Economics recognises that in some cases in-kind costs may be difficult or burdensome for universities to estimate or may be relatively immaterial. For this reason, the inclusion of in-kind costs is optional for universities.</w:t>
      </w:r>
    </w:p>
    <w:p w14:paraId="582E3846" w14:textId="08222227" w:rsidR="00035C39" w:rsidRPr="00BB165A" w:rsidRDefault="00035C39" w:rsidP="007A5F43">
      <w:r w:rsidRPr="00BB165A">
        <w:t>The case study below provides an example of some of the potential in-kind costs that may be incurred by a university.</w:t>
      </w:r>
    </w:p>
    <w:p w14:paraId="0031ABE7" w14:textId="77777777" w:rsidR="00035C39" w:rsidRPr="00BB165A" w:rsidRDefault="00035C39" w:rsidP="00035C39">
      <w:pPr>
        <w:spacing w:after="0"/>
      </w:pPr>
      <w:r w:rsidRPr="00BB165A">
        <w:br w:type="page"/>
      </w:r>
    </w:p>
    <w:tbl>
      <w:tblPr>
        <w:tblStyle w:val="Deloittetable"/>
        <w:tblW w:w="0" w:type="auto"/>
        <w:tblLook w:val="04A0" w:firstRow="1" w:lastRow="0" w:firstColumn="1" w:lastColumn="0" w:noHBand="0" w:noVBand="1"/>
      </w:tblPr>
      <w:tblGrid>
        <w:gridCol w:w="9072"/>
      </w:tblGrid>
      <w:tr w:rsidR="00035C39" w:rsidRPr="00BB165A" w14:paraId="66577DF8" w14:textId="77777777" w:rsidTr="00AF7ABB">
        <w:trPr>
          <w:cnfStyle w:val="100000000000" w:firstRow="1" w:lastRow="0" w:firstColumn="0" w:lastColumn="0" w:oddVBand="0" w:evenVBand="0" w:oddHBand="0" w:evenHBand="0" w:firstRowFirstColumn="0" w:firstRowLastColumn="0" w:lastRowFirstColumn="0" w:lastRowLastColumn="0"/>
        </w:trPr>
        <w:tc>
          <w:tcPr>
            <w:tcW w:w="9072" w:type="dxa"/>
          </w:tcPr>
          <w:p w14:paraId="0C9C6190" w14:textId="77777777" w:rsidR="00035C39" w:rsidRPr="00BB165A" w:rsidRDefault="00035C39" w:rsidP="00AF7ABB">
            <w:pPr>
              <w:rPr>
                <w:b/>
              </w:rPr>
            </w:pPr>
            <w:r w:rsidRPr="00BB165A">
              <w:rPr>
                <w:b/>
              </w:rPr>
              <w:t>Case study on estimating in-kind costs</w:t>
            </w:r>
          </w:p>
        </w:tc>
      </w:tr>
      <w:tr w:rsidR="00035C39" w:rsidRPr="00BB165A" w14:paraId="6CD26576" w14:textId="77777777" w:rsidTr="00AF7ABB">
        <w:tc>
          <w:tcPr>
            <w:tcW w:w="9072" w:type="dxa"/>
          </w:tcPr>
          <w:p w14:paraId="45888533" w14:textId="0B60460A" w:rsidR="00035C39" w:rsidRPr="00BB165A" w:rsidRDefault="00035C39" w:rsidP="00AF7ABB">
            <w:r w:rsidRPr="00BB165A">
              <w:t xml:space="preserve">One university noted that the direct and indirect costs of clinical education and training are incurred through arrangements that vary between disciplines and jurisdictions by affiliates employed by third-party partners, such as local health districts, private and community health practices, schools, veterinary practices and other organisations. </w:t>
            </w:r>
          </w:p>
          <w:p w14:paraId="216AD896" w14:textId="77777777" w:rsidR="00035C39" w:rsidRPr="00BB165A" w:rsidRDefault="00035C39" w:rsidP="00AF7ABB">
            <w:r w:rsidRPr="00BB165A">
              <w:t>While the university does not incur direct salary costs for student clinical placements in many disciplines, it regularly invests in research infrastructure and equipment located in health services or research institutes, the use of which is shared by hospital, university and institute staff, affiliates and students. For example, the Health Faculty has a range of arrangements in place to share the costs of clinical and research academics with partner local health districts and research institutes. The full costs of these staff, who contribute to the university’s teaching activities would be excluded or not fully captured above the line in the Transparent Costing Worksheet.</w:t>
            </w:r>
          </w:p>
          <w:p w14:paraId="1B03AAEA" w14:textId="77777777" w:rsidR="00035C39" w:rsidRPr="00BB165A" w:rsidRDefault="00035C39" w:rsidP="00AF7ABB">
            <w:r w:rsidRPr="00BB165A">
              <w:t xml:space="preserve">To account for the reciprocal services provided by the university in return for teaching services provided by unpaid affiliates, the university can seek to include an estimate of the in-kind costs that it incurs as part of its relationship with unpaid affiliates who provide teaching to a university’s students. </w:t>
            </w:r>
          </w:p>
          <w:p w14:paraId="76C0A43A" w14:textId="77777777" w:rsidR="00035C39" w:rsidRPr="00BB165A" w:rsidRDefault="00035C39" w:rsidP="00AF7ABB">
            <w:r w:rsidRPr="00BB165A">
              <w:t xml:space="preserve">This could include calculating the value of: </w:t>
            </w:r>
          </w:p>
          <w:p w14:paraId="57694160" w14:textId="77777777" w:rsidR="00035C39" w:rsidRPr="00BB165A" w:rsidRDefault="00035C39" w:rsidP="007B09DB">
            <w:pPr>
              <w:pStyle w:val="ListParagraph"/>
              <w:numPr>
                <w:ilvl w:val="0"/>
                <w:numId w:val="26"/>
              </w:numPr>
            </w:pPr>
            <w:r w:rsidRPr="00BB165A">
              <w:t>Library, ICT and research support services provided to affiliates, based on their relative usage of these services.</w:t>
            </w:r>
          </w:p>
          <w:p w14:paraId="7BFDE6E6" w14:textId="77777777" w:rsidR="00035C39" w:rsidRPr="00BB165A" w:rsidRDefault="00035C39" w:rsidP="007B09DB">
            <w:pPr>
              <w:pStyle w:val="ListParagraph"/>
              <w:numPr>
                <w:ilvl w:val="0"/>
                <w:numId w:val="25"/>
              </w:numPr>
            </w:pPr>
            <w:r w:rsidRPr="00BB165A">
              <w:t xml:space="preserve">Capital contributions the university makes towards collaborative teaching, research and service delivery with partners- recognising that only those contributions made in exchange for teaching services should be included not contributions purely for research purposes. </w:t>
            </w:r>
          </w:p>
          <w:p w14:paraId="568FFC64" w14:textId="77777777" w:rsidR="00035C39" w:rsidRPr="00BB165A" w:rsidRDefault="00035C39" w:rsidP="00AF7ABB">
            <w:r w:rsidRPr="00BB165A">
              <w:t xml:space="preserve">In practice such relationships also provide other value to partner organisations such as the value of being associated with the university’s brand, although these may be more difficult to quantify. </w:t>
            </w:r>
          </w:p>
        </w:tc>
      </w:tr>
    </w:tbl>
    <w:p w14:paraId="5E8B579A" w14:textId="77777777" w:rsidR="00035C39" w:rsidRPr="00BB165A" w:rsidRDefault="00035C39" w:rsidP="007B09DB">
      <w:pPr>
        <w:pStyle w:val="ListNumber"/>
        <w:numPr>
          <w:ilvl w:val="0"/>
          <w:numId w:val="27"/>
        </w:numPr>
        <w:spacing w:before="170"/>
        <w:rPr>
          <w:b/>
        </w:rPr>
      </w:pPr>
      <w:r w:rsidRPr="00BB165A">
        <w:rPr>
          <w:b/>
        </w:rPr>
        <w:t>Capital replacement costs and the optional depreciation adjustment</w:t>
      </w:r>
    </w:p>
    <w:p w14:paraId="4FEBF81A" w14:textId="77777777" w:rsidR="00035C39" w:rsidRPr="00BB165A" w:rsidRDefault="00035C39" w:rsidP="00035C39">
      <w:r w:rsidRPr="00BB165A">
        <w:t>Costs associated with asset and capital management including depreciation, amortisation, repairs and maintenance, borrowing and bad debts should be included in the template, as reflected in universities’ financial reporting.</w:t>
      </w:r>
    </w:p>
    <w:p w14:paraId="2A99E526" w14:textId="77777777" w:rsidR="00035C39" w:rsidRPr="00BB165A" w:rsidRDefault="00035C39" w:rsidP="00035C39">
      <w:r w:rsidRPr="00BB165A">
        <w:t>It is noted that future upgrades, refurbishment, or replacement of an asset may be needed, due to changes in function, new pedagogy, technological advancement or changes in legal or regulatory requirements. This provisioning for future capital expenditure via retained operating margins, borrowing, and/or other means is an important consideration for universities. This future provisioning should nonetheless be kept separate from current depreciation and asset costs in the template.</w:t>
      </w:r>
    </w:p>
    <w:p w14:paraId="2E3F5FDC" w14:textId="77777777" w:rsidR="00035C39" w:rsidRPr="00BB165A" w:rsidRDefault="00035C39" w:rsidP="00035C39">
      <w:pPr>
        <w:rPr>
          <w:b/>
        </w:rPr>
      </w:pPr>
      <w:r w:rsidRPr="00BB165A">
        <w:t>Universities are able to provide a description of their processes and budget for sufficient future investment as part of the Supporting Statement that accompanies the Transparent Costing Worksheet.</w:t>
      </w:r>
    </w:p>
    <w:p w14:paraId="389E8B1A" w14:textId="5006C1A3" w:rsidR="00035C39" w:rsidRPr="00BB165A" w:rsidRDefault="00035C39" w:rsidP="00035C39">
      <w:pPr>
        <w:pStyle w:val="HeadingC"/>
      </w:pPr>
      <w:r w:rsidRPr="00BB165A">
        <w:t>Optional depreciation adjustment</w:t>
      </w:r>
    </w:p>
    <w:p w14:paraId="7D9CDC97" w14:textId="77777777" w:rsidR="00A2514D" w:rsidRPr="00BB165A" w:rsidRDefault="00A2514D" w:rsidP="00A2514D">
      <w:r w:rsidRPr="00BB165A">
        <w:t>Universities employ a wide range of approaches to value the depreciation of buildings and other infrastructure assets. Some universities regularly re-value assets, with use of actuarial assessments to adjust buildings to fair value, while others use historical book value. Similarly, it is common for universities to adopt policies that assume straight-line depreciation, which may differ from actual real estate usage. The latter approach produces consistent results from year-to-year, but may not accurately measure the decline in value associated with teaching activities.</w:t>
      </w:r>
    </w:p>
    <w:p w14:paraId="0735A408" w14:textId="77777777" w:rsidR="00A2514D" w:rsidRPr="00BB165A" w:rsidRDefault="00A2514D" w:rsidP="00A2514D">
      <w:r w:rsidRPr="00BB165A">
        <w:t>Depreciation costs, as they appear in a universities’ income and expense statements, only account for the cost associated with the decline in value of an asset over its ‘useful life’. Accounting standards often assume that assets have the same defined and consistent useful life, resulting in a constant rate of depreciation expenses. However, universities may continue teaching activities</w:t>
      </w:r>
    </w:p>
    <w:p w14:paraId="75B0697D" w14:textId="77777777" w:rsidR="00A2514D" w:rsidRPr="00BB165A" w:rsidRDefault="00A2514D" w:rsidP="00A2514D">
      <w:r w:rsidRPr="00BB165A">
        <w:t>using assets that are beyond their accounting useful life. For example, if the useful life of a building is assumed to be 50 years, buildings older than 50 years may be statutorily depreciated at the rate of zero per cent, despite continuing to be actively used for teaching activities.</w:t>
      </w:r>
    </w:p>
    <w:p w14:paraId="0BCBDF1E" w14:textId="77777777" w:rsidR="00A2514D" w:rsidRPr="00BB165A" w:rsidRDefault="00A2514D" w:rsidP="00A2514D">
      <w:r w:rsidRPr="00BB165A">
        <w:t>In cases where a university has fully depreciated assets that are still in use or where historical book value differs from the cost of replacing a building in its current condition, depreciation may not accurately reflect the full economic costs of using these buildings for teaching activities. This may also apply to assets other than buildings such as, plant and equipment assets.</w:t>
      </w:r>
    </w:p>
    <w:p w14:paraId="273B3B5F" w14:textId="77777777" w:rsidR="00A2514D" w:rsidRPr="00BB165A" w:rsidRDefault="00A2514D" w:rsidP="00A2514D">
      <w:r w:rsidRPr="00BB165A">
        <w:t>To better understand the extent to which current measures of depreciation are impacted by these issues, universities are given the option to include a depreciation adjustment in rows 90 to 93 of the Transparent Costing Worksheet (i.e. below the line). This is intended for universities who either have fully depreciated assets that are still in use or who do not conduct regular revaluations of their assets for the purpose of calculating depreciation. Universities that conduct regular revaluations or actuarial assessments and do not have fully depreciated assets which are used for teaching purposes will not need to make this adjustment.</w:t>
      </w:r>
    </w:p>
    <w:p w14:paraId="26616B34" w14:textId="77777777" w:rsidR="00A2514D" w:rsidRPr="00BB165A" w:rsidRDefault="00A2514D" w:rsidP="00A2514D">
      <w:r w:rsidRPr="00BB165A">
        <w:t>An example of this adjustment (based on the methodology detailed in section 3.2 of the 2016 UK Transparent Approach to Costing (TRAC) v2.1 Guidance) is included below and in the Depreciation adjustment tab of the Transparent Costing Worksheet.</w:t>
      </w:r>
    </w:p>
    <w:p w14:paraId="59FB75CC" w14:textId="025A6C82" w:rsidR="00035C39" w:rsidRPr="00BB165A" w:rsidRDefault="00035C39" w:rsidP="00035C39">
      <w:r w:rsidRPr="00BB165A">
        <w:t>The net infrastructure adjustment can then be included in rows 90 to 93 of the Transparent Costing Worksheet. Only the proportion attributable to teaching and scholarship should be included. Universities should seek to allocate this adjustment to each Field of Education and level of study.</w:t>
      </w:r>
    </w:p>
    <w:p w14:paraId="1EE2FE2F" w14:textId="77777777" w:rsidR="00035C39" w:rsidRPr="00BB165A" w:rsidRDefault="00035C39" w:rsidP="00035C39"/>
    <w:tbl>
      <w:tblPr>
        <w:tblStyle w:val="Deloittetable"/>
        <w:tblW w:w="0" w:type="auto"/>
        <w:tblLook w:val="04A0" w:firstRow="1" w:lastRow="0" w:firstColumn="1" w:lastColumn="0" w:noHBand="0" w:noVBand="1"/>
      </w:tblPr>
      <w:tblGrid>
        <w:gridCol w:w="9072"/>
      </w:tblGrid>
      <w:tr w:rsidR="00035C39" w:rsidRPr="00BB165A" w14:paraId="3A802185" w14:textId="77777777" w:rsidTr="00AF7ABB">
        <w:trPr>
          <w:cnfStyle w:val="100000000000" w:firstRow="1" w:lastRow="0" w:firstColumn="0" w:lastColumn="0" w:oddVBand="0" w:evenVBand="0" w:oddHBand="0" w:evenHBand="0" w:firstRowFirstColumn="0" w:firstRowLastColumn="0" w:lastRowFirstColumn="0" w:lastRowLastColumn="0"/>
        </w:trPr>
        <w:tc>
          <w:tcPr>
            <w:tcW w:w="9072" w:type="dxa"/>
          </w:tcPr>
          <w:p w14:paraId="053E1A35" w14:textId="77777777" w:rsidR="00035C39" w:rsidRPr="00BB165A" w:rsidRDefault="00035C39" w:rsidP="00AF7ABB">
            <w:pPr>
              <w:keepNext/>
              <w:rPr>
                <w:b/>
              </w:rPr>
            </w:pPr>
            <w:r w:rsidRPr="00BB165A">
              <w:rPr>
                <w:b/>
              </w:rPr>
              <w:t>Optional depreciation adjustment</w:t>
            </w:r>
          </w:p>
        </w:tc>
      </w:tr>
      <w:tr w:rsidR="00035C39" w:rsidRPr="00BB165A" w14:paraId="677DE273" w14:textId="77777777" w:rsidTr="00AF7ABB">
        <w:tc>
          <w:tcPr>
            <w:tcW w:w="9072" w:type="dxa"/>
          </w:tcPr>
          <w:p w14:paraId="6092C2FB" w14:textId="77777777" w:rsidR="00035C39" w:rsidRPr="00BB165A" w:rsidRDefault="00035C39" w:rsidP="00AF7ABB">
            <w:pPr>
              <w:keepNext/>
            </w:pPr>
            <w:r w:rsidRPr="00BB165A">
              <w:t>Universities can calculate the differential between the fair value of buildings or facilities (measured from either the insurance replacement value (IRV) or actuarial assessments) against recorded statutory depreciation for these assets.</w:t>
            </w:r>
          </w:p>
          <w:p w14:paraId="794F04F3" w14:textId="77777777" w:rsidR="00035C39" w:rsidRPr="00BB165A" w:rsidRDefault="00035C39" w:rsidP="00AF7ABB">
            <w:r w:rsidRPr="00BB165A">
              <w:rPr>
                <w:noProof/>
                <w:lang w:eastAsia="en-AU"/>
              </w:rPr>
              <w:drawing>
                <wp:inline distT="0" distB="0" distL="0" distR="0" wp14:anchorId="6E521E21" wp14:editId="6D33113D">
                  <wp:extent cx="5753100" cy="4025900"/>
                  <wp:effectExtent l="0" t="0" r="0" b="0"/>
                  <wp:docPr id="459974148" name="Picture 459974148" descr="Display of the optional depreciation adjustment, that is attached to the transparent costing worksheet. This is picture of the excel template provided to universities to fill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74148" name="Picture 459974148" descr="Display of the optional depreciation adjustment, that is attached to the transparent costing worksheet. This is picture of the excel template provided to universities to fill in."/>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53100" cy="4025900"/>
                          </a:xfrm>
                          <a:prstGeom prst="rect">
                            <a:avLst/>
                          </a:prstGeom>
                          <a:noFill/>
                          <a:ln>
                            <a:noFill/>
                          </a:ln>
                        </pic:spPr>
                      </pic:pic>
                    </a:graphicData>
                  </a:graphic>
                </wp:inline>
              </w:drawing>
            </w:r>
          </w:p>
        </w:tc>
      </w:tr>
    </w:tbl>
    <w:p w14:paraId="63653F80" w14:textId="77777777" w:rsidR="00035C39" w:rsidRPr="00BB165A" w:rsidRDefault="00035C39" w:rsidP="00035C39">
      <w:bookmarkStart w:id="847" w:name="_Toc8637385"/>
      <w:bookmarkStart w:id="848" w:name="_Toc10626397"/>
    </w:p>
    <w:p w14:paraId="350FCCE8" w14:textId="526674CD" w:rsidR="006F2946" w:rsidRPr="00BB165A" w:rsidRDefault="006F2946" w:rsidP="007B09DB">
      <w:pPr>
        <w:pStyle w:val="ListNumber"/>
        <w:numPr>
          <w:ilvl w:val="0"/>
          <w:numId w:val="27"/>
        </w:numPr>
        <w:spacing w:before="170"/>
        <w:rPr>
          <w:b/>
        </w:rPr>
      </w:pPr>
      <w:bookmarkStart w:id="849" w:name="_Toc519766607"/>
      <w:bookmarkStart w:id="850" w:name="_Toc519766608"/>
      <w:bookmarkStart w:id="851" w:name="_Toc519766609"/>
      <w:bookmarkStart w:id="852" w:name="_Toc519766610"/>
      <w:bookmarkStart w:id="853" w:name="_Toc519766611"/>
      <w:bookmarkStart w:id="854" w:name="_Toc519766612"/>
      <w:bookmarkStart w:id="855" w:name="_Toc519766613"/>
      <w:bookmarkStart w:id="856" w:name="_Toc519766614"/>
      <w:bookmarkEnd w:id="849"/>
      <w:bookmarkEnd w:id="850"/>
      <w:bookmarkEnd w:id="851"/>
      <w:bookmarkEnd w:id="852"/>
      <w:bookmarkEnd w:id="853"/>
      <w:bookmarkEnd w:id="854"/>
      <w:bookmarkEnd w:id="855"/>
      <w:bookmarkEnd w:id="856"/>
      <w:r w:rsidRPr="00BB165A">
        <w:rPr>
          <w:b/>
        </w:rPr>
        <w:t>Impact of COVID-19 on university costs of teaching</w:t>
      </w:r>
    </w:p>
    <w:p w14:paraId="10C9D2FC" w14:textId="77777777" w:rsidR="00E73C6D" w:rsidRPr="00BB165A" w:rsidRDefault="00E73C6D" w:rsidP="00E73C6D">
      <w:r w:rsidRPr="00BB165A">
        <w:t>The COVID-19 pandemic is expected to have had a significant impact on university revenue and expenditure in 2020. Deloitte understands that the impact of COVID-19 on university expenditure can be grouped into three broad categories, including:</w:t>
      </w:r>
    </w:p>
    <w:p w14:paraId="57EFBD0B" w14:textId="77777777" w:rsidR="00E73C6D" w:rsidRPr="00BB165A" w:rsidRDefault="00E73C6D" w:rsidP="00E73C6D">
      <w:pPr>
        <w:pStyle w:val="ListBullet"/>
      </w:pPr>
      <w:r w:rsidRPr="00BB165A">
        <w:t>Financial incentives and support for students including scholarships, bursaries and stipends, hardship payments and tuition fee discounts</w:t>
      </w:r>
    </w:p>
    <w:p w14:paraId="75BD786B" w14:textId="77777777" w:rsidR="00E73C6D" w:rsidRPr="00BB165A" w:rsidRDefault="00E73C6D" w:rsidP="00E73C6D">
      <w:pPr>
        <w:pStyle w:val="ListBullet"/>
      </w:pPr>
      <w:r w:rsidRPr="00BB165A">
        <w:t>Management of staff costs including redundancy costs, deferral of salary increases, leave and balance sheet provisions, temporary salary cuts and temporary payroll tax exemptions</w:t>
      </w:r>
    </w:p>
    <w:p w14:paraId="602E0E69" w14:textId="18685625" w:rsidR="00E73C6D" w:rsidRPr="00BB165A" w:rsidRDefault="00E73C6D" w:rsidP="00E73C6D">
      <w:pPr>
        <w:pStyle w:val="ListBullet"/>
      </w:pPr>
      <w:r w:rsidRPr="00BB165A">
        <w:t>Management of non-staff costs including higher IT investment and COVID-related cleaning and consumables; lower spending on travel, conferences and events; and deferred spending on maintenance and capital projects.</w:t>
      </w:r>
    </w:p>
    <w:p w14:paraId="5312B3B8" w14:textId="61EBB99E" w:rsidR="006F2946" w:rsidRPr="00BB165A" w:rsidRDefault="00E73C6D" w:rsidP="00E73C6D">
      <w:r w:rsidRPr="00BB165A">
        <w:t>For the purposes of the Transparent Costing exercise Deloitte is looking to capture only the costs associated with teaching and scholarship and how they have been affected by COVID-19.</w:t>
      </w:r>
    </w:p>
    <w:p w14:paraId="61CEC744" w14:textId="7BC4A602" w:rsidR="006F2946" w:rsidRPr="00BB165A" w:rsidRDefault="00E73C6D" w:rsidP="00E73C6D">
      <w:pPr>
        <w:pStyle w:val="Appendixhead4"/>
      </w:pPr>
      <w:r w:rsidRPr="00BB165A">
        <w:t>Optional COVID-19 measures adjustment</w:t>
      </w:r>
    </w:p>
    <w:p w14:paraId="49207831" w14:textId="2C9A277E" w:rsidR="00C27B2A" w:rsidRPr="00BB165A" w:rsidRDefault="00C27B2A" w:rsidP="00C27B2A">
      <w:r w:rsidRPr="00BB165A">
        <w:t xml:space="preserve">To allow for additional analysis of the impact of COVID-19 on teaching and scholarship costs, Deloitte has included an optional additional tab in the Transparent Costing Worksheet to capture the financial impact of university responses to COVID-19. Universities would also have the opportunity to outline how COVID-19 has affected teaching costs in the </w:t>
      </w:r>
      <w:r w:rsidR="00696857" w:rsidRPr="00BB165A">
        <w:t>S</w:t>
      </w:r>
      <w:r w:rsidRPr="00BB165A">
        <w:t xml:space="preserve">upporting </w:t>
      </w:r>
      <w:r w:rsidR="00696857" w:rsidRPr="00BB165A">
        <w:t>S</w:t>
      </w:r>
      <w:r w:rsidRPr="00BB165A">
        <w:t xml:space="preserve">tatement. To facilitate this Deloitte has provided a set of additional COVID-19 specific questions in the </w:t>
      </w:r>
      <w:r w:rsidR="00696857" w:rsidRPr="00BB165A">
        <w:t>S</w:t>
      </w:r>
      <w:r w:rsidRPr="00BB165A">
        <w:t xml:space="preserve">upporting </w:t>
      </w:r>
      <w:r w:rsidR="00696857" w:rsidRPr="00BB165A">
        <w:t>S</w:t>
      </w:r>
      <w:r w:rsidRPr="00BB165A">
        <w:t>tatement document.</w:t>
      </w:r>
    </w:p>
    <w:p w14:paraId="7DAFD985" w14:textId="77777777" w:rsidR="00C27B2A" w:rsidRPr="00BB165A" w:rsidRDefault="00C27B2A" w:rsidP="00C27B2A">
      <w:r w:rsidRPr="00BB165A">
        <w:t>All actual costs for 2020 should continue to be included in the main tab of the worksheet. The purpose of this additional tab is simply to understand the impact of specific components on those components of costs (or revenue) specifically attributable to COVID-19. The cost per EFTSL output will be based on the costs included in the main tab, with this tab designed to collect information to provide additional information in the report.</w:t>
      </w:r>
    </w:p>
    <w:p w14:paraId="5E38CED5" w14:textId="77777777" w:rsidR="00C27B2A" w:rsidRPr="00BB165A" w:rsidRDefault="00C27B2A" w:rsidP="00C27B2A">
      <w:r w:rsidRPr="00BB165A">
        <w:t>The table below provides a screenshot of the optional COVID-19 measures tab. Data is only required to be provided at the total level. That is, data does not need to be provided for specific FOEs or levels of study. The measures in the COVID-19 tab are split into three categories identified above (financial incentives and support, staff costs and non-staff costs). Within each of these three categories are specific line items. These line items are designed to identify the different potential areas where COVID-19 has impacted university operations.</w:t>
      </w:r>
    </w:p>
    <w:p w14:paraId="1ECB7EEE" w14:textId="4463A39C" w:rsidR="00E73C6D" w:rsidRPr="00BB165A" w:rsidRDefault="00C27B2A" w:rsidP="00C27B2A">
      <w:r w:rsidRPr="00BB165A">
        <w:t>If university responses to COVID-19 have not changed expenditure or revenue for a particular line item, please enter a zero in the relevant cell. Measures that increase expenditure or revenue should be recorded as positive values and measures that reduce expenditure or revenue should be recorded as negative values. While one line item seeks to understand changes in revenue as a result of tuition fee discounts (recognising that some forms of student hardship assistance may be in this form), the focus of the exercise remains on understanding the costs of teaching and scholarship.</w:t>
      </w:r>
    </w:p>
    <w:tbl>
      <w:tblPr>
        <w:tblStyle w:val="Deloittetable"/>
        <w:tblW w:w="0" w:type="auto"/>
        <w:tblLook w:val="04A0" w:firstRow="1" w:lastRow="0" w:firstColumn="1" w:lastColumn="0" w:noHBand="0" w:noVBand="1"/>
      </w:tblPr>
      <w:tblGrid>
        <w:gridCol w:w="9072"/>
      </w:tblGrid>
      <w:tr w:rsidR="005958A8" w:rsidRPr="00BB165A" w14:paraId="1666AA15" w14:textId="77777777" w:rsidTr="00531061">
        <w:trPr>
          <w:cnfStyle w:val="100000000000" w:firstRow="1" w:lastRow="0" w:firstColumn="0" w:lastColumn="0" w:oddVBand="0" w:evenVBand="0" w:oddHBand="0" w:evenHBand="0" w:firstRowFirstColumn="0" w:firstRowLastColumn="0" w:lastRowFirstColumn="0" w:lastRowLastColumn="0"/>
        </w:trPr>
        <w:tc>
          <w:tcPr>
            <w:tcW w:w="9072" w:type="dxa"/>
          </w:tcPr>
          <w:p w14:paraId="0CCC585D" w14:textId="13FC88EF" w:rsidR="005958A8" w:rsidRPr="00BB165A" w:rsidRDefault="005958A8" w:rsidP="00531061">
            <w:pPr>
              <w:keepNext/>
              <w:rPr>
                <w:b/>
              </w:rPr>
            </w:pPr>
            <w:r w:rsidRPr="00BB165A">
              <w:rPr>
                <w:b/>
              </w:rPr>
              <w:t>COVID-19 measures (optional)</w:t>
            </w:r>
          </w:p>
        </w:tc>
      </w:tr>
      <w:tr w:rsidR="005958A8" w:rsidRPr="00BB165A" w14:paraId="77E69005" w14:textId="77777777" w:rsidTr="00531061">
        <w:tc>
          <w:tcPr>
            <w:tcW w:w="9072" w:type="dxa"/>
          </w:tcPr>
          <w:p w14:paraId="7B97996F" w14:textId="6085A02A" w:rsidR="005958A8" w:rsidRPr="00BB165A" w:rsidRDefault="005958A8" w:rsidP="00531061">
            <w:pPr>
              <w:keepNext/>
            </w:pPr>
            <w:r w:rsidRPr="00BB165A">
              <w:t>Universities can record COVID-19 measures specific to 2020 in the additional tab in the 2020 Transparent Costing Worksheet.</w:t>
            </w:r>
          </w:p>
          <w:p w14:paraId="01E6375D" w14:textId="77B048F4" w:rsidR="005958A8" w:rsidRPr="00BB165A" w:rsidRDefault="00C70DAD" w:rsidP="00531061">
            <w:r w:rsidRPr="00BB165A">
              <w:rPr>
                <w:noProof/>
              </w:rPr>
              <w:drawing>
                <wp:inline distT="0" distB="0" distL="0" distR="0" wp14:anchorId="4643EBF3" wp14:editId="25CC6843">
                  <wp:extent cx="5760138" cy="3424687"/>
                  <wp:effectExtent l="0" t="0" r="0" b="0"/>
                  <wp:docPr id="46" name="Picture 46" descr="Display of the optional COVID-19 measures tab. This is an image of the excel template that universities could fill in to provide information on the impact of COVID-19 on specific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splay of the optional COVID-19 measures tab. This is an image of the excel template that universities could fill in to provide information on the impact of COVID-19 on specific cost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9731" cy="3430390"/>
                          </a:xfrm>
                          <a:prstGeom prst="rect">
                            <a:avLst/>
                          </a:prstGeom>
                          <a:noFill/>
                          <a:ln>
                            <a:noFill/>
                          </a:ln>
                        </pic:spPr>
                      </pic:pic>
                    </a:graphicData>
                  </a:graphic>
                </wp:inline>
              </w:drawing>
            </w:r>
          </w:p>
        </w:tc>
      </w:tr>
    </w:tbl>
    <w:p w14:paraId="29166A52" w14:textId="5A1E04BA" w:rsidR="00E179AF" w:rsidRPr="00BB165A" w:rsidRDefault="00E179AF" w:rsidP="00C27B2A"/>
    <w:p w14:paraId="3E41F6A7" w14:textId="77777777" w:rsidR="00492785" w:rsidRPr="00BB165A" w:rsidRDefault="00492785" w:rsidP="00146B33">
      <w:pPr>
        <w:pStyle w:val="Appendixhead3"/>
      </w:pPr>
      <w:r w:rsidRPr="00BB165A">
        <w:t>Staff costs: Allocating between teaching, scholarship and research</w:t>
      </w:r>
      <w:bookmarkEnd w:id="847"/>
      <w:bookmarkEnd w:id="848"/>
    </w:p>
    <w:p w14:paraId="03A046C1" w14:textId="77777777" w:rsidR="00492785" w:rsidRPr="00BB165A" w:rsidRDefault="00492785" w:rsidP="00492785">
      <w:r w:rsidRPr="00BB165A">
        <w:t xml:space="preserve">To estimate the costs of teaching, only staffing costs related to ‘teaching and scholarship’ are to be included in the data collection. Universities will have different methods of allocating staff activities and costs between teaching, scholarship and research (and others). Common methods include: </w:t>
      </w:r>
    </w:p>
    <w:p w14:paraId="36C704AC" w14:textId="77777777" w:rsidR="00492785" w:rsidRPr="00BB165A" w:rsidRDefault="00492785" w:rsidP="00046245">
      <w:pPr>
        <w:pStyle w:val="ListBullet"/>
      </w:pPr>
      <w:r w:rsidRPr="00BB165A">
        <w:t xml:space="preserve">Activity-based costing tools </w:t>
      </w:r>
    </w:p>
    <w:p w14:paraId="0C0B1AEC" w14:textId="77777777" w:rsidR="00492785" w:rsidRPr="00BB165A" w:rsidRDefault="00492785" w:rsidP="00046245">
      <w:pPr>
        <w:pStyle w:val="ListBullet"/>
      </w:pPr>
      <w:r w:rsidRPr="00BB165A">
        <w:t xml:space="preserve">Detailed timesheets </w:t>
      </w:r>
    </w:p>
    <w:p w14:paraId="21147A72" w14:textId="77777777" w:rsidR="00492785" w:rsidRPr="00BB165A" w:rsidRDefault="00492785" w:rsidP="00046245">
      <w:pPr>
        <w:pStyle w:val="ListBullet"/>
      </w:pPr>
      <w:r w:rsidRPr="00BB165A">
        <w:t>Workload models</w:t>
      </w:r>
    </w:p>
    <w:p w14:paraId="29AA2F6C" w14:textId="77777777" w:rsidR="00492785" w:rsidRPr="00BB165A" w:rsidRDefault="00492785" w:rsidP="00046245">
      <w:pPr>
        <w:pStyle w:val="ListBullet"/>
      </w:pPr>
      <w:r w:rsidRPr="00BB165A">
        <w:t>Enterprise Bargaining Agreements and other employment contracts that dictate specific allocations of time.</w:t>
      </w:r>
    </w:p>
    <w:p w14:paraId="00EA0B12" w14:textId="77777777" w:rsidR="00492785" w:rsidRPr="00BB165A" w:rsidRDefault="00492785" w:rsidP="00492785">
      <w:r w:rsidRPr="00BB165A">
        <w:t xml:space="preserve">Universities should use the most rigorous and consistent method of allocating staff activities available to them to reflect the true time spent on teaching and scholarship. Where detailed time allocation data is not available, reasonable assumptions can be used. </w:t>
      </w:r>
    </w:p>
    <w:p w14:paraId="2DB753EF" w14:textId="77777777" w:rsidR="00492785" w:rsidRPr="00BB165A" w:rsidRDefault="00492785" w:rsidP="00492785">
      <w:pPr>
        <w:pStyle w:val="ListBullet"/>
        <w:numPr>
          <w:ilvl w:val="0"/>
          <w:numId w:val="0"/>
        </w:numPr>
      </w:pPr>
      <w:r w:rsidRPr="00BB165A">
        <w:t>If administrative costs would be incurred even in the absence of other activities, such as research or commercial activities, they should be included in teaching costs.</w:t>
      </w:r>
    </w:p>
    <w:p w14:paraId="6D1BB99C" w14:textId="77777777" w:rsidR="00492785" w:rsidRPr="00BB165A" w:rsidRDefault="00492785" w:rsidP="00146B33">
      <w:pPr>
        <w:pStyle w:val="Appendixhead3"/>
      </w:pPr>
      <w:bookmarkStart w:id="857" w:name="_Toc8637386"/>
      <w:bookmarkStart w:id="858" w:name="_Toc10626398"/>
      <w:r w:rsidRPr="00BB165A">
        <w:t>Non-staff costs: allocating assets and facilities costs across different fields of education</w:t>
      </w:r>
      <w:bookmarkEnd w:id="857"/>
      <w:bookmarkEnd w:id="858"/>
    </w:p>
    <w:p w14:paraId="5BAC8D72" w14:textId="77777777" w:rsidR="00492785" w:rsidRPr="00BB165A" w:rsidRDefault="00492785" w:rsidP="00492785">
      <w:r w:rsidRPr="00BB165A">
        <w:t xml:space="preserve">Similar to staffing costs, only the proportion of asset and facilities costs that relate to delivering teaching should be included in the data collection. </w:t>
      </w:r>
    </w:p>
    <w:p w14:paraId="05BB22B6" w14:textId="77777777" w:rsidR="00492785" w:rsidRPr="00BB165A" w:rsidRDefault="00492785" w:rsidP="00492785">
      <w:r w:rsidRPr="00BB165A">
        <w:t xml:space="preserve">In the 2016 exercise, universities used various approaches to allocate non-salary costs to different </w:t>
      </w:r>
      <w:r w:rsidR="00035C39" w:rsidRPr="00BB165A">
        <w:t>FOEs.</w:t>
      </w:r>
      <w:r w:rsidRPr="00BB165A">
        <w:t xml:space="preserve"> The approaches tended to be based on the drivers that were judged to be most appropriate for each cost category. Some of the common drivers used included:</w:t>
      </w:r>
    </w:p>
    <w:p w14:paraId="772F60DA" w14:textId="77777777" w:rsidR="00035C39" w:rsidRPr="00BB165A" w:rsidRDefault="00035C39" w:rsidP="00046245">
      <w:pPr>
        <w:pStyle w:val="ListBullet"/>
      </w:pPr>
      <w:r w:rsidRPr="00BB165A">
        <w:t>floor space – used to apportion building (depreciation or maintenance) costs across FOEs</w:t>
      </w:r>
    </w:p>
    <w:p w14:paraId="6FA388FF" w14:textId="77777777" w:rsidR="00035C39" w:rsidRPr="00BB165A" w:rsidRDefault="00035C39" w:rsidP="00046245">
      <w:pPr>
        <w:pStyle w:val="ListBullet"/>
      </w:pPr>
      <w:r w:rsidRPr="00BB165A">
        <w:t>FTEs – used to apportion staff support services (such as a university’s finance function)</w:t>
      </w:r>
    </w:p>
    <w:p w14:paraId="6FCB9DF0" w14:textId="77777777" w:rsidR="00035C39" w:rsidRPr="00BB165A" w:rsidRDefault="00035C39" w:rsidP="00046245">
      <w:pPr>
        <w:pStyle w:val="ListBullet"/>
      </w:pPr>
      <w:r w:rsidRPr="00BB165A">
        <w:t>EFTSL – used to apportion non-salary costs driven by students (such as student support services)</w:t>
      </w:r>
    </w:p>
    <w:p w14:paraId="7176F167" w14:textId="77777777" w:rsidR="00492785" w:rsidRPr="00BB165A" w:rsidRDefault="00492785" w:rsidP="00046245">
      <w:pPr>
        <w:pStyle w:val="ListBullet"/>
      </w:pPr>
      <w:r w:rsidRPr="00BB165A">
        <w:t>enrolment headcount – used to apportion those costs driven by student numbers rather than load intensity (such as IT or enrolment costs).</w:t>
      </w:r>
    </w:p>
    <w:p w14:paraId="54589D72" w14:textId="77777777" w:rsidR="00C8416E" w:rsidRPr="00BB165A" w:rsidRDefault="00C8416E" w:rsidP="00C8416E">
      <w:r w:rsidRPr="00BB165A">
        <w:t>Other potential drivers which could be used include: whether the student is a domestic or international student; level of study; delivery mode and number of staff by type. Deloitte Access Economics will discuss the approach used with individual institutions to ensure consistency across the data collection exercise.</w:t>
      </w:r>
    </w:p>
    <w:p w14:paraId="669D02BE" w14:textId="77777777" w:rsidR="00C8416E" w:rsidRPr="00BB165A" w:rsidRDefault="00C8416E" w:rsidP="00C8416E">
      <w:r w:rsidRPr="00BB165A">
        <w:t>Instances of underutilisation attributable to teaching can be apportioned centrally. These central costs can then be allocated equally across all university EFTSL.</w:t>
      </w:r>
    </w:p>
    <w:p w14:paraId="307F152E" w14:textId="08350BA1" w:rsidR="00C8416E" w:rsidRPr="00BB165A" w:rsidRDefault="00C8416E" w:rsidP="00C8416E">
      <w:r w:rsidRPr="00BB165A">
        <w:t>Due to social distancing restrictions, there are likely to be lower building utilisation levels in 2020. Where appropriate, universities can adopt utilisation levels from 2019 to allocate these costs to FOEs. This assumption may need to be revised where there are material shifts in enrolments shares by FOE between 2019 and 2020.</w:t>
      </w:r>
    </w:p>
    <w:p w14:paraId="62E4FED6" w14:textId="6CCCCF2E" w:rsidR="00492785" w:rsidRPr="00BB165A" w:rsidRDefault="00492785" w:rsidP="00492785">
      <w:r w:rsidRPr="00BB165A">
        <w:t xml:space="preserve">EFTSL data will be pre-populated in the data collection template </w:t>
      </w:r>
      <w:r w:rsidR="00C8416E" w:rsidRPr="00BB165A">
        <w:t xml:space="preserve">for 2019 and 2020 </w:t>
      </w:r>
      <w:r w:rsidRPr="00BB165A">
        <w:t>at the beginning of the data collection process</w:t>
      </w:r>
      <w:r w:rsidR="00C8416E" w:rsidRPr="00BB165A">
        <w:t>. Expenses data will be pre-populated in the data collection template for 2019, but not the template for 2020 (due to the timing of data availability). Universities were provided with the Transparent Costing Worksheet for 2019 on the 19th of May 2021. Universities will receive the 2020 Transparent Costing Worksheet in July 2021</w:t>
      </w:r>
      <w:r w:rsidRPr="00BB165A">
        <w:t>.</w:t>
      </w:r>
      <w:bookmarkStart w:id="859" w:name="_Toc517783467"/>
      <w:bookmarkEnd w:id="859"/>
    </w:p>
    <w:p w14:paraId="06113482" w14:textId="7F65F4F8" w:rsidR="00035C39" w:rsidRPr="00BB165A" w:rsidRDefault="00035C39" w:rsidP="00604ABC">
      <w:pPr>
        <w:pStyle w:val="Appendixhead3"/>
      </w:pPr>
      <w:bookmarkStart w:id="860" w:name="_Toc10451079"/>
      <w:bookmarkStart w:id="861" w:name="_Toc10625777"/>
      <w:bookmarkStart w:id="862" w:name="_Toc10626399"/>
      <w:bookmarkStart w:id="863" w:name="_Toc10451080"/>
      <w:bookmarkStart w:id="864" w:name="_Toc10625778"/>
      <w:bookmarkStart w:id="865" w:name="_Toc10626400"/>
      <w:bookmarkStart w:id="866" w:name="_Toc10451082"/>
      <w:bookmarkStart w:id="867" w:name="_Toc10625780"/>
      <w:bookmarkStart w:id="868" w:name="_Toc10626402"/>
      <w:bookmarkStart w:id="869" w:name="_Toc8637388"/>
      <w:bookmarkStart w:id="870" w:name="_Toc10626403"/>
      <w:bookmarkEnd w:id="860"/>
      <w:bookmarkEnd w:id="861"/>
      <w:bookmarkEnd w:id="862"/>
      <w:bookmarkEnd w:id="863"/>
      <w:bookmarkEnd w:id="864"/>
      <w:bookmarkEnd w:id="865"/>
      <w:bookmarkEnd w:id="866"/>
      <w:bookmarkEnd w:id="867"/>
      <w:bookmarkEnd w:id="868"/>
      <w:r w:rsidRPr="00BB165A">
        <w:t>Trimesters and summer semesters</w:t>
      </w:r>
      <w:bookmarkEnd w:id="869"/>
      <w:bookmarkEnd w:id="870"/>
    </w:p>
    <w:p w14:paraId="547EE977" w14:textId="77777777" w:rsidR="00416D6B" w:rsidRPr="00BB165A" w:rsidRDefault="00416D6B" w:rsidP="00416D6B">
      <w:r w:rsidRPr="00BB165A">
        <w:t>Many universities offer summer subjects or a trimester option for students. For subjects/units that have census dates in the same calendar year, e.g. 2019, the EFTSL for the subjects/units will be recorded for 2019, even if the subjects/units are delivered across 2 calendar years – 2019 and 2020.</w:t>
      </w:r>
    </w:p>
    <w:p w14:paraId="027EB8BB" w14:textId="77777777" w:rsidR="00035C39" w:rsidRPr="00BB165A" w:rsidRDefault="00035C39" w:rsidP="00035C39">
      <w:pPr>
        <w:rPr>
          <w:b/>
        </w:rPr>
      </w:pPr>
      <w:r w:rsidRPr="00BB165A">
        <w:t>This means there may be a misalignment between EFTSL data and cost data for a given calendar year. Universities should apportion the costs for these units consistently across different collection years and if EFTSL for these units differ significantly year-on-year, it should be outlined in the Supporting Statement.</w:t>
      </w:r>
    </w:p>
    <w:p w14:paraId="3DAED36B" w14:textId="48EB35E0" w:rsidR="00492785" w:rsidRPr="00BB165A" w:rsidRDefault="00492785" w:rsidP="00146B33">
      <w:pPr>
        <w:pStyle w:val="Appendixhead3"/>
      </w:pPr>
      <w:bookmarkStart w:id="871" w:name="_Toc521413313"/>
      <w:bookmarkStart w:id="872" w:name="_Toc520208144"/>
      <w:bookmarkStart w:id="873" w:name="_Toc8637389"/>
      <w:bookmarkStart w:id="874" w:name="_Toc10626404"/>
      <w:bookmarkEnd w:id="871"/>
      <w:bookmarkEnd w:id="872"/>
      <w:r w:rsidRPr="00BB165A">
        <w:t>Reconciliation</w:t>
      </w:r>
      <w:bookmarkEnd w:id="873"/>
      <w:bookmarkEnd w:id="874"/>
    </w:p>
    <w:p w14:paraId="64AACFB9" w14:textId="43E87A36" w:rsidR="00416D6B" w:rsidRPr="00BB165A" w:rsidRDefault="00416D6B" w:rsidP="00416D6B">
      <w:r w:rsidRPr="00BB165A">
        <w:t>Total expenses reported in the template (excluding in-kind costs and third-party and partnership costs) should be reconciled to statutory accounts, in particular Total Expenses from Continuing Operations (including deferred superannuation).</w:t>
      </w:r>
      <w:r w:rsidRPr="00BB165A">
        <w:rPr>
          <w:rStyle w:val="FootnoteReference"/>
        </w:rPr>
        <w:footnoteReference w:id="33"/>
      </w:r>
      <w:r w:rsidRPr="00BB165A">
        <w:t xml:space="preserve"> This total expenses figure will be pre-populated for universities using data provided to the Department.</w:t>
      </w:r>
      <w:r w:rsidRPr="00BB165A">
        <w:rPr>
          <w:rStyle w:val="FootnoteReference"/>
        </w:rPr>
        <w:footnoteReference w:id="34"/>
      </w:r>
    </w:p>
    <w:p w14:paraId="07EFCC92" w14:textId="77777777" w:rsidR="00416D6B" w:rsidRPr="00BB165A" w:rsidRDefault="00416D6B" w:rsidP="00416D6B">
      <w:r w:rsidRPr="00BB165A">
        <w:t>When reconciling the costs of teaching and scholarship with total expenses, the difference between total expenses and the costs of teaching and scholarship will include costs associated with activities that are outside the scope of this project such as research, community activities and costs for non-award students, enabling programs, higher degree research students and offshore enrolments.</w:t>
      </w:r>
    </w:p>
    <w:p w14:paraId="68A29FDC" w14:textId="52FFA60B" w:rsidR="00492785" w:rsidRPr="009232DC" w:rsidRDefault="00492785" w:rsidP="00492785">
      <w:r w:rsidRPr="00BB165A">
        <w:t xml:space="preserve">Noting the guiding principle regarding a focus on actual economic costs (as opposed to accounting costs), there may be some additional variations in reported costs. </w:t>
      </w:r>
      <w:r w:rsidR="00035C39" w:rsidRPr="00BB165A">
        <w:t>Any differences can be explained in the Supporting Statement</w:t>
      </w:r>
      <w:r w:rsidRPr="00BB165A">
        <w:t xml:space="preserve"> provided by the university.</w:t>
      </w:r>
      <w:r>
        <w:t xml:space="preserve"> </w:t>
      </w:r>
    </w:p>
    <w:p w14:paraId="6D0667C5" w14:textId="71A0224F" w:rsidR="006370B7" w:rsidRDefault="004A247D" w:rsidP="00090C2F">
      <w:pPr>
        <w:pStyle w:val="Heading1un-numbered"/>
        <w:sectPr w:rsidR="006370B7" w:rsidSect="00201BEB">
          <w:pgSz w:w="11906" w:h="16838" w:code="9"/>
          <w:pgMar w:top="1985" w:right="1416" w:bottom="1134" w:left="1418" w:header="680" w:footer="425" w:gutter="0"/>
          <w:cols w:space="284"/>
          <w:docGrid w:linePitch="360"/>
        </w:sectPr>
      </w:pPr>
      <w:bookmarkStart w:id="875" w:name="_Toc105776206"/>
      <w:bookmarkStart w:id="876" w:name="_Toc463002439"/>
      <w:bookmarkStart w:id="877" w:name="_Toc472586353"/>
      <w:bookmarkStart w:id="878" w:name="_Toc482168131"/>
      <w:bookmarkStart w:id="879" w:name="_Toc482174916"/>
      <w:bookmarkStart w:id="880" w:name="_Toc20246023"/>
      <w:r>
        <w:t>Appendix C</w:t>
      </w:r>
      <w:r w:rsidRPr="00035C39">
        <w:t xml:space="preserve">: </w:t>
      </w:r>
      <w:r>
        <w:t xml:space="preserve">Comparison to </w:t>
      </w:r>
      <w:r w:rsidR="00DA7A36">
        <w:t>2017 data</w:t>
      </w:r>
      <w:bookmarkEnd w:id="875"/>
    </w:p>
    <w:p w14:paraId="732079BD" w14:textId="410C5F4D" w:rsidR="006370B7" w:rsidRDefault="0081175D" w:rsidP="002A65B3">
      <w:pPr>
        <w:pStyle w:val="AppendixTableCaption"/>
      </w:pPr>
      <w:bookmarkStart w:id="881" w:name="_Toc105776725"/>
      <w:r>
        <w:t xml:space="preserve">Chart C.1: </w:t>
      </w:r>
      <w:r w:rsidR="005814B8" w:rsidRPr="00BB165A">
        <w:t>Distribution</w:t>
      </w:r>
      <w:r w:rsidR="005814B8" w:rsidRPr="00A6695E">
        <w:t xml:space="preserve"> of the average unit costs to base funding ratio</w:t>
      </w:r>
      <w:r w:rsidR="005814B8">
        <w:t xml:space="preserve"> </w:t>
      </w:r>
      <w:r w:rsidR="005814B8" w:rsidRPr="00A6695E">
        <w:t>2017</w:t>
      </w:r>
      <w:r w:rsidR="005814B8">
        <w:t>,</w:t>
      </w:r>
      <w:r w:rsidR="005814B8" w:rsidRPr="00A6695E">
        <w:t xml:space="preserve"> 2018,</w:t>
      </w:r>
      <w:r w:rsidR="005814B8">
        <w:t xml:space="preserve"> 2019, and 2020</w:t>
      </w:r>
      <w:r w:rsidR="005814B8" w:rsidRPr="00A6695E">
        <w:t xml:space="preserve"> (2015 common sample (</w:t>
      </w:r>
      <w:r w:rsidR="005814B8">
        <w:t>25</w:t>
      </w:r>
      <w:r w:rsidR="005814B8" w:rsidRPr="00A6695E">
        <w:t xml:space="preserve"> universities))</w:t>
      </w:r>
      <w:bookmarkStart w:id="882" w:name="_Ref102469605"/>
      <w:bookmarkEnd w:id="881"/>
    </w:p>
    <w:p w14:paraId="14C15404" w14:textId="528324FD" w:rsidR="009C4E38" w:rsidRDefault="009C4E38" w:rsidP="00294715">
      <w:r>
        <w:rPr>
          <w:noProof/>
        </w:rPr>
        <w:drawing>
          <wp:inline distT="0" distB="0" distL="0" distR="0" wp14:anchorId="0C2ED9B3" wp14:editId="649E87DF">
            <wp:extent cx="9201600" cy="4680000"/>
            <wp:effectExtent l="0" t="0" r="0" b="6350"/>
            <wp:docPr id="597878549" name="Chart 597878549" descr="Chart showing the distribution of the average unit costs to base funding ratio 2017, 2018, 2019, and 2020 (2015 common sample (25 universities)). Ratio is displayed on the left hand side with points with bars displayed for all fields of education from 2017 - 2020 to indicate the ratio (mean and range).">
              <a:extLst xmlns:a="http://schemas.openxmlformats.org/drawingml/2006/main">
                <a:ext uri="{FF2B5EF4-FFF2-40B4-BE49-F238E27FC236}">
                  <a16:creationId xmlns:a16="http://schemas.microsoft.com/office/drawing/2014/main" id="{7F556191-09C2-438A-A1DC-7792760D62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347AB86" w14:textId="0E5B61F5" w:rsidR="00294715" w:rsidRPr="00294715" w:rsidRDefault="00294715" w:rsidP="00294715">
      <w:pPr>
        <w:sectPr w:rsidR="00294715" w:rsidRPr="00294715" w:rsidSect="006370B7">
          <w:pgSz w:w="16838" w:h="11906" w:orient="landscape" w:code="9"/>
          <w:pgMar w:top="1418" w:right="1985" w:bottom="1418" w:left="1134" w:header="680" w:footer="425" w:gutter="0"/>
          <w:cols w:space="284"/>
          <w:docGrid w:linePitch="360"/>
        </w:sectPr>
      </w:pPr>
    </w:p>
    <w:p w14:paraId="4809AD2A" w14:textId="25719A28" w:rsidR="007F152E" w:rsidRPr="00BB165A" w:rsidRDefault="004E334B" w:rsidP="004E334B">
      <w:pPr>
        <w:pStyle w:val="AppendixChartCaption"/>
        <w:rPr>
          <w:i/>
        </w:rPr>
      </w:pPr>
      <w:bookmarkStart w:id="883" w:name="_Toc105776394"/>
      <w:r w:rsidRPr="00BB165A">
        <w:t>Chart C.</w:t>
      </w:r>
      <w:r w:rsidR="00413870">
        <w:t>2</w:t>
      </w:r>
      <w:r w:rsidR="007F152E" w:rsidRPr="00BB165A">
        <w:t>: Comparing costs between 2017 and 2020 for sub-bachelor (2017 common sample (25 universities))</w:t>
      </w:r>
      <w:bookmarkEnd w:id="882"/>
      <w:bookmarkEnd w:id="883"/>
    </w:p>
    <w:p w14:paraId="1C445F96" w14:textId="015B4916" w:rsidR="00041DAB" w:rsidRPr="00BB165A" w:rsidRDefault="00041DAB" w:rsidP="007F152E">
      <w:pPr>
        <w:rPr>
          <w:color w:val="75787B" w:themeColor="accent6"/>
          <w:sz w:val="14"/>
        </w:rPr>
      </w:pPr>
      <w:r>
        <w:rPr>
          <w:noProof/>
        </w:rPr>
        <w:drawing>
          <wp:inline distT="0" distB="0" distL="0" distR="0" wp14:anchorId="260F85F8" wp14:editId="58753779">
            <wp:extent cx="9201600" cy="4680000"/>
            <wp:effectExtent l="0" t="0" r="0" b="6350"/>
            <wp:docPr id="597878564" name="Chart 597878564" descr="Chart showing Comparing costs between 2017 and 2020 for sub-bachelor (2017 common sample (25 universities)). Cost is displayed on the left hand side with points with bars displayed for all FoEs from 2017 - 2020 to indicate the costs (mean and range).">
              <a:extLst xmlns:a="http://schemas.openxmlformats.org/drawingml/2006/main">
                <a:ext uri="{FF2B5EF4-FFF2-40B4-BE49-F238E27FC236}">
                  <a16:creationId xmlns:a16="http://schemas.microsoft.com/office/drawing/2014/main" id="{C31C0089-545B-4ED8-A07B-80178A641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F64BBCD" w14:textId="3E439261" w:rsidR="007F152E" w:rsidRPr="00BB165A" w:rsidRDefault="007F152E" w:rsidP="007F152E">
      <w:pPr>
        <w:pStyle w:val="Source"/>
      </w:pPr>
      <w:r w:rsidRPr="00BB165A">
        <w:t>Note: For comparability, only the 25 universities that provided data for 2017, 2018, 2019 and 2020 are included. Markers are at mean.</w:t>
      </w:r>
    </w:p>
    <w:p w14:paraId="5D1D1BBB" w14:textId="77777777" w:rsidR="00D874E8" w:rsidRPr="00BB165A" w:rsidRDefault="00D874E8" w:rsidP="007F152E">
      <w:pPr>
        <w:pStyle w:val="CaptionChart"/>
        <w:sectPr w:rsidR="00D874E8" w:rsidRPr="00BB165A" w:rsidSect="00D874E8">
          <w:pgSz w:w="16838" w:h="11906" w:orient="landscape" w:code="9"/>
          <w:pgMar w:top="1418" w:right="1985" w:bottom="1418" w:left="1134" w:header="680" w:footer="425" w:gutter="0"/>
          <w:cols w:space="284"/>
          <w:docGrid w:linePitch="360"/>
        </w:sectPr>
      </w:pPr>
      <w:bookmarkStart w:id="884" w:name="_Ref102469608"/>
    </w:p>
    <w:p w14:paraId="268561C5" w14:textId="3D69C4E4" w:rsidR="007F152E" w:rsidRPr="00BB165A" w:rsidRDefault="00397CF7" w:rsidP="00397CF7">
      <w:pPr>
        <w:pStyle w:val="AppendixChartCaption"/>
      </w:pPr>
      <w:bookmarkStart w:id="885" w:name="_Toc105776395"/>
      <w:r w:rsidRPr="00BB165A">
        <w:t>Chart C.</w:t>
      </w:r>
      <w:r w:rsidR="007E2394">
        <w:t>3</w:t>
      </w:r>
      <w:r w:rsidR="007F152E" w:rsidRPr="00BB165A">
        <w:t>: Comparing costs between 2017 and 2020 for bachelor (2017 common sample (25 universities))</w:t>
      </w:r>
      <w:bookmarkEnd w:id="884"/>
      <w:bookmarkEnd w:id="885"/>
    </w:p>
    <w:p w14:paraId="105B95A8" w14:textId="4F85C549" w:rsidR="00C3119A" w:rsidRPr="00C3119A" w:rsidRDefault="00C3119A" w:rsidP="00416131">
      <w:r>
        <w:rPr>
          <w:noProof/>
        </w:rPr>
        <w:drawing>
          <wp:inline distT="0" distB="0" distL="0" distR="0" wp14:anchorId="59EE7189" wp14:editId="1FBEEEB5">
            <wp:extent cx="9201600" cy="4680000"/>
            <wp:effectExtent l="0" t="0" r="0" b="6350"/>
            <wp:docPr id="597878550" name="Chart 597878550" descr="Chart comparing costs between 2017 and 2020 for bachelor (2017 common sample (25 universities)). Cost is displayed on the left hand side with points with bars displayed for all FoEs from 2017 - 2020 to indicate the costs (mean and range).">
              <a:extLst xmlns:a="http://schemas.openxmlformats.org/drawingml/2006/main">
                <a:ext uri="{FF2B5EF4-FFF2-40B4-BE49-F238E27FC236}">
                  <a16:creationId xmlns:a16="http://schemas.microsoft.com/office/drawing/2014/main" id="{411E1A3E-B9AA-4C29-8223-AA75E2661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560300B7" w14:textId="61BF3ADA" w:rsidR="007F152E" w:rsidRPr="00BB165A" w:rsidRDefault="007F152E" w:rsidP="007F152E">
      <w:pPr>
        <w:pStyle w:val="Source"/>
      </w:pPr>
      <w:r w:rsidRPr="00BB165A">
        <w:t>Note: For comparability, only the 25 universities that provided data for 2017, 2018, 2019 and 2020 are included. Markers are at mean.</w:t>
      </w:r>
    </w:p>
    <w:p w14:paraId="5AC23079" w14:textId="77777777" w:rsidR="00685DC9" w:rsidRPr="00BB165A" w:rsidRDefault="00685DC9" w:rsidP="007F152E">
      <w:pPr>
        <w:pStyle w:val="CaptionChart"/>
        <w:sectPr w:rsidR="00685DC9" w:rsidRPr="00BB165A" w:rsidSect="00685DC9">
          <w:pgSz w:w="16838" w:h="11906" w:orient="landscape" w:code="9"/>
          <w:pgMar w:top="1418" w:right="1985" w:bottom="1418" w:left="1134" w:header="680" w:footer="425" w:gutter="0"/>
          <w:cols w:space="284"/>
          <w:docGrid w:linePitch="360"/>
        </w:sectPr>
      </w:pPr>
      <w:bookmarkStart w:id="886" w:name="_Ref102469610"/>
    </w:p>
    <w:p w14:paraId="4C3F5CCC" w14:textId="130EFED8" w:rsidR="007F152E" w:rsidRPr="00BB165A" w:rsidRDefault="0098107D" w:rsidP="0098107D">
      <w:pPr>
        <w:pStyle w:val="AppendixChartCaption"/>
      </w:pPr>
      <w:bookmarkStart w:id="887" w:name="_Toc105776396"/>
      <w:r w:rsidRPr="00BB165A">
        <w:t>Chart C.</w:t>
      </w:r>
      <w:r w:rsidR="007E2394">
        <w:t>4</w:t>
      </w:r>
      <w:r w:rsidR="007F152E" w:rsidRPr="00BB165A">
        <w:t>: Comparing costs between 2017 and 2020 for postgraduate (2017 common sample (25 universities))</w:t>
      </w:r>
      <w:bookmarkEnd w:id="886"/>
      <w:bookmarkEnd w:id="887"/>
    </w:p>
    <w:p w14:paraId="2F3AB214" w14:textId="01692261" w:rsidR="00C3119A" w:rsidRPr="00C3119A" w:rsidRDefault="00C3119A" w:rsidP="00416131">
      <w:r>
        <w:rPr>
          <w:noProof/>
        </w:rPr>
        <w:drawing>
          <wp:inline distT="0" distB="0" distL="0" distR="0" wp14:anchorId="39589524" wp14:editId="54E4DCB2">
            <wp:extent cx="9201600" cy="4680000"/>
            <wp:effectExtent l="0" t="0" r="0" b="6350"/>
            <wp:docPr id="597878551" name="Chart 597878551" descr="Chart comparing costs between 2017 and 2020 for postgraduate (2017 common sample (25 universities)). Cost is displayed on the left hand side with points with bars displayed for all FoEs from 2017 - 2020 to indicate the costs (mean and range).">
              <a:extLst xmlns:a="http://schemas.openxmlformats.org/drawingml/2006/main">
                <a:ext uri="{FF2B5EF4-FFF2-40B4-BE49-F238E27FC236}">
                  <a16:creationId xmlns:a16="http://schemas.microsoft.com/office/drawing/2014/main" id="{1C642A56-B3B2-4940-BCC5-BB5884FCD2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8579304" w14:textId="26A1B04C" w:rsidR="000A4BD8" w:rsidRPr="000A4BD8" w:rsidRDefault="007F152E" w:rsidP="000A4BD8">
      <w:pPr>
        <w:sectPr w:rsidR="000A4BD8" w:rsidRPr="000A4BD8" w:rsidSect="009D3FF3">
          <w:pgSz w:w="16838" w:h="11906" w:orient="landscape" w:code="9"/>
          <w:pgMar w:top="1418" w:right="1985" w:bottom="1418" w:left="1134" w:header="680" w:footer="425" w:gutter="0"/>
          <w:cols w:space="284"/>
          <w:docGrid w:linePitch="360"/>
        </w:sectPr>
      </w:pPr>
      <w:r w:rsidRPr="00BB165A">
        <w:rPr>
          <w:color w:val="75787B" w:themeColor="accent6"/>
          <w:sz w:val="14"/>
        </w:rPr>
        <w:t>Note: For comparability, only the 25 universities that provided data for 2017, 2018, 2019 and 2020 are included. Markers are at mean</w:t>
      </w:r>
    </w:p>
    <w:p w14:paraId="41DBA193" w14:textId="5E11FC48" w:rsidR="004A247D" w:rsidRDefault="004A247D" w:rsidP="006C3226">
      <w:pPr>
        <w:pStyle w:val="Heading1un-numbered"/>
      </w:pPr>
      <w:bookmarkStart w:id="888" w:name="_Toc105776207"/>
      <w:r>
        <w:t xml:space="preserve">Appendix </w:t>
      </w:r>
      <w:r w:rsidR="00DA7A36">
        <w:t>D</w:t>
      </w:r>
      <w:r w:rsidRPr="00035C39">
        <w:t xml:space="preserve">: </w:t>
      </w:r>
      <w:r>
        <w:t>Comparison to 2015 data</w:t>
      </w:r>
      <w:bookmarkEnd w:id="888"/>
    </w:p>
    <w:p w14:paraId="21D25866" w14:textId="77777777" w:rsidR="004A247D" w:rsidRDefault="004A247D" w:rsidP="006C3226">
      <w:pPr>
        <w:pStyle w:val="Heading1un-numbered"/>
        <w:sectPr w:rsidR="004A247D" w:rsidSect="00201BEB">
          <w:pgSz w:w="11906" w:h="16838" w:code="9"/>
          <w:pgMar w:top="1985" w:right="1416" w:bottom="1134" w:left="1418" w:header="680" w:footer="425" w:gutter="0"/>
          <w:cols w:space="284"/>
          <w:docGrid w:linePitch="360"/>
        </w:sectPr>
      </w:pPr>
    </w:p>
    <w:p w14:paraId="6C5EAD82" w14:textId="59D2AA72" w:rsidR="00E26550" w:rsidRDefault="00B63A02" w:rsidP="00F131D3">
      <w:pPr>
        <w:pStyle w:val="AppendixTableCaption"/>
      </w:pPr>
      <w:bookmarkStart w:id="889" w:name="_Toc105776726"/>
      <w:r>
        <w:t xml:space="preserve">Chart </w:t>
      </w:r>
      <w:r w:rsidR="00DA7A36">
        <w:t>D</w:t>
      </w:r>
      <w:r>
        <w:t xml:space="preserve">.1: </w:t>
      </w:r>
      <w:r w:rsidR="004A247D" w:rsidRPr="00BB165A">
        <w:t>Distribution</w:t>
      </w:r>
      <w:r w:rsidR="004A247D" w:rsidRPr="00A6695E">
        <w:t xml:space="preserve"> of the average unit costs to base funding ratio, 2015, 2017</w:t>
      </w:r>
      <w:r w:rsidR="00C42572">
        <w:t>,</w:t>
      </w:r>
      <w:r w:rsidR="004A247D" w:rsidRPr="00A6695E">
        <w:t xml:space="preserve"> 2018,</w:t>
      </w:r>
      <w:r w:rsidR="00C42572">
        <w:t xml:space="preserve"> 2019, and 2020</w:t>
      </w:r>
      <w:r w:rsidR="004A247D" w:rsidRPr="00A6695E">
        <w:t xml:space="preserve"> (2015 common sample (17 universities))</w:t>
      </w:r>
      <w:bookmarkEnd w:id="889"/>
    </w:p>
    <w:p w14:paraId="7DEE89C1" w14:textId="01E1AF75" w:rsidR="00363571" w:rsidRPr="00363571" w:rsidRDefault="00E72BC1" w:rsidP="00363571">
      <w:r>
        <w:rPr>
          <w:noProof/>
        </w:rPr>
        <mc:AlternateContent>
          <mc:Choice Requires="wpg">
            <w:drawing>
              <wp:anchor distT="0" distB="0" distL="114300" distR="114300" simplePos="0" relativeHeight="251771392" behindDoc="0" locked="0" layoutInCell="1" allowOverlap="1" wp14:anchorId="7237E33D" wp14:editId="3A9F4C52">
                <wp:simplePos x="0" y="0"/>
                <wp:positionH relativeFrom="margin">
                  <wp:posOffset>3213531</wp:posOffset>
                </wp:positionH>
                <wp:positionV relativeFrom="paragraph">
                  <wp:posOffset>4505481</wp:posOffset>
                </wp:positionV>
                <wp:extent cx="2422105" cy="265478"/>
                <wp:effectExtent l="0" t="0" r="0" b="0"/>
                <wp:wrapNone/>
                <wp:docPr id="597878565" name="Group 1"/>
                <wp:cNvGraphicFramePr/>
                <a:graphic xmlns:a="http://schemas.openxmlformats.org/drawingml/2006/main">
                  <a:graphicData uri="http://schemas.microsoft.com/office/word/2010/wordprocessingGroup">
                    <wpg:wgp>
                      <wpg:cNvGrpSpPr/>
                      <wpg:grpSpPr>
                        <a:xfrm>
                          <a:off x="0" y="0"/>
                          <a:ext cx="2422105" cy="265478"/>
                          <a:chOff x="0" y="0"/>
                          <a:chExt cx="2422105" cy="265478"/>
                        </a:xfrm>
                      </wpg:grpSpPr>
                      <wps:wsp>
                        <wps:cNvPr id="597878566" name="TextBox 14"/>
                        <wps:cNvSpPr txBox="1"/>
                        <wps:spPr>
                          <a:xfrm>
                            <a:off x="13119" y="9585"/>
                            <a:ext cx="479546" cy="255893"/>
                          </a:xfrm>
                          <a:prstGeom prst="rect">
                            <a:avLst/>
                          </a:prstGeom>
                        </wps:spPr>
                        <wps:txbx>
                          <w:txbxContent>
                            <w:p w14:paraId="3089A798" w14:textId="77777777" w:rsidR="00F26429" w:rsidRDefault="00F26429" w:rsidP="00F26429">
                              <w:pPr>
                                <w:spacing w:line="240" w:lineRule="exact"/>
                                <w:rPr>
                                  <w:rFonts w:eastAsia="Verdana" w:cs="Verdana"/>
                                  <w:sz w:val="16"/>
                                  <w:szCs w:val="16"/>
                                </w:rPr>
                              </w:pPr>
                              <w:r>
                                <w:rPr>
                                  <w:rFonts w:eastAsia="Verdana" w:cs="Verdana"/>
                                  <w:sz w:val="16"/>
                                  <w:szCs w:val="16"/>
                                </w:rPr>
                                <w:t>2015</w:t>
                              </w:r>
                            </w:p>
                          </w:txbxContent>
                        </wps:txbx>
                        <wps:bodyPr wrap="square" rtlCol="0" anchor="ctr"/>
                      </wps:wsp>
                      <wps:wsp>
                        <wps:cNvPr id="597878567" name="Diamond 597878567"/>
                        <wps:cNvSpPr/>
                        <wps:spPr>
                          <a:xfrm>
                            <a:off x="0" y="97109"/>
                            <a:ext cx="108000" cy="108000"/>
                          </a:xfrm>
                          <a:prstGeom prst="diamond">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68" name="Diamond 597878568"/>
                        <wps:cNvSpPr/>
                        <wps:spPr>
                          <a:xfrm>
                            <a:off x="473494" y="96150"/>
                            <a:ext cx="108000" cy="108000"/>
                          </a:xfrm>
                          <a:prstGeom prst="diamond">
                            <a:avLst/>
                          </a:prstGeom>
                          <a:solidFill>
                            <a:srgbClr val="00ABAB"/>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69" name="TextBox 14"/>
                        <wps:cNvSpPr txBox="1"/>
                        <wps:spPr>
                          <a:xfrm>
                            <a:off x="495240" y="8626"/>
                            <a:ext cx="479546" cy="255893"/>
                          </a:xfrm>
                          <a:prstGeom prst="rect">
                            <a:avLst/>
                          </a:prstGeom>
                        </wps:spPr>
                        <wps:txbx>
                          <w:txbxContent>
                            <w:p w14:paraId="2BEF422B" w14:textId="77777777" w:rsidR="00F26429" w:rsidRDefault="00F26429" w:rsidP="00F26429">
                              <w:pPr>
                                <w:spacing w:line="240" w:lineRule="exact"/>
                                <w:rPr>
                                  <w:rFonts w:eastAsia="Verdana" w:cs="Verdana"/>
                                  <w:sz w:val="16"/>
                                  <w:szCs w:val="16"/>
                                </w:rPr>
                              </w:pPr>
                              <w:r>
                                <w:rPr>
                                  <w:rFonts w:eastAsia="Verdana" w:cs="Verdana"/>
                                  <w:sz w:val="16"/>
                                  <w:szCs w:val="16"/>
                                </w:rPr>
                                <w:t>2017</w:t>
                              </w:r>
                            </w:p>
                          </w:txbxContent>
                        </wps:txbx>
                        <wps:bodyPr wrap="square" rtlCol="0" anchor="ctr"/>
                      </wps:wsp>
                      <wps:wsp>
                        <wps:cNvPr id="597878571" name="Diamond 597878571"/>
                        <wps:cNvSpPr/>
                        <wps:spPr>
                          <a:xfrm>
                            <a:off x="956573" y="87524"/>
                            <a:ext cx="108000" cy="108000"/>
                          </a:xfrm>
                          <a:prstGeom prst="diamond">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72" name="TextBox 14"/>
                        <wps:cNvSpPr txBox="1"/>
                        <wps:spPr>
                          <a:xfrm>
                            <a:off x="977360" y="7667"/>
                            <a:ext cx="479546" cy="255893"/>
                          </a:xfrm>
                          <a:prstGeom prst="rect">
                            <a:avLst/>
                          </a:prstGeom>
                        </wps:spPr>
                        <wps:txbx>
                          <w:txbxContent>
                            <w:p w14:paraId="14CA3E32" w14:textId="77777777" w:rsidR="00F26429" w:rsidRDefault="00F26429" w:rsidP="00F26429">
                              <w:pPr>
                                <w:spacing w:line="240" w:lineRule="exact"/>
                                <w:rPr>
                                  <w:rFonts w:eastAsia="Verdana" w:cs="Verdana"/>
                                  <w:sz w:val="16"/>
                                  <w:szCs w:val="16"/>
                                </w:rPr>
                              </w:pPr>
                              <w:r>
                                <w:rPr>
                                  <w:rFonts w:eastAsia="Verdana" w:cs="Verdana"/>
                                  <w:sz w:val="16"/>
                                  <w:szCs w:val="16"/>
                                </w:rPr>
                                <w:t>2018</w:t>
                              </w:r>
                            </w:p>
                          </w:txbxContent>
                        </wps:txbx>
                        <wps:bodyPr wrap="square" rtlCol="0" anchor="ctr"/>
                      </wps:wsp>
                      <wps:wsp>
                        <wps:cNvPr id="597878573" name="Diamond 597878573"/>
                        <wps:cNvSpPr/>
                        <wps:spPr>
                          <a:xfrm>
                            <a:off x="1439653" y="87524"/>
                            <a:ext cx="108000" cy="108000"/>
                          </a:xfrm>
                          <a:prstGeom prst="diamond">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74" name="TextBox 14"/>
                        <wps:cNvSpPr txBox="1"/>
                        <wps:spPr>
                          <a:xfrm>
                            <a:off x="1470025" y="0"/>
                            <a:ext cx="479546" cy="255893"/>
                          </a:xfrm>
                          <a:prstGeom prst="rect">
                            <a:avLst/>
                          </a:prstGeom>
                        </wps:spPr>
                        <wps:txbx>
                          <w:txbxContent>
                            <w:p w14:paraId="2DC0BE16" w14:textId="77777777" w:rsidR="00F26429" w:rsidRDefault="00F26429" w:rsidP="00F26429">
                              <w:pPr>
                                <w:spacing w:line="240" w:lineRule="exact"/>
                                <w:rPr>
                                  <w:rFonts w:eastAsia="Verdana" w:cs="Verdana"/>
                                  <w:sz w:val="16"/>
                                  <w:szCs w:val="16"/>
                                </w:rPr>
                              </w:pPr>
                              <w:r>
                                <w:rPr>
                                  <w:rFonts w:eastAsia="Verdana" w:cs="Verdana"/>
                                  <w:sz w:val="16"/>
                                  <w:szCs w:val="16"/>
                                </w:rPr>
                                <w:t>2019</w:t>
                              </w:r>
                            </w:p>
                          </w:txbxContent>
                        </wps:txbx>
                        <wps:bodyPr wrap="square" rtlCol="0" anchor="ctr"/>
                      </wps:wsp>
                      <wps:wsp>
                        <wps:cNvPr id="597878575" name="Diamond 597878575"/>
                        <wps:cNvSpPr/>
                        <wps:spPr>
                          <a:xfrm>
                            <a:off x="1914106" y="87524"/>
                            <a:ext cx="108000" cy="108000"/>
                          </a:xfrm>
                          <a:prstGeom prst="diamond">
                            <a:avLst/>
                          </a:prstGeom>
                          <a:solidFill>
                            <a:srgbClr val="53565A"/>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76" name="TextBox 14"/>
                        <wps:cNvSpPr txBox="1"/>
                        <wps:spPr>
                          <a:xfrm>
                            <a:off x="1942559" y="6708"/>
                            <a:ext cx="479546" cy="255893"/>
                          </a:xfrm>
                          <a:prstGeom prst="rect">
                            <a:avLst/>
                          </a:prstGeom>
                        </wps:spPr>
                        <wps:txbx>
                          <w:txbxContent>
                            <w:p w14:paraId="56491520" w14:textId="77777777" w:rsidR="00F26429" w:rsidRDefault="00F26429" w:rsidP="00F26429">
                              <w:pPr>
                                <w:spacing w:line="240" w:lineRule="exact"/>
                                <w:rPr>
                                  <w:rFonts w:eastAsia="Verdana" w:cs="Verdana"/>
                                  <w:sz w:val="16"/>
                                  <w:szCs w:val="16"/>
                                </w:rPr>
                              </w:pPr>
                              <w:r>
                                <w:rPr>
                                  <w:rFonts w:eastAsia="Verdana" w:cs="Verdana"/>
                                  <w:sz w:val="16"/>
                                  <w:szCs w:val="16"/>
                                </w:rPr>
                                <w:t>2020</w:t>
                              </w:r>
                            </w:p>
                          </w:txbxContent>
                        </wps:txbx>
                        <wps:bodyPr wrap="square" rtlCol="0" anchor="ctr"/>
                      </wps:wsp>
                    </wpg:wgp>
                  </a:graphicData>
                </a:graphic>
              </wp:anchor>
            </w:drawing>
          </mc:Choice>
          <mc:Fallback>
            <w:pict>
              <v:group w14:anchorId="7237E33D" id="Group 1" o:spid="_x0000_s1028" style="position:absolute;margin-left:253.05pt;margin-top:354.75pt;width:190.7pt;height:20.9pt;z-index:251771392;mso-position-horizontal-relative:margin" coordsize="24221,2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">
                <v:shape id="TextBox 14" o:spid="_x0000_s1029" type="#_x0000_t202" style="position:absolute;left:131;top:95;width:4795;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" filled="f" stroked="f">
                  <v:textbox>
                    <w:txbxContent>
                      <w:p w14:paraId="3089A798" w14:textId="77777777" w:rsidR="00F26429" w:rsidRDefault="00F26429" w:rsidP="00F26429">
                        <w:pPr>
                          <w:spacing w:line="240" w:lineRule="exact"/>
                          <w:rPr>
                            <w:rFonts w:eastAsia="Verdana" w:cs="Verdana"/>
                            <w:sz w:val="16"/>
                            <w:szCs w:val="16"/>
                          </w:rPr>
                        </w:pPr>
                        <w:r>
                          <w:rPr>
                            <w:rFonts w:eastAsia="Verdana" w:cs="Verdana"/>
                            <w:sz w:val="16"/>
                            <w:szCs w:val="16"/>
                          </w:rPr>
                          <w:t>2015</w:t>
                        </w:r>
                      </w:p>
                    </w:txbxContent>
                  </v:textbox>
                </v:shape>
                <v:shapetype id="_x0000_t4" coordsize="21600,21600" o:spt="4" path="m10800,l,10800,10800,21600,21600,10800xe">
                  <v:stroke joinstyle="miter"/>
                  <v:path gradientshapeok="t" o:connecttype="rect" textboxrect="5400,5400,16200,16200"/>
                </v:shapetype>
                <v:shape id="Diamond 597878567" o:spid="_x0000_s1030" type="#_x0000_t4" style="position:absolute;top:97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" fillcolor="#046a38 [3205]" stroked="f" strokeweight="2pt"/>
                <v:shape id="Diamond 597878568" o:spid="_x0000_s1031" type="#_x0000_t4" style="position:absolute;left:4734;top:96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" fillcolor="#00abab" stroked="f" strokeweight="2pt"/>
                <v:shape id="TextBox 14" o:spid="_x0000_s1032" type="#_x0000_t202" style="position:absolute;left:4952;top:86;width:4795;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" filled="f" stroked="f">
                  <v:textbox>
                    <w:txbxContent>
                      <w:p w14:paraId="2BEF422B" w14:textId="77777777" w:rsidR="00F26429" w:rsidRDefault="00F26429" w:rsidP="00F26429">
                        <w:pPr>
                          <w:spacing w:line="240" w:lineRule="exact"/>
                          <w:rPr>
                            <w:rFonts w:eastAsia="Verdana" w:cs="Verdana"/>
                            <w:sz w:val="16"/>
                            <w:szCs w:val="16"/>
                          </w:rPr>
                        </w:pPr>
                        <w:r>
                          <w:rPr>
                            <w:rFonts w:eastAsia="Verdana" w:cs="Verdana"/>
                            <w:sz w:val="16"/>
                            <w:szCs w:val="16"/>
                          </w:rPr>
                          <w:t>2017</w:t>
                        </w:r>
                      </w:p>
                    </w:txbxContent>
                  </v:textbox>
                </v:shape>
                <v:shape id="Diamond 597878571" o:spid="_x0000_s1033" type="#_x0000_t4" style="position:absolute;left:9565;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" fillcolor="#bfbfbf [2412]" stroked="f" strokeweight="2pt"/>
                <v:shape id="TextBox 14" o:spid="_x0000_s1034" type="#_x0000_t202" style="position:absolute;left:9773;top:76;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" filled="f" stroked="f">
                  <v:textbox>
                    <w:txbxContent>
                      <w:p w14:paraId="14CA3E32" w14:textId="77777777" w:rsidR="00F26429" w:rsidRDefault="00F26429" w:rsidP="00F26429">
                        <w:pPr>
                          <w:spacing w:line="240" w:lineRule="exact"/>
                          <w:rPr>
                            <w:rFonts w:eastAsia="Verdana" w:cs="Verdana"/>
                            <w:sz w:val="16"/>
                            <w:szCs w:val="16"/>
                          </w:rPr>
                        </w:pPr>
                        <w:r>
                          <w:rPr>
                            <w:rFonts w:eastAsia="Verdana" w:cs="Verdana"/>
                            <w:sz w:val="16"/>
                            <w:szCs w:val="16"/>
                          </w:rPr>
                          <w:t>2018</w:t>
                        </w:r>
                      </w:p>
                    </w:txbxContent>
                  </v:textbox>
                </v:shape>
                <v:shape id="Diamond 597878573" o:spid="_x0000_s1035" type="#_x0000_t4" style="position:absolute;left:14396;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" fillcolor="#012169 [3207]" stroked="f" strokeweight="2pt"/>
                <v:shape id="TextBox 14" o:spid="_x0000_s1036" type="#_x0000_t202" style="position:absolute;left:14700;width:4795;height:2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" filled="f" stroked="f">
                  <v:textbox>
                    <w:txbxContent>
                      <w:p w14:paraId="2DC0BE16" w14:textId="77777777" w:rsidR="00F26429" w:rsidRDefault="00F26429" w:rsidP="00F26429">
                        <w:pPr>
                          <w:spacing w:line="240" w:lineRule="exact"/>
                          <w:rPr>
                            <w:rFonts w:eastAsia="Verdana" w:cs="Verdana"/>
                            <w:sz w:val="16"/>
                            <w:szCs w:val="16"/>
                          </w:rPr>
                        </w:pPr>
                        <w:r>
                          <w:rPr>
                            <w:rFonts w:eastAsia="Verdana" w:cs="Verdana"/>
                            <w:sz w:val="16"/>
                            <w:szCs w:val="16"/>
                          </w:rPr>
                          <w:t>2019</w:t>
                        </w:r>
                      </w:p>
                    </w:txbxContent>
                  </v:textbox>
                </v:shape>
                <v:shape id="Diamond 597878575" o:spid="_x0000_s1037" type="#_x0000_t4" style="position:absolute;left:19141;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" fillcolor="#53565a" stroked="f" strokeweight="2pt"/>
                <v:shape id="TextBox 14" o:spid="_x0000_s1038" type="#_x0000_t202" style="position:absolute;left:19425;top:67;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" filled="f" stroked="f">
                  <v:textbox>
                    <w:txbxContent>
                      <w:p w14:paraId="56491520" w14:textId="77777777" w:rsidR="00F26429" w:rsidRDefault="00F26429" w:rsidP="00F26429">
                        <w:pPr>
                          <w:spacing w:line="240" w:lineRule="exact"/>
                          <w:rPr>
                            <w:rFonts w:eastAsia="Verdana" w:cs="Verdana"/>
                            <w:sz w:val="16"/>
                            <w:szCs w:val="16"/>
                          </w:rPr>
                        </w:pPr>
                        <w:r>
                          <w:rPr>
                            <w:rFonts w:eastAsia="Verdana" w:cs="Verdana"/>
                            <w:sz w:val="16"/>
                            <w:szCs w:val="16"/>
                          </w:rPr>
                          <w:t>2020</w:t>
                        </w:r>
                      </w:p>
                    </w:txbxContent>
                  </v:textbox>
                </v:shape>
                <w10:wrap anchorx="margin"/>
              </v:group>
            </w:pict>
          </mc:Fallback>
        </mc:AlternateContent>
      </w:r>
      <w:r w:rsidR="003114A8">
        <w:rPr>
          <w:noProof/>
        </w:rPr>
        <w:drawing>
          <wp:inline distT="0" distB="0" distL="0" distR="0" wp14:anchorId="0C464D4E" wp14:editId="7364A8DA">
            <wp:extent cx="9324753" cy="4816549"/>
            <wp:effectExtent l="0" t="0" r="0" b="3175"/>
            <wp:docPr id="597878581" name="Chart 597878581" descr="Chart showing distribution of the average unit costs to base funding ratio, 2015, 2017, 2018, 2019, and 2020 (2015 common sample (17 universities)). Ratio is displayed on the left hand side with points with bars displayed for all fields of education from 2015 and 2017 - 2020 to indicate the ratio (mean and range).">
              <a:extLst xmlns:a="http://schemas.openxmlformats.org/drawingml/2006/main">
                <a:ext uri="{FF2B5EF4-FFF2-40B4-BE49-F238E27FC236}">
                  <a16:creationId xmlns:a16="http://schemas.microsoft.com/office/drawing/2014/main" id="{953E3F1D-11A1-418B-9135-016E515A7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5F035C5D" w14:textId="28DE13B5" w:rsidR="007B1FDA" w:rsidRPr="006D71A6" w:rsidRDefault="004A247D" w:rsidP="00F26429">
      <w:pPr>
        <w:rPr>
          <w:color w:val="75787B" w:themeColor="accent6"/>
          <w:sz w:val="14"/>
          <w:szCs w:val="14"/>
        </w:rPr>
      </w:pPr>
      <w:r w:rsidRPr="006D71A6">
        <w:rPr>
          <w:color w:val="75787B" w:themeColor="accent6"/>
          <w:sz w:val="14"/>
          <w:szCs w:val="14"/>
        </w:rPr>
        <w:t>Note: Marker at average value, lines represent range from minimum to maximum. Notably, these results only include universities that provided data for 2015, 2017</w:t>
      </w:r>
      <w:r w:rsidR="00C42572" w:rsidRPr="006D71A6">
        <w:rPr>
          <w:color w:val="75787B" w:themeColor="accent6"/>
          <w:sz w:val="14"/>
          <w:szCs w:val="14"/>
        </w:rPr>
        <w:t>, 2018, 2019</w:t>
      </w:r>
      <w:r w:rsidRPr="006D71A6">
        <w:rPr>
          <w:color w:val="75787B" w:themeColor="accent6"/>
          <w:sz w:val="14"/>
          <w:szCs w:val="14"/>
        </w:rPr>
        <w:t xml:space="preserve"> and </w:t>
      </w:r>
      <w:r w:rsidR="00C42572" w:rsidRPr="006D71A6">
        <w:rPr>
          <w:color w:val="75787B" w:themeColor="accent6"/>
          <w:sz w:val="14"/>
          <w:szCs w:val="14"/>
        </w:rPr>
        <w:t xml:space="preserve">2020. </w:t>
      </w:r>
      <w:r w:rsidR="007B1FDA" w:rsidRPr="006D71A6">
        <w:rPr>
          <w:color w:val="75787B" w:themeColor="accent6"/>
          <w:sz w:val="14"/>
          <w:szCs w:val="14"/>
        </w:rPr>
        <w:br w:type="page"/>
      </w:r>
    </w:p>
    <w:p w14:paraId="7DB2F329" w14:textId="5327DFB6" w:rsidR="00E00EDE" w:rsidRDefault="00B63A02" w:rsidP="007A630D">
      <w:pPr>
        <w:pStyle w:val="AppendixTableCaption"/>
      </w:pPr>
      <w:bookmarkStart w:id="890" w:name="_Toc105776727"/>
      <w:r>
        <w:t xml:space="preserve">Chart </w:t>
      </w:r>
      <w:r w:rsidR="00DA7A36">
        <w:t>D</w:t>
      </w:r>
      <w:r>
        <w:t>.2: C</w:t>
      </w:r>
      <w:r w:rsidR="00131B52" w:rsidRPr="00A67626">
        <w:t>omparing costs between 2015</w:t>
      </w:r>
      <w:r w:rsidR="00AC51AF">
        <w:t>, 201</w:t>
      </w:r>
      <w:r w:rsidR="00A957B3">
        <w:t>7, 2018, 2019,</w:t>
      </w:r>
      <w:r w:rsidR="00131B52" w:rsidRPr="00A67626">
        <w:t xml:space="preserve"> and </w:t>
      </w:r>
      <w:r w:rsidR="00A957B3">
        <w:t>2020</w:t>
      </w:r>
      <w:r w:rsidR="00131B52" w:rsidRPr="00A67626">
        <w:t xml:space="preserve"> for sub-bachelor (2015 common sample (17 universities))</w:t>
      </w:r>
      <w:bookmarkEnd w:id="890"/>
    </w:p>
    <w:p w14:paraId="23100D01" w14:textId="3716F20A" w:rsidR="00FF6A9F" w:rsidRDefault="00D81BE1" w:rsidP="00310CA6">
      <w:r>
        <w:rPr>
          <w:noProof/>
        </w:rPr>
        <mc:AlternateContent>
          <mc:Choice Requires="wpg">
            <w:drawing>
              <wp:anchor distT="0" distB="0" distL="114300" distR="114300" simplePos="0" relativeHeight="251775488" behindDoc="0" locked="0" layoutInCell="1" allowOverlap="1" wp14:anchorId="06503A09" wp14:editId="5FFE9FBF">
                <wp:simplePos x="0" y="0"/>
                <wp:positionH relativeFrom="margin">
                  <wp:posOffset>3467819</wp:posOffset>
                </wp:positionH>
                <wp:positionV relativeFrom="paragraph">
                  <wp:posOffset>4730702</wp:posOffset>
                </wp:positionV>
                <wp:extent cx="2422105" cy="265478"/>
                <wp:effectExtent l="0" t="0" r="0" b="0"/>
                <wp:wrapNone/>
                <wp:docPr id="597878591" name="Group 1"/>
                <wp:cNvGraphicFramePr/>
                <a:graphic xmlns:a="http://schemas.openxmlformats.org/drawingml/2006/main">
                  <a:graphicData uri="http://schemas.microsoft.com/office/word/2010/wordprocessingGroup">
                    <wpg:wgp>
                      <wpg:cNvGrpSpPr/>
                      <wpg:grpSpPr>
                        <a:xfrm>
                          <a:off x="0" y="0"/>
                          <a:ext cx="2422105" cy="265478"/>
                          <a:chOff x="0" y="0"/>
                          <a:chExt cx="2422105" cy="265478"/>
                        </a:xfrm>
                      </wpg:grpSpPr>
                      <wps:wsp>
                        <wps:cNvPr id="1091442176" name="TextBox 14"/>
                        <wps:cNvSpPr txBox="1"/>
                        <wps:spPr>
                          <a:xfrm>
                            <a:off x="13119" y="9585"/>
                            <a:ext cx="479546" cy="255893"/>
                          </a:xfrm>
                          <a:prstGeom prst="rect">
                            <a:avLst/>
                          </a:prstGeom>
                        </wps:spPr>
                        <wps:txbx>
                          <w:txbxContent>
                            <w:p w14:paraId="6584D2AA" w14:textId="77777777" w:rsidR="00D81BE1" w:rsidRDefault="00D81BE1" w:rsidP="00D81BE1">
                              <w:pPr>
                                <w:spacing w:line="240" w:lineRule="exact"/>
                                <w:rPr>
                                  <w:rFonts w:eastAsia="Verdana" w:cs="Verdana"/>
                                  <w:sz w:val="16"/>
                                  <w:szCs w:val="16"/>
                                </w:rPr>
                              </w:pPr>
                              <w:r>
                                <w:rPr>
                                  <w:rFonts w:eastAsia="Verdana" w:cs="Verdana"/>
                                  <w:sz w:val="16"/>
                                  <w:szCs w:val="16"/>
                                </w:rPr>
                                <w:t>2015</w:t>
                              </w:r>
                            </w:p>
                          </w:txbxContent>
                        </wps:txbx>
                        <wps:bodyPr wrap="square" rtlCol="0" anchor="ctr"/>
                      </wps:wsp>
                      <wps:wsp>
                        <wps:cNvPr id="1091442177" name="Diamond 1091442177"/>
                        <wps:cNvSpPr/>
                        <wps:spPr>
                          <a:xfrm>
                            <a:off x="0" y="97109"/>
                            <a:ext cx="108000" cy="108000"/>
                          </a:xfrm>
                          <a:prstGeom prst="diamond">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78" name="Diamond 1091442178"/>
                        <wps:cNvSpPr/>
                        <wps:spPr>
                          <a:xfrm>
                            <a:off x="473494" y="96150"/>
                            <a:ext cx="108000" cy="108000"/>
                          </a:xfrm>
                          <a:prstGeom prst="diamond">
                            <a:avLst/>
                          </a:prstGeom>
                          <a:solidFill>
                            <a:srgbClr val="00ABAB"/>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79" name="TextBox 14"/>
                        <wps:cNvSpPr txBox="1"/>
                        <wps:spPr>
                          <a:xfrm>
                            <a:off x="495240" y="8626"/>
                            <a:ext cx="479546" cy="255893"/>
                          </a:xfrm>
                          <a:prstGeom prst="rect">
                            <a:avLst/>
                          </a:prstGeom>
                        </wps:spPr>
                        <wps:txbx>
                          <w:txbxContent>
                            <w:p w14:paraId="3392AC82" w14:textId="77777777" w:rsidR="00D81BE1" w:rsidRDefault="00D81BE1" w:rsidP="00D81BE1">
                              <w:pPr>
                                <w:spacing w:line="240" w:lineRule="exact"/>
                                <w:rPr>
                                  <w:rFonts w:eastAsia="Verdana" w:cs="Verdana"/>
                                  <w:sz w:val="16"/>
                                  <w:szCs w:val="16"/>
                                </w:rPr>
                              </w:pPr>
                              <w:r>
                                <w:rPr>
                                  <w:rFonts w:eastAsia="Verdana" w:cs="Verdana"/>
                                  <w:sz w:val="16"/>
                                  <w:szCs w:val="16"/>
                                </w:rPr>
                                <w:t>2017</w:t>
                              </w:r>
                            </w:p>
                          </w:txbxContent>
                        </wps:txbx>
                        <wps:bodyPr wrap="square" rtlCol="0" anchor="ctr"/>
                      </wps:wsp>
                      <wps:wsp>
                        <wps:cNvPr id="1091442180" name="Diamond 1091442180"/>
                        <wps:cNvSpPr/>
                        <wps:spPr>
                          <a:xfrm>
                            <a:off x="956573" y="87524"/>
                            <a:ext cx="108000" cy="108000"/>
                          </a:xfrm>
                          <a:prstGeom prst="diamond">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81" name="TextBox 14"/>
                        <wps:cNvSpPr txBox="1"/>
                        <wps:spPr>
                          <a:xfrm>
                            <a:off x="977360" y="7667"/>
                            <a:ext cx="479546" cy="255893"/>
                          </a:xfrm>
                          <a:prstGeom prst="rect">
                            <a:avLst/>
                          </a:prstGeom>
                        </wps:spPr>
                        <wps:txbx>
                          <w:txbxContent>
                            <w:p w14:paraId="1CF0CE85" w14:textId="77777777" w:rsidR="00D81BE1" w:rsidRDefault="00D81BE1" w:rsidP="00D81BE1">
                              <w:pPr>
                                <w:spacing w:line="240" w:lineRule="exact"/>
                                <w:rPr>
                                  <w:rFonts w:eastAsia="Verdana" w:cs="Verdana"/>
                                  <w:sz w:val="16"/>
                                  <w:szCs w:val="16"/>
                                </w:rPr>
                              </w:pPr>
                              <w:r>
                                <w:rPr>
                                  <w:rFonts w:eastAsia="Verdana" w:cs="Verdana"/>
                                  <w:sz w:val="16"/>
                                  <w:szCs w:val="16"/>
                                </w:rPr>
                                <w:t>2018</w:t>
                              </w:r>
                            </w:p>
                          </w:txbxContent>
                        </wps:txbx>
                        <wps:bodyPr wrap="square" rtlCol="0" anchor="ctr"/>
                      </wps:wsp>
                      <wps:wsp>
                        <wps:cNvPr id="1091442182" name="Diamond 1091442182"/>
                        <wps:cNvSpPr/>
                        <wps:spPr>
                          <a:xfrm>
                            <a:off x="1439653" y="87524"/>
                            <a:ext cx="108000" cy="108000"/>
                          </a:xfrm>
                          <a:prstGeom prst="diamond">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83" name="TextBox 14"/>
                        <wps:cNvSpPr txBox="1"/>
                        <wps:spPr>
                          <a:xfrm>
                            <a:off x="1470025" y="0"/>
                            <a:ext cx="479546" cy="255893"/>
                          </a:xfrm>
                          <a:prstGeom prst="rect">
                            <a:avLst/>
                          </a:prstGeom>
                        </wps:spPr>
                        <wps:txbx>
                          <w:txbxContent>
                            <w:p w14:paraId="5D2F8F3E" w14:textId="77777777" w:rsidR="00D81BE1" w:rsidRDefault="00D81BE1" w:rsidP="00D81BE1">
                              <w:pPr>
                                <w:spacing w:line="240" w:lineRule="exact"/>
                                <w:rPr>
                                  <w:rFonts w:eastAsia="Verdana" w:cs="Verdana"/>
                                  <w:sz w:val="16"/>
                                  <w:szCs w:val="16"/>
                                </w:rPr>
                              </w:pPr>
                              <w:r>
                                <w:rPr>
                                  <w:rFonts w:eastAsia="Verdana" w:cs="Verdana"/>
                                  <w:sz w:val="16"/>
                                  <w:szCs w:val="16"/>
                                </w:rPr>
                                <w:t>2019</w:t>
                              </w:r>
                            </w:p>
                          </w:txbxContent>
                        </wps:txbx>
                        <wps:bodyPr wrap="square" rtlCol="0" anchor="ctr"/>
                      </wps:wsp>
                      <wps:wsp>
                        <wps:cNvPr id="1091442184" name="Diamond 1091442184"/>
                        <wps:cNvSpPr/>
                        <wps:spPr>
                          <a:xfrm>
                            <a:off x="1914106" y="87524"/>
                            <a:ext cx="108000" cy="108000"/>
                          </a:xfrm>
                          <a:prstGeom prst="diamond">
                            <a:avLst/>
                          </a:prstGeom>
                          <a:solidFill>
                            <a:srgbClr val="53565A"/>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85" name="TextBox 14"/>
                        <wps:cNvSpPr txBox="1"/>
                        <wps:spPr>
                          <a:xfrm>
                            <a:off x="1942559" y="6708"/>
                            <a:ext cx="479546" cy="255893"/>
                          </a:xfrm>
                          <a:prstGeom prst="rect">
                            <a:avLst/>
                          </a:prstGeom>
                        </wps:spPr>
                        <wps:txbx>
                          <w:txbxContent>
                            <w:p w14:paraId="04972FF1" w14:textId="77777777" w:rsidR="00D81BE1" w:rsidRDefault="00D81BE1" w:rsidP="00D81BE1">
                              <w:pPr>
                                <w:spacing w:line="240" w:lineRule="exact"/>
                                <w:rPr>
                                  <w:rFonts w:eastAsia="Verdana" w:cs="Verdana"/>
                                  <w:sz w:val="16"/>
                                  <w:szCs w:val="16"/>
                                </w:rPr>
                              </w:pPr>
                              <w:r>
                                <w:rPr>
                                  <w:rFonts w:eastAsia="Verdana" w:cs="Verdana"/>
                                  <w:sz w:val="16"/>
                                  <w:szCs w:val="16"/>
                                </w:rPr>
                                <w:t>2020</w:t>
                              </w:r>
                            </w:p>
                          </w:txbxContent>
                        </wps:txbx>
                        <wps:bodyPr wrap="square" rtlCol="0" anchor="ctr"/>
                      </wps:wsp>
                    </wpg:wgp>
                  </a:graphicData>
                </a:graphic>
              </wp:anchor>
            </w:drawing>
          </mc:Choice>
          <mc:Fallback>
            <w:pict>
              <v:group w14:anchorId="06503A09" id="_x0000_s1039" style="position:absolute;margin-left:273.05pt;margin-top:372.5pt;width:190.7pt;height:20.9pt;z-index:251775488;mso-position-horizontal-relative:margin" coordsize="24221,2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">
                <v:shape id="TextBox 14" o:spid="_x0000_s1040" type="#_x0000_t202" style="position:absolute;left:131;top:95;width:4795;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" filled="f" stroked="f">
                  <v:textbox>
                    <w:txbxContent>
                      <w:p w14:paraId="6584D2AA" w14:textId="77777777" w:rsidR="00D81BE1" w:rsidRDefault="00D81BE1" w:rsidP="00D81BE1">
                        <w:pPr>
                          <w:spacing w:line="240" w:lineRule="exact"/>
                          <w:rPr>
                            <w:rFonts w:eastAsia="Verdana" w:cs="Verdana"/>
                            <w:sz w:val="16"/>
                            <w:szCs w:val="16"/>
                          </w:rPr>
                        </w:pPr>
                        <w:r>
                          <w:rPr>
                            <w:rFonts w:eastAsia="Verdana" w:cs="Verdana"/>
                            <w:sz w:val="16"/>
                            <w:szCs w:val="16"/>
                          </w:rPr>
                          <w:t>2015</w:t>
                        </w:r>
                      </w:p>
                    </w:txbxContent>
                  </v:textbox>
                </v:shape>
                <v:shape id="Diamond 1091442177" o:spid="_x0000_s1041" type="#_x0000_t4" style="position:absolute;top:97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" fillcolor="#046a38 [3205]" stroked="f" strokeweight="2pt"/>
                <v:shape id="Diamond 1091442178" o:spid="_x0000_s1042" type="#_x0000_t4" style="position:absolute;left:4734;top:96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" fillcolor="#00abab" stroked="f" strokeweight="2pt"/>
                <v:shape id="TextBox 14" o:spid="_x0000_s1043" type="#_x0000_t202" style="position:absolute;left:4952;top:86;width:4795;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" filled="f" stroked="f">
                  <v:textbox>
                    <w:txbxContent>
                      <w:p w14:paraId="3392AC82" w14:textId="77777777" w:rsidR="00D81BE1" w:rsidRDefault="00D81BE1" w:rsidP="00D81BE1">
                        <w:pPr>
                          <w:spacing w:line="240" w:lineRule="exact"/>
                          <w:rPr>
                            <w:rFonts w:eastAsia="Verdana" w:cs="Verdana"/>
                            <w:sz w:val="16"/>
                            <w:szCs w:val="16"/>
                          </w:rPr>
                        </w:pPr>
                        <w:r>
                          <w:rPr>
                            <w:rFonts w:eastAsia="Verdana" w:cs="Verdana"/>
                            <w:sz w:val="16"/>
                            <w:szCs w:val="16"/>
                          </w:rPr>
                          <w:t>2017</w:t>
                        </w:r>
                      </w:p>
                    </w:txbxContent>
                  </v:textbox>
                </v:shape>
                <v:shape id="Diamond 1091442180" o:spid="_x0000_s1044" type="#_x0000_t4" style="position:absolute;left:9565;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" fillcolor="#bfbfbf [2412]" stroked="f" strokeweight="2pt"/>
                <v:shape id="TextBox 14" o:spid="_x0000_s1045" type="#_x0000_t202" style="position:absolute;left:9773;top:76;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" filled="f" stroked="f">
                  <v:textbox>
                    <w:txbxContent>
                      <w:p w14:paraId="1CF0CE85" w14:textId="77777777" w:rsidR="00D81BE1" w:rsidRDefault="00D81BE1" w:rsidP="00D81BE1">
                        <w:pPr>
                          <w:spacing w:line="240" w:lineRule="exact"/>
                          <w:rPr>
                            <w:rFonts w:eastAsia="Verdana" w:cs="Verdana"/>
                            <w:sz w:val="16"/>
                            <w:szCs w:val="16"/>
                          </w:rPr>
                        </w:pPr>
                        <w:r>
                          <w:rPr>
                            <w:rFonts w:eastAsia="Verdana" w:cs="Verdana"/>
                            <w:sz w:val="16"/>
                            <w:szCs w:val="16"/>
                          </w:rPr>
                          <w:t>2018</w:t>
                        </w:r>
                      </w:p>
                    </w:txbxContent>
                  </v:textbox>
                </v:shape>
                <v:shape id="Diamond 1091442182" o:spid="_x0000_s1046" type="#_x0000_t4" style="position:absolute;left:14396;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" fillcolor="#012169 [3207]" stroked="f" strokeweight="2pt"/>
                <v:shape id="TextBox 14" o:spid="_x0000_s1047" type="#_x0000_t202" style="position:absolute;left:14700;width:4795;height:2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" filled="f" stroked="f">
                  <v:textbox>
                    <w:txbxContent>
                      <w:p w14:paraId="5D2F8F3E" w14:textId="77777777" w:rsidR="00D81BE1" w:rsidRDefault="00D81BE1" w:rsidP="00D81BE1">
                        <w:pPr>
                          <w:spacing w:line="240" w:lineRule="exact"/>
                          <w:rPr>
                            <w:rFonts w:eastAsia="Verdana" w:cs="Verdana"/>
                            <w:sz w:val="16"/>
                            <w:szCs w:val="16"/>
                          </w:rPr>
                        </w:pPr>
                        <w:r>
                          <w:rPr>
                            <w:rFonts w:eastAsia="Verdana" w:cs="Verdana"/>
                            <w:sz w:val="16"/>
                            <w:szCs w:val="16"/>
                          </w:rPr>
                          <w:t>2019</w:t>
                        </w:r>
                      </w:p>
                    </w:txbxContent>
                  </v:textbox>
                </v:shape>
                <v:shape id="Diamond 1091442184" o:spid="_x0000_s1048" type="#_x0000_t4" style="position:absolute;left:19141;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" fillcolor="#53565a" stroked="f" strokeweight="2pt"/>
                <v:shape id="TextBox 14" o:spid="_x0000_s1049" type="#_x0000_t202" style="position:absolute;left:19425;top:67;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" filled="f" stroked="f">
                  <v:textbox>
                    <w:txbxContent>
                      <w:p w14:paraId="04972FF1" w14:textId="77777777" w:rsidR="00D81BE1" w:rsidRDefault="00D81BE1" w:rsidP="00D81BE1">
                        <w:pPr>
                          <w:spacing w:line="240" w:lineRule="exact"/>
                          <w:rPr>
                            <w:rFonts w:eastAsia="Verdana" w:cs="Verdana"/>
                            <w:sz w:val="16"/>
                            <w:szCs w:val="16"/>
                          </w:rPr>
                        </w:pPr>
                        <w:r>
                          <w:rPr>
                            <w:rFonts w:eastAsia="Verdana" w:cs="Verdana"/>
                            <w:sz w:val="16"/>
                            <w:szCs w:val="16"/>
                          </w:rPr>
                          <w:t>2020</w:t>
                        </w:r>
                      </w:p>
                    </w:txbxContent>
                  </v:textbox>
                </v:shape>
                <w10:wrap anchorx="margin"/>
              </v:group>
            </w:pict>
          </mc:Fallback>
        </mc:AlternateContent>
      </w:r>
      <w:r>
        <w:rPr>
          <w:noProof/>
        </w:rPr>
        <w:drawing>
          <wp:inline distT="0" distB="0" distL="0" distR="0" wp14:anchorId="20939E5E" wp14:editId="602803F2">
            <wp:extent cx="9324000" cy="4816800"/>
            <wp:effectExtent l="0" t="0" r="0" b="3175"/>
            <wp:docPr id="597878582" name="Chart 597878582" descr="Chart comparing costs between 2015, 2017, 2018, 2019, and 2020 for sub-bachelor (2015 common sample (17 universities)). Cost is displayed on the left hand side with points with bars displayed for all FoEs from 2015 and 2017 - 2020 to indicate the costs (mean and range)."/>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0A83094" w14:textId="63000605" w:rsidR="007B1FDA" w:rsidRDefault="00131B52" w:rsidP="00847D3F">
      <w:pPr>
        <w:pStyle w:val="Source"/>
        <w:rPr>
          <w:iCs w:val="0"/>
        </w:rPr>
      </w:pPr>
      <w:r w:rsidRPr="00A67626">
        <w:t>Note: For comparabil</w:t>
      </w:r>
      <w:r>
        <w:t>ity, only the 17</w:t>
      </w:r>
      <w:r w:rsidRPr="00A67626">
        <w:t xml:space="preserve"> universities that provided data for </w:t>
      </w:r>
      <w:r>
        <w:t xml:space="preserve">2015, </w:t>
      </w:r>
      <w:r w:rsidRPr="00A67626">
        <w:t>2017</w:t>
      </w:r>
      <w:r w:rsidR="00AC51AF">
        <w:t>, 2019, 2019, 2020</w:t>
      </w:r>
      <w:r w:rsidRPr="00A67626">
        <w:t xml:space="preserve"> are included. Markers are at mean. Nursing is included in Other – Health.</w:t>
      </w:r>
      <w:r w:rsidR="007B1FDA">
        <w:br w:type="page"/>
      </w:r>
    </w:p>
    <w:p w14:paraId="0F68A564" w14:textId="59C5322A" w:rsidR="00131B52" w:rsidRPr="00A67626" w:rsidRDefault="00847D3F" w:rsidP="008D126E">
      <w:pPr>
        <w:pStyle w:val="AppendixTableCaption"/>
      </w:pPr>
      <w:bookmarkStart w:id="891" w:name="_Toc105776728"/>
      <w:r>
        <w:rPr>
          <w:noProof/>
        </w:rPr>
        <mc:AlternateContent>
          <mc:Choice Requires="wpg">
            <w:drawing>
              <wp:anchor distT="0" distB="0" distL="114300" distR="114300" simplePos="0" relativeHeight="251778560" behindDoc="0" locked="0" layoutInCell="1" allowOverlap="1" wp14:anchorId="124515FF" wp14:editId="7D2259F5">
                <wp:simplePos x="0" y="0"/>
                <wp:positionH relativeFrom="page">
                  <wp:align>center</wp:align>
                </wp:positionH>
                <wp:positionV relativeFrom="paragraph">
                  <wp:posOffset>5037551</wp:posOffset>
                </wp:positionV>
                <wp:extent cx="2454372" cy="273191"/>
                <wp:effectExtent l="0" t="0" r="0" b="0"/>
                <wp:wrapNone/>
                <wp:docPr id="597878583" name="Group 1"/>
                <wp:cNvGraphicFramePr/>
                <a:graphic xmlns:a="http://schemas.openxmlformats.org/drawingml/2006/main">
                  <a:graphicData uri="http://schemas.microsoft.com/office/word/2010/wordprocessingGroup">
                    <wpg:wgp>
                      <wpg:cNvGrpSpPr/>
                      <wpg:grpSpPr>
                        <a:xfrm>
                          <a:off x="0" y="0"/>
                          <a:ext cx="2454372" cy="273191"/>
                          <a:chOff x="0" y="0"/>
                          <a:chExt cx="2422321" cy="265524"/>
                        </a:xfrm>
                      </wpg:grpSpPr>
                      <wps:wsp>
                        <wps:cNvPr id="597878584" name="TextBox 14"/>
                        <wps:cNvSpPr txBox="1"/>
                        <wps:spPr>
                          <a:xfrm>
                            <a:off x="13120" y="9586"/>
                            <a:ext cx="479589" cy="255938"/>
                          </a:xfrm>
                          <a:prstGeom prst="rect">
                            <a:avLst/>
                          </a:prstGeom>
                        </wps:spPr>
                        <wps:txbx>
                          <w:txbxContent>
                            <w:p w14:paraId="1E999DE1" w14:textId="77777777" w:rsidR="00847D3F" w:rsidRDefault="00847D3F" w:rsidP="00847D3F">
                              <w:pPr>
                                <w:spacing w:line="240" w:lineRule="exact"/>
                                <w:rPr>
                                  <w:rFonts w:eastAsia="Verdana" w:cs="Verdana"/>
                                  <w:sz w:val="16"/>
                                  <w:szCs w:val="16"/>
                                </w:rPr>
                              </w:pPr>
                              <w:r>
                                <w:rPr>
                                  <w:rFonts w:eastAsia="Verdana" w:cs="Verdana"/>
                                  <w:sz w:val="16"/>
                                  <w:szCs w:val="16"/>
                                </w:rPr>
                                <w:t>2015</w:t>
                              </w:r>
                            </w:p>
                          </w:txbxContent>
                        </wps:txbx>
                        <wps:bodyPr wrap="square" rtlCol="0" anchor="ctr"/>
                      </wps:wsp>
                      <wps:wsp>
                        <wps:cNvPr id="597878585" name="Diamond 597878585"/>
                        <wps:cNvSpPr/>
                        <wps:spPr>
                          <a:xfrm>
                            <a:off x="0" y="97126"/>
                            <a:ext cx="108010" cy="108019"/>
                          </a:xfrm>
                          <a:prstGeom prst="diamond">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86" name="Diamond 597878586"/>
                        <wps:cNvSpPr/>
                        <wps:spPr>
                          <a:xfrm>
                            <a:off x="473536" y="96166"/>
                            <a:ext cx="108010" cy="108019"/>
                          </a:xfrm>
                          <a:prstGeom prst="diamond">
                            <a:avLst/>
                          </a:prstGeom>
                          <a:solidFill>
                            <a:srgbClr val="00ABAB"/>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87" name="TextBox 14"/>
                        <wps:cNvSpPr txBox="1"/>
                        <wps:spPr>
                          <a:xfrm>
                            <a:off x="495284" y="8627"/>
                            <a:ext cx="479589" cy="255938"/>
                          </a:xfrm>
                          <a:prstGeom prst="rect">
                            <a:avLst/>
                          </a:prstGeom>
                        </wps:spPr>
                        <wps:txbx>
                          <w:txbxContent>
                            <w:p w14:paraId="7295656C" w14:textId="77777777" w:rsidR="00847D3F" w:rsidRDefault="00847D3F" w:rsidP="00847D3F">
                              <w:pPr>
                                <w:spacing w:line="240" w:lineRule="exact"/>
                                <w:rPr>
                                  <w:rFonts w:eastAsia="Verdana" w:cs="Verdana"/>
                                  <w:sz w:val="16"/>
                                  <w:szCs w:val="16"/>
                                </w:rPr>
                              </w:pPr>
                              <w:r>
                                <w:rPr>
                                  <w:rFonts w:eastAsia="Verdana" w:cs="Verdana"/>
                                  <w:sz w:val="16"/>
                                  <w:szCs w:val="16"/>
                                </w:rPr>
                                <w:t>2017</w:t>
                              </w:r>
                            </w:p>
                          </w:txbxContent>
                        </wps:txbx>
                        <wps:bodyPr wrap="square" rtlCol="0" anchor="ctr"/>
                      </wps:wsp>
                      <wps:wsp>
                        <wps:cNvPr id="597878588" name="Diamond 597878588"/>
                        <wps:cNvSpPr/>
                        <wps:spPr>
                          <a:xfrm>
                            <a:off x="956658" y="87539"/>
                            <a:ext cx="108010" cy="108019"/>
                          </a:xfrm>
                          <a:prstGeom prst="diamond">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597878589" name="TextBox 14"/>
                        <wps:cNvSpPr txBox="1"/>
                        <wps:spPr>
                          <a:xfrm>
                            <a:off x="977447" y="7668"/>
                            <a:ext cx="479589" cy="255938"/>
                          </a:xfrm>
                          <a:prstGeom prst="rect">
                            <a:avLst/>
                          </a:prstGeom>
                        </wps:spPr>
                        <wps:txbx>
                          <w:txbxContent>
                            <w:p w14:paraId="688BEF0D" w14:textId="77777777" w:rsidR="00847D3F" w:rsidRDefault="00847D3F" w:rsidP="00847D3F">
                              <w:pPr>
                                <w:spacing w:line="240" w:lineRule="exact"/>
                                <w:rPr>
                                  <w:rFonts w:eastAsia="Verdana" w:cs="Verdana"/>
                                  <w:sz w:val="16"/>
                                  <w:szCs w:val="16"/>
                                </w:rPr>
                              </w:pPr>
                              <w:r>
                                <w:rPr>
                                  <w:rFonts w:eastAsia="Verdana" w:cs="Verdana"/>
                                  <w:sz w:val="16"/>
                                  <w:szCs w:val="16"/>
                                </w:rPr>
                                <w:t>2018</w:t>
                              </w:r>
                            </w:p>
                          </w:txbxContent>
                        </wps:txbx>
                        <wps:bodyPr wrap="square" rtlCol="0" anchor="ctr"/>
                      </wps:wsp>
                      <wps:wsp>
                        <wps:cNvPr id="597878590" name="Diamond 597878590"/>
                        <wps:cNvSpPr/>
                        <wps:spPr>
                          <a:xfrm>
                            <a:off x="1439781" y="87539"/>
                            <a:ext cx="108010" cy="108019"/>
                          </a:xfrm>
                          <a:prstGeom prst="diamond">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86" name="TextBox 14"/>
                        <wps:cNvSpPr txBox="1"/>
                        <wps:spPr>
                          <a:xfrm>
                            <a:off x="1470156" y="0"/>
                            <a:ext cx="479589" cy="255938"/>
                          </a:xfrm>
                          <a:prstGeom prst="rect">
                            <a:avLst/>
                          </a:prstGeom>
                        </wps:spPr>
                        <wps:txbx>
                          <w:txbxContent>
                            <w:p w14:paraId="5C3B1985" w14:textId="77777777" w:rsidR="00847D3F" w:rsidRDefault="00847D3F" w:rsidP="00847D3F">
                              <w:pPr>
                                <w:spacing w:line="240" w:lineRule="exact"/>
                                <w:rPr>
                                  <w:rFonts w:eastAsia="Verdana" w:cs="Verdana"/>
                                  <w:sz w:val="16"/>
                                  <w:szCs w:val="16"/>
                                </w:rPr>
                              </w:pPr>
                              <w:r>
                                <w:rPr>
                                  <w:rFonts w:eastAsia="Verdana" w:cs="Verdana"/>
                                  <w:sz w:val="16"/>
                                  <w:szCs w:val="16"/>
                                </w:rPr>
                                <w:t>2019</w:t>
                              </w:r>
                            </w:p>
                          </w:txbxContent>
                        </wps:txbx>
                        <wps:bodyPr wrap="square" rtlCol="0" anchor="ctr"/>
                      </wps:wsp>
                      <wps:wsp>
                        <wps:cNvPr id="1091442198" name="Diamond 1091442198"/>
                        <wps:cNvSpPr/>
                        <wps:spPr>
                          <a:xfrm>
                            <a:off x="1914277" y="87539"/>
                            <a:ext cx="108010" cy="108019"/>
                          </a:xfrm>
                          <a:prstGeom prst="diamond">
                            <a:avLst/>
                          </a:prstGeom>
                          <a:solidFill>
                            <a:srgbClr val="53565A"/>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99" name="TextBox 14"/>
                        <wps:cNvSpPr txBox="1"/>
                        <wps:spPr>
                          <a:xfrm>
                            <a:off x="1942732" y="6709"/>
                            <a:ext cx="479589" cy="255938"/>
                          </a:xfrm>
                          <a:prstGeom prst="rect">
                            <a:avLst/>
                          </a:prstGeom>
                        </wps:spPr>
                        <wps:txbx>
                          <w:txbxContent>
                            <w:p w14:paraId="09C5D3D5" w14:textId="77777777" w:rsidR="00847D3F" w:rsidRDefault="00847D3F" w:rsidP="00847D3F">
                              <w:pPr>
                                <w:spacing w:line="240" w:lineRule="exact"/>
                                <w:rPr>
                                  <w:rFonts w:eastAsia="Verdana" w:cs="Verdana"/>
                                  <w:sz w:val="16"/>
                                  <w:szCs w:val="16"/>
                                </w:rPr>
                              </w:pPr>
                              <w:r>
                                <w:rPr>
                                  <w:rFonts w:eastAsia="Verdana" w:cs="Verdana"/>
                                  <w:sz w:val="16"/>
                                  <w:szCs w:val="16"/>
                                </w:rPr>
                                <w:t>2020</w:t>
                              </w:r>
                            </w:p>
                          </w:txbxContent>
                        </wps:txbx>
                        <wps:bodyPr wrap="square" rtlCol="0" anchor="ctr"/>
                      </wps:wsp>
                    </wpg:wgp>
                  </a:graphicData>
                </a:graphic>
              </wp:anchor>
            </w:drawing>
          </mc:Choice>
          <mc:Fallback>
            <w:pict>
              <v:group w14:anchorId="124515FF" id="_x0000_s1050" style="position:absolute;margin-left:0;margin-top:396.65pt;width:193.25pt;height:21.5pt;z-index:251778560;mso-position-horizontal:center;mso-position-horizontal-relative:page" coordsize="24223,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">
                <v:shape id="TextBox 14" o:spid="_x0000_s1051" type="#_x0000_t202" style="position:absolute;left:131;top:95;width:4796;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" filled="f" stroked="f">
                  <v:textbox>
                    <w:txbxContent>
                      <w:p w14:paraId="1E999DE1" w14:textId="77777777" w:rsidR="00847D3F" w:rsidRDefault="00847D3F" w:rsidP="00847D3F">
                        <w:pPr>
                          <w:spacing w:line="240" w:lineRule="exact"/>
                          <w:rPr>
                            <w:rFonts w:eastAsia="Verdana" w:cs="Verdana"/>
                            <w:sz w:val="16"/>
                            <w:szCs w:val="16"/>
                          </w:rPr>
                        </w:pPr>
                        <w:r>
                          <w:rPr>
                            <w:rFonts w:eastAsia="Verdana" w:cs="Verdana"/>
                            <w:sz w:val="16"/>
                            <w:szCs w:val="16"/>
                          </w:rPr>
                          <w:t>2015</w:t>
                        </w:r>
                      </w:p>
                    </w:txbxContent>
                  </v:textbox>
                </v:shape>
                <v:shape id="Diamond 597878585" o:spid="_x0000_s1052" type="#_x0000_t4" style="position:absolute;top:97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" fillcolor="#046a38 [3205]" stroked="f" strokeweight="2pt"/>
                <v:shape id="Diamond 597878586" o:spid="_x0000_s1053" type="#_x0000_t4" style="position:absolute;left:4735;top:96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" fillcolor="#00abab" stroked="f" strokeweight="2pt"/>
                <v:shape id="TextBox 14" o:spid="_x0000_s1054" type="#_x0000_t202" style="position:absolute;left:4952;top:86;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" filled="f" stroked="f">
                  <v:textbox>
                    <w:txbxContent>
                      <w:p w14:paraId="7295656C" w14:textId="77777777" w:rsidR="00847D3F" w:rsidRDefault="00847D3F" w:rsidP="00847D3F">
                        <w:pPr>
                          <w:spacing w:line="240" w:lineRule="exact"/>
                          <w:rPr>
                            <w:rFonts w:eastAsia="Verdana" w:cs="Verdana"/>
                            <w:sz w:val="16"/>
                            <w:szCs w:val="16"/>
                          </w:rPr>
                        </w:pPr>
                        <w:r>
                          <w:rPr>
                            <w:rFonts w:eastAsia="Verdana" w:cs="Verdana"/>
                            <w:sz w:val="16"/>
                            <w:szCs w:val="16"/>
                          </w:rPr>
                          <w:t>2017</w:t>
                        </w:r>
                      </w:p>
                    </w:txbxContent>
                  </v:textbox>
                </v:shape>
                <v:shape id="Diamond 597878588" o:spid="_x0000_s1055" type="#_x0000_t4" style="position:absolute;left:9566;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" fillcolor="#bfbfbf [2412]" stroked="f" strokeweight="2pt"/>
                <v:shape id="TextBox 14" o:spid="_x0000_s1056" type="#_x0000_t202" style="position:absolute;left:9774;top:76;width:4796;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" filled="f" stroked="f">
                  <v:textbox>
                    <w:txbxContent>
                      <w:p w14:paraId="688BEF0D" w14:textId="77777777" w:rsidR="00847D3F" w:rsidRDefault="00847D3F" w:rsidP="00847D3F">
                        <w:pPr>
                          <w:spacing w:line="240" w:lineRule="exact"/>
                          <w:rPr>
                            <w:rFonts w:eastAsia="Verdana" w:cs="Verdana"/>
                            <w:sz w:val="16"/>
                            <w:szCs w:val="16"/>
                          </w:rPr>
                        </w:pPr>
                        <w:r>
                          <w:rPr>
                            <w:rFonts w:eastAsia="Verdana" w:cs="Verdana"/>
                            <w:sz w:val="16"/>
                            <w:szCs w:val="16"/>
                          </w:rPr>
                          <w:t>2018</w:t>
                        </w:r>
                      </w:p>
                    </w:txbxContent>
                  </v:textbox>
                </v:shape>
                <v:shape id="Diamond 597878590" o:spid="_x0000_s1057" type="#_x0000_t4" style="position:absolute;left:14397;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" fillcolor="#012169 [3207]" stroked="f" strokeweight="2pt"/>
                <v:shape id="TextBox 14" o:spid="_x0000_s1058" type="#_x0000_t202" style="position:absolute;left:14701;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" filled="f" stroked="f">
                  <v:textbox>
                    <w:txbxContent>
                      <w:p w14:paraId="5C3B1985" w14:textId="77777777" w:rsidR="00847D3F" w:rsidRDefault="00847D3F" w:rsidP="00847D3F">
                        <w:pPr>
                          <w:spacing w:line="240" w:lineRule="exact"/>
                          <w:rPr>
                            <w:rFonts w:eastAsia="Verdana" w:cs="Verdana"/>
                            <w:sz w:val="16"/>
                            <w:szCs w:val="16"/>
                          </w:rPr>
                        </w:pPr>
                        <w:r>
                          <w:rPr>
                            <w:rFonts w:eastAsia="Verdana" w:cs="Verdana"/>
                            <w:sz w:val="16"/>
                            <w:szCs w:val="16"/>
                          </w:rPr>
                          <w:t>2019</w:t>
                        </w:r>
                      </w:p>
                    </w:txbxContent>
                  </v:textbox>
                </v:shape>
                <v:shape id="Diamond 1091442198" o:spid="_x0000_s1059" type="#_x0000_t4" style="position:absolute;left:19142;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" fillcolor="#53565a" stroked="f" strokeweight="2pt"/>
                <v:shape id="TextBox 14" o:spid="_x0000_s1060" type="#_x0000_t202" style="position:absolute;left:19427;top:67;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" filled="f" stroked="f">
                  <v:textbox>
                    <w:txbxContent>
                      <w:p w14:paraId="09C5D3D5" w14:textId="77777777" w:rsidR="00847D3F" w:rsidRDefault="00847D3F" w:rsidP="00847D3F">
                        <w:pPr>
                          <w:spacing w:line="240" w:lineRule="exact"/>
                          <w:rPr>
                            <w:rFonts w:eastAsia="Verdana" w:cs="Verdana"/>
                            <w:sz w:val="16"/>
                            <w:szCs w:val="16"/>
                          </w:rPr>
                        </w:pPr>
                        <w:r>
                          <w:rPr>
                            <w:rFonts w:eastAsia="Verdana" w:cs="Verdana"/>
                            <w:sz w:val="16"/>
                            <w:szCs w:val="16"/>
                          </w:rPr>
                          <w:t>2020</w:t>
                        </w:r>
                      </w:p>
                    </w:txbxContent>
                  </v:textbox>
                </v:shape>
                <w10:wrap anchorx="page"/>
              </v:group>
            </w:pict>
          </mc:Fallback>
        </mc:AlternateContent>
      </w:r>
      <w:r w:rsidR="00B63A02">
        <w:t xml:space="preserve">Chart </w:t>
      </w:r>
      <w:r w:rsidR="00DA7A36">
        <w:t>D</w:t>
      </w:r>
      <w:r w:rsidR="00B63A02">
        <w:t xml:space="preserve">.3: </w:t>
      </w:r>
      <w:r w:rsidR="00131B52" w:rsidRPr="00A67626">
        <w:t>Comparing costs between 2015</w:t>
      </w:r>
      <w:r w:rsidR="00340980">
        <w:t>,</w:t>
      </w:r>
      <w:r w:rsidR="00E54C0B">
        <w:t xml:space="preserve"> 2017, 2018, 2019,</w:t>
      </w:r>
      <w:r w:rsidR="00131B52" w:rsidRPr="00A67626">
        <w:t xml:space="preserve"> and </w:t>
      </w:r>
      <w:r w:rsidR="00E54C0B">
        <w:t>2020</w:t>
      </w:r>
      <w:r w:rsidR="00131B52" w:rsidRPr="00A67626">
        <w:t xml:space="preserve"> for bachelor (2015 common sample (17 universities))</w:t>
      </w:r>
      <w:bookmarkEnd w:id="891"/>
    </w:p>
    <w:p w14:paraId="36513BCF" w14:textId="183C3B8C" w:rsidR="00253226" w:rsidRPr="00A67626" w:rsidRDefault="00253226" w:rsidP="00131B52">
      <w:r>
        <w:rPr>
          <w:noProof/>
        </w:rPr>
        <w:drawing>
          <wp:anchor distT="0" distB="0" distL="114300" distR="114300" simplePos="0" relativeHeight="251776512" behindDoc="0" locked="0" layoutInCell="1" allowOverlap="1" wp14:anchorId="496FB780" wp14:editId="7A2F1C86">
            <wp:simplePos x="0" y="0"/>
            <wp:positionH relativeFrom="column">
              <wp:posOffset>-4098</wp:posOffset>
            </wp:positionH>
            <wp:positionV relativeFrom="paragraph">
              <wp:posOffset>-407</wp:posOffset>
            </wp:positionV>
            <wp:extent cx="9324000" cy="4816800"/>
            <wp:effectExtent l="0" t="0" r="0" b="3175"/>
            <wp:wrapTopAndBottom/>
            <wp:docPr id="597878561" name="Chart 597878561" descr="Chart comparing costs between 2015, 2017, 2018, 2019, and 2020 for bachelor (2015 common sample (17 universities)). Cost is displayed on the left hand side with points with bars displayed for all FoEs from 2015 and 2017 - 2020 to indicate the costs (mean and range).">
              <a:extLst xmlns:a="http://schemas.openxmlformats.org/drawingml/2006/main">
                <a:ext uri="{FF2B5EF4-FFF2-40B4-BE49-F238E27FC236}">
                  <a16:creationId xmlns:a16="http://schemas.microsoft.com/office/drawing/2014/main" id="{00000000-0008-0000-3B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14:sizeRelH relativeFrom="page">
              <wp14:pctWidth>0</wp14:pctWidth>
            </wp14:sizeRelH>
            <wp14:sizeRelV relativeFrom="page">
              <wp14:pctHeight>0</wp14:pctHeight>
            </wp14:sizeRelV>
          </wp:anchor>
        </w:drawing>
      </w:r>
    </w:p>
    <w:p w14:paraId="08F1F0B3" w14:textId="32BE83B0" w:rsidR="00131B52" w:rsidRPr="00A67626" w:rsidRDefault="00131B52" w:rsidP="00131B52">
      <w:pPr>
        <w:pStyle w:val="Source"/>
      </w:pPr>
      <w:r w:rsidRPr="00A67626">
        <w:t>Note: For comparabil</w:t>
      </w:r>
      <w:r>
        <w:t>ity, only the 17</w:t>
      </w:r>
      <w:r w:rsidRPr="00A67626">
        <w:t xml:space="preserve"> universities that provided data for </w:t>
      </w:r>
      <w:r>
        <w:t xml:space="preserve">2015, </w:t>
      </w:r>
      <w:r w:rsidRPr="00A67626">
        <w:t>2017</w:t>
      </w:r>
      <w:r w:rsidR="00340980">
        <w:t>, 2018, 2019,</w:t>
      </w:r>
      <w:r w:rsidRPr="00A67626">
        <w:t xml:space="preserve"> and </w:t>
      </w:r>
      <w:r w:rsidR="00340980">
        <w:t>2020</w:t>
      </w:r>
      <w:r w:rsidRPr="00A67626">
        <w:t xml:space="preserve"> are included. Markers are at mean. Nursing is included in Other – Health.</w:t>
      </w:r>
    </w:p>
    <w:p w14:paraId="44ABA5B8" w14:textId="70B0BDCD" w:rsidR="00131B52" w:rsidRPr="00A67626" w:rsidRDefault="00B63A02" w:rsidP="008D126E">
      <w:pPr>
        <w:pStyle w:val="AppendixTableCaption"/>
      </w:pPr>
      <w:bookmarkStart w:id="892" w:name="_Toc105776729"/>
      <w:r>
        <w:t xml:space="preserve">Chart </w:t>
      </w:r>
      <w:r w:rsidR="00DA7A36">
        <w:t>D</w:t>
      </w:r>
      <w:r>
        <w:t xml:space="preserve">.4: </w:t>
      </w:r>
      <w:r w:rsidR="00131B52" w:rsidRPr="00A67626">
        <w:t>Comparing costs between 2015</w:t>
      </w:r>
      <w:r w:rsidR="006E6FDB">
        <w:t>, 2017, 2018, 2019,</w:t>
      </w:r>
      <w:r w:rsidR="00131B52" w:rsidRPr="00A67626">
        <w:t xml:space="preserve"> and </w:t>
      </w:r>
      <w:r w:rsidR="006E6FDB">
        <w:t>2020</w:t>
      </w:r>
      <w:r w:rsidR="00131B52" w:rsidRPr="00A67626">
        <w:t xml:space="preserve"> for postgraduate (2015 common sample (17 universities))</w:t>
      </w:r>
      <w:bookmarkEnd w:id="892"/>
    </w:p>
    <w:p w14:paraId="3D816A66" w14:textId="46DCB3BE" w:rsidR="00253226" w:rsidRDefault="00847D3F" w:rsidP="00131B52">
      <w:pPr>
        <w:spacing w:after="0"/>
      </w:pPr>
      <w:r>
        <w:rPr>
          <w:noProof/>
        </w:rPr>
        <mc:AlternateContent>
          <mc:Choice Requires="wpg">
            <w:drawing>
              <wp:anchor distT="0" distB="0" distL="114300" distR="114300" simplePos="0" relativeHeight="251780608" behindDoc="0" locked="0" layoutInCell="1" allowOverlap="1" wp14:anchorId="2DAC2709" wp14:editId="1BE8530C">
                <wp:simplePos x="0" y="0"/>
                <wp:positionH relativeFrom="page">
                  <wp:align>center</wp:align>
                </wp:positionH>
                <wp:positionV relativeFrom="paragraph">
                  <wp:posOffset>4758658</wp:posOffset>
                </wp:positionV>
                <wp:extent cx="2422105" cy="265477"/>
                <wp:effectExtent l="0" t="0" r="0" b="0"/>
                <wp:wrapNone/>
                <wp:docPr id="1091442187" name="Group 1"/>
                <wp:cNvGraphicFramePr/>
                <a:graphic xmlns:a="http://schemas.openxmlformats.org/drawingml/2006/main">
                  <a:graphicData uri="http://schemas.microsoft.com/office/word/2010/wordprocessingGroup">
                    <wpg:wgp>
                      <wpg:cNvGrpSpPr/>
                      <wpg:grpSpPr>
                        <a:xfrm>
                          <a:off x="0" y="0"/>
                          <a:ext cx="2422105" cy="265477"/>
                          <a:chOff x="0" y="0"/>
                          <a:chExt cx="2422321" cy="265524"/>
                        </a:xfrm>
                      </wpg:grpSpPr>
                      <wps:wsp>
                        <wps:cNvPr id="1091442188" name="TextBox 14"/>
                        <wps:cNvSpPr txBox="1"/>
                        <wps:spPr>
                          <a:xfrm>
                            <a:off x="13120" y="9586"/>
                            <a:ext cx="479589" cy="255938"/>
                          </a:xfrm>
                          <a:prstGeom prst="rect">
                            <a:avLst/>
                          </a:prstGeom>
                        </wps:spPr>
                        <wps:txbx>
                          <w:txbxContent>
                            <w:p w14:paraId="52867E01" w14:textId="77777777" w:rsidR="00847D3F" w:rsidRDefault="00847D3F" w:rsidP="00847D3F">
                              <w:pPr>
                                <w:spacing w:line="240" w:lineRule="exact"/>
                                <w:rPr>
                                  <w:rFonts w:eastAsia="Verdana" w:cs="Verdana"/>
                                  <w:sz w:val="16"/>
                                  <w:szCs w:val="16"/>
                                </w:rPr>
                              </w:pPr>
                              <w:r>
                                <w:rPr>
                                  <w:rFonts w:eastAsia="Verdana" w:cs="Verdana"/>
                                  <w:sz w:val="16"/>
                                  <w:szCs w:val="16"/>
                                </w:rPr>
                                <w:t>2015</w:t>
                              </w:r>
                            </w:p>
                          </w:txbxContent>
                        </wps:txbx>
                        <wps:bodyPr wrap="square" rtlCol="0" anchor="ctr"/>
                      </wps:wsp>
                      <wps:wsp>
                        <wps:cNvPr id="1091442189" name="Diamond 1091442189"/>
                        <wps:cNvSpPr/>
                        <wps:spPr>
                          <a:xfrm>
                            <a:off x="0" y="97126"/>
                            <a:ext cx="108010" cy="108019"/>
                          </a:xfrm>
                          <a:prstGeom prst="diamond">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90" name="Diamond 1091442190"/>
                        <wps:cNvSpPr/>
                        <wps:spPr>
                          <a:xfrm>
                            <a:off x="473536" y="96166"/>
                            <a:ext cx="108010" cy="108019"/>
                          </a:xfrm>
                          <a:prstGeom prst="diamond">
                            <a:avLst/>
                          </a:prstGeom>
                          <a:solidFill>
                            <a:srgbClr val="00ABAB"/>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91" name="TextBox 14"/>
                        <wps:cNvSpPr txBox="1"/>
                        <wps:spPr>
                          <a:xfrm>
                            <a:off x="495284" y="8627"/>
                            <a:ext cx="479589" cy="255938"/>
                          </a:xfrm>
                          <a:prstGeom prst="rect">
                            <a:avLst/>
                          </a:prstGeom>
                        </wps:spPr>
                        <wps:txbx>
                          <w:txbxContent>
                            <w:p w14:paraId="0C9CC7B4" w14:textId="77777777" w:rsidR="00847D3F" w:rsidRDefault="00847D3F" w:rsidP="00847D3F">
                              <w:pPr>
                                <w:spacing w:line="240" w:lineRule="exact"/>
                                <w:rPr>
                                  <w:rFonts w:eastAsia="Verdana" w:cs="Verdana"/>
                                  <w:sz w:val="16"/>
                                  <w:szCs w:val="16"/>
                                </w:rPr>
                              </w:pPr>
                              <w:r>
                                <w:rPr>
                                  <w:rFonts w:eastAsia="Verdana" w:cs="Verdana"/>
                                  <w:sz w:val="16"/>
                                  <w:szCs w:val="16"/>
                                </w:rPr>
                                <w:t>2017</w:t>
                              </w:r>
                            </w:p>
                          </w:txbxContent>
                        </wps:txbx>
                        <wps:bodyPr wrap="square" rtlCol="0" anchor="ctr"/>
                      </wps:wsp>
                      <wps:wsp>
                        <wps:cNvPr id="1091442192" name="Diamond 1091442192"/>
                        <wps:cNvSpPr/>
                        <wps:spPr>
                          <a:xfrm>
                            <a:off x="956658" y="87539"/>
                            <a:ext cx="108010" cy="108019"/>
                          </a:xfrm>
                          <a:prstGeom prst="diamond">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93" name="TextBox 14"/>
                        <wps:cNvSpPr txBox="1"/>
                        <wps:spPr>
                          <a:xfrm>
                            <a:off x="977447" y="7668"/>
                            <a:ext cx="479589" cy="255938"/>
                          </a:xfrm>
                          <a:prstGeom prst="rect">
                            <a:avLst/>
                          </a:prstGeom>
                        </wps:spPr>
                        <wps:txbx>
                          <w:txbxContent>
                            <w:p w14:paraId="75A607F9" w14:textId="77777777" w:rsidR="00847D3F" w:rsidRDefault="00847D3F" w:rsidP="00847D3F">
                              <w:pPr>
                                <w:spacing w:line="240" w:lineRule="exact"/>
                                <w:rPr>
                                  <w:rFonts w:eastAsia="Verdana" w:cs="Verdana"/>
                                  <w:sz w:val="16"/>
                                  <w:szCs w:val="16"/>
                                </w:rPr>
                              </w:pPr>
                              <w:r>
                                <w:rPr>
                                  <w:rFonts w:eastAsia="Verdana" w:cs="Verdana"/>
                                  <w:sz w:val="16"/>
                                  <w:szCs w:val="16"/>
                                </w:rPr>
                                <w:t>2018</w:t>
                              </w:r>
                            </w:p>
                          </w:txbxContent>
                        </wps:txbx>
                        <wps:bodyPr wrap="square" rtlCol="0" anchor="ctr"/>
                      </wps:wsp>
                      <wps:wsp>
                        <wps:cNvPr id="1091442194" name="Diamond 1091442194"/>
                        <wps:cNvSpPr/>
                        <wps:spPr>
                          <a:xfrm>
                            <a:off x="1439781" y="87539"/>
                            <a:ext cx="108010" cy="108019"/>
                          </a:xfrm>
                          <a:prstGeom prst="diamond">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95" name="TextBox 14"/>
                        <wps:cNvSpPr txBox="1"/>
                        <wps:spPr>
                          <a:xfrm>
                            <a:off x="1470156" y="0"/>
                            <a:ext cx="479589" cy="255938"/>
                          </a:xfrm>
                          <a:prstGeom prst="rect">
                            <a:avLst/>
                          </a:prstGeom>
                        </wps:spPr>
                        <wps:txbx>
                          <w:txbxContent>
                            <w:p w14:paraId="7D8CD583" w14:textId="77777777" w:rsidR="00847D3F" w:rsidRDefault="00847D3F" w:rsidP="00847D3F">
                              <w:pPr>
                                <w:spacing w:line="240" w:lineRule="exact"/>
                                <w:rPr>
                                  <w:rFonts w:eastAsia="Verdana" w:cs="Verdana"/>
                                  <w:sz w:val="16"/>
                                  <w:szCs w:val="16"/>
                                </w:rPr>
                              </w:pPr>
                              <w:r>
                                <w:rPr>
                                  <w:rFonts w:eastAsia="Verdana" w:cs="Verdana"/>
                                  <w:sz w:val="16"/>
                                  <w:szCs w:val="16"/>
                                </w:rPr>
                                <w:t>2019</w:t>
                              </w:r>
                            </w:p>
                          </w:txbxContent>
                        </wps:txbx>
                        <wps:bodyPr wrap="square" rtlCol="0" anchor="ctr"/>
                      </wps:wsp>
                      <wps:wsp>
                        <wps:cNvPr id="1091442196" name="Diamond 1091442196"/>
                        <wps:cNvSpPr/>
                        <wps:spPr>
                          <a:xfrm>
                            <a:off x="1914277" y="87539"/>
                            <a:ext cx="108010" cy="108019"/>
                          </a:xfrm>
                          <a:prstGeom prst="diamond">
                            <a:avLst/>
                          </a:prstGeom>
                          <a:solidFill>
                            <a:srgbClr val="53565A"/>
                          </a:solidFill>
                          <a:ln>
                            <a:noFill/>
                          </a:ln>
                        </wps:spPr>
                        <wps:style>
                          <a:lnRef idx="2">
                            <a:schemeClr val="accent1">
                              <a:shade val="50000"/>
                            </a:schemeClr>
                          </a:lnRef>
                          <a:fillRef idx="1">
                            <a:schemeClr val="accent1"/>
                          </a:fillRef>
                          <a:effectRef idx="0">
                            <a:schemeClr val="accent1"/>
                          </a:effectRef>
                          <a:fontRef idx="minor">
                            <a:schemeClr val="lt1"/>
                          </a:fontRef>
                        </wps:style>
                        <wps:bodyPr/>
                      </wps:wsp>
                      <wps:wsp>
                        <wps:cNvPr id="1091442197" name="TextBox 14"/>
                        <wps:cNvSpPr txBox="1"/>
                        <wps:spPr>
                          <a:xfrm>
                            <a:off x="1942732" y="6709"/>
                            <a:ext cx="479589" cy="255938"/>
                          </a:xfrm>
                          <a:prstGeom prst="rect">
                            <a:avLst/>
                          </a:prstGeom>
                        </wps:spPr>
                        <wps:txbx>
                          <w:txbxContent>
                            <w:p w14:paraId="1EE7FEC0" w14:textId="77777777" w:rsidR="00847D3F" w:rsidRDefault="00847D3F" w:rsidP="00847D3F">
                              <w:pPr>
                                <w:spacing w:line="240" w:lineRule="exact"/>
                                <w:rPr>
                                  <w:rFonts w:eastAsia="Verdana" w:cs="Verdana"/>
                                  <w:sz w:val="16"/>
                                  <w:szCs w:val="16"/>
                                </w:rPr>
                              </w:pPr>
                              <w:r>
                                <w:rPr>
                                  <w:rFonts w:eastAsia="Verdana" w:cs="Verdana"/>
                                  <w:sz w:val="16"/>
                                  <w:szCs w:val="16"/>
                                </w:rPr>
                                <w:t>2020</w:t>
                              </w:r>
                            </w:p>
                          </w:txbxContent>
                        </wps:txbx>
                        <wps:bodyPr wrap="square" rtlCol="0" anchor="ctr"/>
                      </wps:wsp>
                    </wpg:wgp>
                  </a:graphicData>
                </a:graphic>
              </wp:anchor>
            </w:drawing>
          </mc:Choice>
          <mc:Fallback>
            <w:pict>
              <v:group w14:anchorId="2DAC2709" id="_x0000_s1061" style="position:absolute;margin-left:0;margin-top:374.7pt;width:190.7pt;height:20.9pt;z-index:251780608;mso-position-horizontal:center;mso-position-horizontal-relative:page" coordsize="24223,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">
                <v:shape id="TextBox 14" o:spid="_x0000_s1062" type="#_x0000_t202" style="position:absolute;left:131;top:95;width:4796;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" filled="f" stroked="f">
                  <v:textbox>
                    <w:txbxContent>
                      <w:p w14:paraId="52867E01" w14:textId="77777777" w:rsidR="00847D3F" w:rsidRDefault="00847D3F" w:rsidP="00847D3F">
                        <w:pPr>
                          <w:spacing w:line="240" w:lineRule="exact"/>
                          <w:rPr>
                            <w:rFonts w:eastAsia="Verdana" w:cs="Verdana"/>
                            <w:sz w:val="16"/>
                            <w:szCs w:val="16"/>
                          </w:rPr>
                        </w:pPr>
                        <w:r>
                          <w:rPr>
                            <w:rFonts w:eastAsia="Verdana" w:cs="Verdana"/>
                            <w:sz w:val="16"/>
                            <w:szCs w:val="16"/>
                          </w:rPr>
                          <w:t>2015</w:t>
                        </w:r>
                      </w:p>
                    </w:txbxContent>
                  </v:textbox>
                </v:shape>
                <v:shape id="Diamond 1091442189" o:spid="_x0000_s1063" type="#_x0000_t4" style="position:absolute;top:97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" fillcolor="#046a38 [3205]" stroked="f" strokeweight="2pt"/>
                <v:shape id="Diamond 1091442190" o:spid="_x0000_s1064" type="#_x0000_t4" style="position:absolute;left:4735;top:96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" fillcolor="#00abab" stroked="f" strokeweight="2pt"/>
                <v:shape id="TextBox 14" o:spid="_x0000_s1065" type="#_x0000_t202" style="position:absolute;left:4952;top:86;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" filled="f" stroked="f">
                  <v:textbox>
                    <w:txbxContent>
                      <w:p w14:paraId="0C9CC7B4" w14:textId="77777777" w:rsidR="00847D3F" w:rsidRDefault="00847D3F" w:rsidP="00847D3F">
                        <w:pPr>
                          <w:spacing w:line="240" w:lineRule="exact"/>
                          <w:rPr>
                            <w:rFonts w:eastAsia="Verdana" w:cs="Verdana"/>
                            <w:sz w:val="16"/>
                            <w:szCs w:val="16"/>
                          </w:rPr>
                        </w:pPr>
                        <w:r>
                          <w:rPr>
                            <w:rFonts w:eastAsia="Verdana" w:cs="Verdana"/>
                            <w:sz w:val="16"/>
                            <w:szCs w:val="16"/>
                          </w:rPr>
                          <w:t>2017</w:t>
                        </w:r>
                      </w:p>
                    </w:txbxContent>
                  </v:textbox>
                </v:shape>
                <v:shape id="Diamond 1091442192" o:spid="_x0000_s1066" type="#_x0000_t4" style="position:absolute;left:9566;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" fillcolor="#bfbfbf [2412]" stroked="f" strokeweight="2pt"/>
                <v:shape id="TextBox 14" o:spid="_x0000_s1067" type="#_x0000_t202" style="position:absolute;left:9774;top:76;width:4796;height:2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" filled="f" stroked="f">
                  <v:textbox>
                    <w:txbxContent>
                      <w:p w14:paraId="75A607F9" w14:textId="77777777" w:rsidR="00847D3F" w:rsidRDefault="00847D3F" w:rsidP="00847D3F">
                        <w:pPr>
                          <w:spacing w:line="240" w:lineRule="exact"/>
                          <w:rPr>
                            <w:rFonts w:eastAsia="Verdana" w:cs="Verdana"/>
                            <w:sz w:val="16"/>
                            <w:szCs w:val="16"/>
                          </w:rPr>
                        </w:pPr>
                        <w:r>
                          <w:rPr>
                            <w:rFonts w:eastAsia="Verdana" w:cs="Verdana"/>
                            <w:sz w:val="16"/>
                            <w:szCs w:val="16"/>
                          </w:rPr>
                          <w:t>2018</w:t>
                        </w:r>
                      </w:p>
                    </w:txbxContent>
                  </v:textbox>
                </v:shape>
                <v:shape id="Diamond 1091442194" o:spid="_x0000_s1068" type="#_x0000_t4" style="position:absolute;left:14397;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" fillcolor="#012169 [3207]" stroked="f" strokeweight="2pt"/>
                <v:shape id="TextBox 14" o:spid="_x0000_s1069" type="#_x0000_t202" style="position:absolute;left:14701;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" filled="f" stroked="f">
                  <v:textbox>
                    <w:txbxContent>
                      <w:p w14:paraId="7D8CD583" w14:textId="77777777" w:rsidR="00847D3F" w:rsidRDefault="00847D3F" w:rsidP="00847D3F">
                        <w:pPr>
                          <w:spacing w:line="240" w:lineRule="exact"/>
                          <w:rPr>
                            <w:rFonts w:eastAsia="Verdana" w:cs="Verdana"/>
                            <w:sz w:val="16"/>
                            <w:szCs w:val="16"/>
                          </w:rPr>
                        </w:pPr>
                        <w:r>
                          <w:rPr>
                            <w:rFonts w:eastAsia="Verdana" w:cs="Verdana"/>
                            <w:sz w:val="16"/>
                            <w:szCs w:val="16"/>
                          </w:rPr>
                          <w:t>2019</w:t>
                        </w:r>
                      </w:p>
                    </w:txbxContent>
                  </v:textbox>
                </v:shape>
                <v:shape id="Diamond 1091442196" o:spid="_x0000_s1070" type="#_x0000_t4" style="position:absolute;left:19142;top:875;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" fillcolor="#53565a" stroked="f" strokeweight="2pt"/>
                <v:shape id="TextBox 14" o:spid="_x0000_s1071" type="#_x0000_t202" style="position:absolute;left:19427;top:67;width:4796;height:2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" filled="f" stroked="f">
                  <v:textbox>
                    <w:txbxContent>
                      <w:p w14:paraId="1EE7FEC0" w14:textId="77777777" w:rsidR="00847D3F" w:rsidRDefault="00847D3F" w:rsidP="00847D3F">
                        <w:pPr>
                          <w:spacing w:line="240" w:lineRule="exact"/>
                          <w:rPr>
                            <w:rFonts w:eastAsia="Verdana" w:cs="Verdana"/>
                            <w:sz w:val="16"/>
                            <w:szCs w:val="16"/>
                          </w:rPr>
                        </w:pPr>
                        <w:r>
                          <w:rPr>
                            <w:rFonts w:eastAsia="Verdana" w:cs="Verdana"/>
                            <w:sz w:val="16"/>
                            <w:szCs w:val="16"/>
                          </w:rPr>
                          <w:t>2020</w:t>
                        </w:r>
                      </w:p>
                    </w:txbxContent>
                  </v:textbox>
                </v:shape>
                <w10:wrap anchorx="page"/>
              </v:group>
            </w:pict>
          </mc:Fallback>
        </mc:AlternateContent>
      </w:r>
      <w:r w:rsidR="00253226">
        <w:rPr>
          <w:noProof/>
        </w:rPr>
        <w:drawing>
          <wp:inline distT="0" distB="0" distL="0" distR="0" wp14:anchorId="2F881D36" wp14:editId="677A2CC2">
            <wp:extent cx="9324000" cy="4816800"/>
            <wp:effectExtent l="0" t="0" r="0" b="3175"/>
            <wp:docPr id="597878562" name="Chart 597878562" descr="Chart comparing costs between 2015, 2017, 2018, 2019, and 2020 for postgraduate (2015 common sample (17 universities)). Cost is displayed on the left hand side with points with bars displayed for all FoEs from 2015 and 2017 - 2020 to indicate the costs (mean and range).">
              <a:extLst xmlns:a="http://schemas.openxmlformats.org/drawingml/2006/main">
                <a:ext uri="{FF2B5EF4-FFF2-40B4-BE49-F238E27FC236}">
                  <a16:creationId xmlns:a16="http://schemas.microsoft.com/office/drawing/2014/main" id="{00000000-0008-0000-3B00-00001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92EC69E" w14:textId="3F01E5E1" w:rsidR="00847D3F" w:rsidRDefault="00847D3F" w:rsidP="00131B52">
      <w:pPr>
        <w:pStyle w:val="Source"/>
        <w:spacing w:before="0"/>
      </w:pPr>
    </w:p>
    <w:p w14:paraId="38066DA7" w14:textId="4ACD186C" w:rsidR="00131B52" w:rsidRDefault="00131B52" w:rsidP="00131B52">
      <w:pPr>
        <w:pStyle w:val="Source"/>
        <w:spacing w:before="0"/>
      </w:pPr>
      <w:r w:rsidRPr="00A67626">
        <w:t>Note: For comparabil</w:t>
      </w:r>
      <w:r>
        <w:t>ity, only the 17</w:t>
      </w:r>
      <w:r w:rsidRPr="00A67626">
        <w:t xml:space="preserve"> universities that provided data for </w:t>
      </w:r>
      <w:r>
        <w:t xml:space="preserve">2015, </w:t>
      </w:r>
      <w:r w:rsidRPr="00A67626">
        <w:t>2017</w:t>
      </w:r>
      <w:r w:rsidR="006E6FDB">
        <w:t>, 2018, 2019,</w:t>
      </w:r>
      <w:r w:rsidRPr="00A67626">
        <w:t xml:space="preserve"> and </w:t>
      </w:r>
      <w:r w:rsidR="006E6FDB">
        <w:t>2020</w:t>
      </w:r>
      <w:r w:rsidRPr="00A67626">
        <w:t xml:space="preserve"> are included. Markers are at mean. Nursing is included in Other – Health.</w:t>
      </w:r>
    </w:p>
    <w:p w14:paraId="69A966B3" w14:textId="77777777" w:rsidR="00131B52" w:rsidRDefault="00131B52" w:rsidP="00131B52">
      <w:pPr>
        <w:sectPr w:rsidR="00131B52" w:rsidSect="003B7BB2">
          <w:pgSz w:w="16838" w:h="11906" w:orient="landscape" w:code="9"/>
          <w:pgMar w:top="1418" w:right="1985" w:bottom="1416" w:left="1134" w:header="680" w:footer="425" w:gutter="0"/>
          <w:cols w:space="284"/>
          <w:docGrid w:linePitch="360"/>
        </w:sectPr>
      </w:pPr>
    </w:p>
    <w:p w14:paraId="22D5C25C" w14:textId="77777777" w:rsidR="005B00B8" w:rsidRPr="00DB1D67" w:rsidRDefault="00CF2F64" w:rsidP="00BF4216">
      <w:pPr>
        <w:pStyle w:val="Heading1un-numbered"/>
      </w:pPr>
      <w:bookmarkStart w:id="893" w:name="_Toc105776208"/>
      <w:r w:rsidRPr="00DB1D67">
        <w:t>L</w:t>
      </w:r>
      <w:r w:rsidR="00BF4216" w:rsidRPr="00DB1D67">
        <w:t>imitation of our work</w:t>
      </w:r>
      <w:bookmarkEnd w:id="876"/>
      <w:bookmarkEnd w:id="877"/>
      <w:bookmarkEnd w:id="878"/>
      <w:bookmarkEnd w:id="879"/>
      <w:bookmarkEnd w:id="880"/>
      <w:bookmarkEnd w:id="893"/>
    </w:p>
    <w:p w14:paraId="7D8E1B62" w14:textId="77777777" w:rsidR="00BF4216" w:rsidRPr="00DB1D67" w:rsidRDefault="00BF4216" w:rsidP="00BF4216">
      <w:pPr>
        <w:pStyle w:val="Heading2un-numbered"/>
      </w:pPr>
      <w:bookmarkStart w:id="894" w:name="_Toc463002440"/>
      <w:bookmarkStart w:id="895" w:name="_Toc472586354"/>
      <w:bookmarkStart w:id="896" w:name="_Toc482168132"/>
      <w:bookmarkStart w:id="897" w:name="_Toc482174917"/>
      <w:bookmarkStart w:id="898" w:name="_Toc20246024"/>
      <w:bookmarkStart w:id="899" w:name="_Toc105776209"/>
      <w:r w:rsidRPr="00DB1D67">
        <w:t>General use restriction</w:t>
      </w:r>
      <w:bookmarkEnd w:id="894"/>
      <w:bookmarkEnd w:id="895"/>
      <w:bookmarkEnd w:id="896"/>
      <w:bookmarkEnd w:id="897"/>
      <w:bookmarkEnd w:id="898"/>
      <w:bookmarkEnd w:id="899"/>
    </w:p>
    <w:p w14:paraId="4FBD883F" w14:textId="0E49B940" w:rsidR="00DF06E9" w:rsidRPr="00DB1D67" w:rsidRDefault="00BF4216" w:rsidP="007C1760">
      <w:r w:rsidRPr="00DB1D67">
        <w:t>This report is prepared solely for the</w:t>
      </w:r>
      <w:r w:rsidR="000918F8" w:rsidRPr="00DB1D67">
        <w:t xml:space="preserve"> </w:t>
      </w:r>
      <w:r w:rsidRPr="00DB1D67">
        <w:t>use of</w:t>
      </w:r>
      <w:r w:rsidR="00645A8A" w:rsidRPr="00DB1D67">
        <w:t xml:space="preserve"> the Australian Government </w:t>
      </w:r>
      <w:r w:rsidR="00B340C9">
        <w:t>Department of Education</w:t>
      </w:r>
      <w:r w:rsidR="002A0ED2">
        <w:t xml:space="preserve"> Skills and Employment</w:t>
      </w:r>
      <w:r w:rsidR="00645A8A" w:rsidRPr="00DB1D67">
        <w:t xml:space="preserve">. </w:t>
      </w:r>
      <w:r w:rsidRPr="00DB1D67">
        <w:t xml:space="preserve">This report is not intended to and should not be used or relied upon by anyone else and we accept no duty of care to any other person or entity. The report has been prepared for the purpose </w:t>
      </w:r>
      <w:r w:rsidR="00645A8A" w:rsidRPr="00DB1D67">
        <w:t xml:space="preserve">of </w:t>
      </w:r>
      <w:r w:rsidR="00C26A66" w:rsidRPr="00DB1D67">
        <w:t>assessing</w:t>
      </w:r>
      <w:r w:rsidR="00645A8A" w:rsidRPr="00DB1D67">
        <w:t xml:space="preserve"> the cost of teaching and scholarship in the higher education sector</w:t>
      </w:r>
      <w:r w:rsidRPr="00DB1D67">
        <w:t>. You should not refer to or use our name or the advice for any other purpose</w:t>
      </w:r>
      <w:r w:rsidR="00645A8A" w:rsidRPr="00DB1D67">
        <w:t>.</w:t>
      </w:r>
    </w:p>
    <w:p w14:paraId="3520A64A" w14:textId="77777777" w:rsidR="00983929" w:rsidRPr="00BB165A" w:rsidRDefault="00983929" w:rsidP="00983929">
      <w:pPr>
        <w:pageBreakBefore/>
      </w:pPr>
    </w:p>
    <w:p w14:paraId="409830B6" w14:textId="77777777" w:rsidR="00D01239" w:rsidRPr="00BB165A" w:rsidRDefault="00D01239" w:rsidP="00983929"/>
    <w:tbl>
      <w:tblPr>
        <w:tblStyle w:val="TableGrid"/>
        <w:tblpPr w:horzAnchor="margin" w:tblpYSpec="bottom"/>
        <w:tblOverlap w:val="never"/>
        <w:tblW w:w="9185" w:type="dxa"/>
        <w:tblLook w:val="04A0" w:firstRow="1" w:lastRow="0" w:firstColumn="1" w:lastColumn="0" w:noHBand="0" w:noVBand="1"/>
      </w:tblPr>
      <w:tblGrid>
        <w:gridCol w:w="9185"/>
      </w:tblGrid>
      <w:tr w:rsidR="00493AF9" w:rsidRPr="008B3BBC" w14:paraId="5F2B19B5" w14:textId="77777777" w:rsidTr="00CC75FD">
        <w:trPr>
          <w:cnfStyle w:val="100000000000" w:firstRow="1" w:lastRow="0" w:firstColumn="0" w:lastColumn="0" w:oddVBand="0" w:evenVBand="0" w:oddHBand="0" w:evenHBand="0" w:firstRowFirstColumn="0" w:firstRowLastColumn="0" w:lastRowFirstColumn="0" w:lastRowLastColumn="0"/>
          <w:trHeight w:val="6379"/>
        </w:trPr>
        <w:tc>
          <w:tcPr>
            <w:tcW w:w="9214" w:type="dxa"/>
            <w:vAlign w:val="bottom"/>
          </w:tcPr>
          <w:p w14:paraId="29918911" w14:textId="77777777" w:rsidR="00493AF9" w:rsidRPr="00BB165A" w:rsidRDefault="00493AF9" w:rsidP="004D6E06">
            <w:pPr>
              <w:pStyle w:val="Legaltext"/>
            </w:pPr>
          </w:p>
          <w:p w14:paraId="4F440793" w14:textId="77777777" w:rsidR="00493AF9" w:rsidRPr="00BB165A" w:rsidRDefault="00554A5F" w:rsidP="004D6E06">
            <w:pPr>
              <w:pStyle w:val="Legaltext"/>
            </w:pPr>
            <w:r w:rsidRPr="00BB165A">
              <w:rPr>
                <w:noProof/>
                <w:lang w:eastAsia="en-AU"/>
              </w:rPr>
              <w:drawing>
                <wp:inline distT="0" distB="0" distL="0" distR="0" wp14:anchorId="18B3063D" wp14:editId="025F5207">
                  <wp:extent cx="1908000" cy="557110"/>
                  <wp:effectExtent l="0" t="0" r="0" b="0"/>
                  <wp:docPr id="1091442236" name="Picture 109144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42236" name="D3.PNG"/>
                          <pic:cNvPicPr/>
                        </pic:nvPicPr>
                        <pic:blipFill>
                          <a:blip r:embed="rId92">
                            <a:extLst>
                              <a:ext uri="{28A0092B-C50C-407E-A947-70E740481C1C}">
                                <a14:useLocalDpi xmlns:a14="http://schemas.microsoft.com/office/drawing/2010/main" val="0"/>
                              </a:ext>
                            </a:extLst>
                          </a:blip>
                          <a:stretch>
                            <a:fillRect/>
                          </a:stretch>
                        </pic:blipFill>
                        <pic:spPr>
                          <a:xfrm>
                            <a:off x="0" y="0"/>
                            <a:ext cx="1908000" cy="557110"/>
                          </a:xfrm>
                          <a:prstGeom prst="rect">
                            <a:avLst/>
                          </a:prstGeom>
                        </pic:spPr>
                      </pic:pic>
                    </a:graphicData>
                  </a:graphic>
                </wp:inline>
              </w:drawing>
            </w:r>
          </w:p>
          <w:p w14:paraId="7FE3674B" w14:textId="77777777" w:rsidR="00493AF9" w:rsidRPr="00BB165A" w:rsidRDefault="00493AF9" w:rsidP="004D6E06">
            <w:pPr>
              <w:pStyle w:val="Legaltext"/>
            </w:pPr>
          </w:p>
          <w:p w14:paraId="51FEA0BB" w14:textId="77777777" w:rsidR="00493AF9" w:rsidRPr="00BB165A" w:rsidRDefault="00493AF9" w:rsidP="004D6E06">
            <w:pPr>
              <w:pStyle w:val="Legaltext"/>
            </w:pPr>
          </w:p>
          <w:p w14:paraId="306902C5" w14:textId="77777777" w:rsidR="00CC75FD" w:rsidRPr="00691B65" w:rsidRDefault="00CC75FD" w:rsidP="00CC75FD">
            <w:pPr>
              <w:pStyle w:val="Legaltext"/>
              <w:rPr>
                <w:b/>
              </w:rPr>
            </w:pPr>
            <w:r w:rsidRPr="00691B65">
              <w:rPr>
                <w:b/>
              </w:rPr>
              <w:t>Deloitte Access Economics</w:t>
            </w:r>
          </w:p>
          <w:p w14:paraId="479C1B6E" w14:textId="77777777" w:rsidR="00CC75FD" w:rsidRPr="00691B65" w:rsidRDefault="00CC75FD" w:rsidP="00CC75FD">
            <w:pPr>
              <w:pStyle w:val="Legaltext"/>
            </w:pPr>
            <w:r w:rsidRPr="00691B65">
              <w:t>ACN: 149 633 116</w:t>
            </w:r>
          </w:p>
          <w:p w14:paraId="4AD518F6" w14:textId="77777777" w:rsidR="00CC75FD" w:rsidRPr="00691B65" w:rsidRDefault="00CC75FD" w:rsidP="00CC75FD">
            <w:pPr>
              <w:pStyle w:val="Legaltext"/>
            </w:pPr>
            <w:r w:rsidRPr="00691B65">
              <w:t xml:space="preserve">8 Brindabella Circuit </w:t>
            </w:r>
          </w:p>
          <w:p w14:paraId="6C2B7293" w14:textId="77777777" w:rsidR="00CC75FD" w:rsidRPr="00691B65" w:rsidRDefault="00CC75FD" w:rsidP="00CC75FD">
            <w:pPr>
              <w:pStyle w:val="Legaltext"/>
            </w:pPr>
            <w:r w:rsidRPr="00691B65">
              <w:t xml:space="preserve">Brindabella Business Park </w:t>
            </w:r>
          </w:p>
          <w:p w14:paraId="59D7701B" w14:textId="77777777" w:rsidR="00CC75FD" w:rsidRPr="00691B65" w:rsidRDefault="00CC75FD" w:rsidP="00CC75FD">
            <w:pPr>
              <w:pStyle w:val="Legaltext"/>
            </w:pPr>
            <w:r w:rsidRPr="00691B65">
              <w:t xml:space="preserve">Canberra Airport ACT 2609 </w:t>
            </w:r>
          </w:p>
          <w:p w14:paraId="38F49BA5" w14:textId="77777777" w:rsidR="00CC75FD" w:rsidRPr="00691B65" w:rsidRDefault="00CC75FD" w:rsidP="00CC75FD">
            <w:pPr>
              <w:pStyle w:val="Legaltext"/>
            </w:pPr>
            <w:r w:rsidRPr="00691B65">
              <w:t xml:space="preserve">Tel: +61 2 6263 7000 </w:t>
            </w:r>
          </w:p>
          <w:p w14:paraId="1B03C8A2" w14:textId="77777777" w:rsidR="00CC75FD" w:rsidRPr="00691B65" w:rsidRDefault="00CC75FD" w:rsidP="00CC75FD">
            <w:pPr>
              <w:pStyle w:val="Legaltext"/>
            </w:pPr>
            <w:r w:rsidRPr="00691B65">
              <w:t xml:space="preserve">Fax: +61 2 6263 7004 </w:t>
            </w:r>
          </w:p>
          <w:p w14:paraId="7B34B176" w14:textId="77777777" w:rsidR="00CC75FD" w:rsidRPr="00691B65" w:rsidRDefault="00CC75FD" w:rsidP="00CC75FD">
            <w:pPr>
              <w:pStyle w:val="Legaltext"/>
            </w:pPr>
          </w:p>
          <w:p w14:paraId="2F88E811" w14:textId="77777777" w:rsidR="00CC75FD" w:rsidRPr="00691B65" w:rsidRDefault="00CC75FD" w:rsidP="00CC75FD">
            <w:pPr>
              <w:pStyle w:val="Legaltext"/>
            </w:pPr>
            <w:r w:rsidRPr="00691B65">
              <w:t xml:space="preserve">Deloitte Access Economics is Australia’s pre-eminent economics advisory practice and a member of Deloitte's global economics group. For more information, please visit our website </w:t>
            </w:r>
          </w:p>
          <w:p w14:paraId="323B92BE" w14:textId="77777777" w:rsidR="00CC75FD" w:rsidRPr="00691B65" w:rsidRDefault="00CC75FD" w:rsidP="00CC75FD">
            <w:pPr>
              <w:pStyle w:val="Legaltext"/>
            </w:pPr>
          </w:p>
          <w:p w14:paraId="32795033" w14:textId="77777777" w:rsidR="00CC75FD" w:rsidRPr="00691B65" w:rsidRDefault="00F05F8E" w:rsidP="00CC75FD">
            <w:pPr>
              <w:pStyle w:val="Legaltext"/>
            </w:pPr>
            <w:hyperlink r:id="rId93" w:history="1">
              <w:r w:rsidR="00CE44D4" w:rsidRPr="00691B65">
                <w:rPr>
                  <w:rStyle w:val="Hyperlink"/>
                </w:rPr>
                <w:t>www.deloitte.com/au/deloitte-access-economics</w:t>
              </w:r>
            </w:hyperlink>
            <w:r w:rsidR="00CE44D4" w:rsidRPr="00691B65">
              <w:t xml:space="preserve"> </w:t>
            </w:r>
          </w:p>
          <w:p w14:paraId="730691CF" w14:textId="77777777" w:rsidR="00CC75FD" w:rsidRPr="00691B65" w:rsidRDefault="00CC75FD" w:rsidP="00CC75FD">
            <w:pPr>
              <w:pStyle w:val="Legaltext"/>
            </w:pPr>
          </w:p>
          <w:p w14:paraId="5E14B7DF" w14:textId="77777777" w:rsidR="00CC75FD" w:rsidRPr="00691B65" w:rsidRDefault="00CC75FD" w:rsidP="00CC75FD">
            <w:pPr>
              <w:pStyle w:val="Legaltext"/>
            </w:pPr>
            <w:r w:rsidRPr="00691B65">
              <w:t>Deloitte refers to one or more of Deloitte Touche Tohmatsu Limited, a UK private company limited by guarantee, and its network of member firms, each of which is a legally separate and independent entity. Please see www.deloitte.com/au/about for a detailed description of the legal structure of Deloitte Touche Tohmatsu Limited and its member firms.</w:t>
            </w:r>
          </w:p>
          <w:p w14:paraId="5BDEC1A6" w14:textId="77777777" w:rsidR="00CC75FD" w:rsidRPr="00691B65" w:rsidRDefault="00CC75FD" w:rsidP="00CC75FD">
            <w:pPr>
              <w:pStyle w:val="Legaltext"/>
            </w:pPr>
          </w:p>
          <w:p w14:paraId="0BB7DCC4" w14:textId="77777777" w:rsidR="00CC75FD" w:rsidRPr="00691B65" w:rsidRDefault="00CC75FD" w:rsidP="00CC75FD">
            <w:pPr>
              <w:pStyle w:val="Legaltext"/>
            </w:pPr>
            <w:r w:rsidRPr="00691B65">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14:paraId="279D0E6A" w14:textId="77777777" w:rsidR="00CC75FD" w:rsidRPr="00691B65" w:rsidRDefault="00CC75FD" w:rsidP="00CC75FD">
            <w:pPr>
              <w:pStyle w:val="Legaltext"/>
            </w:pPr>
          </w:p>
          <w:p w14:paraId="4F3ECFB9" w14:textId="77777777" w:rsidR="00CC75FD" w:rsidRPr="00691B65" w:rsidRDefault="00CC75FD" w:rsidP="00CC75FD">
            <w:pPr>
              <w:pStyle w:val="Legaltext"/>
              <w:rPr>
                <w:b/>
              </w:rPr>
            </w:pPr>
            <w:r w:rsidRPr="00691B65">
              <w:rPr>
                <w:b/>
              </w:rPr>
              <w:t>About Deloitte</w:t>
            </w:r>
          </w:p>
          <w:p w14:paraId="37B3D688" w14:textId="77777777" w:rsidR="00CC75FD" w:rsidRPr="00691B65" w:rsidRDefault="00CC75FD" w:rsidP="00CC75FD">
            <w:pPr>
              <w:pStyle w:val="Legaltext"/>
            </w:pPr>
            <w:r w:rsidRPr="00691B65">
              <w:t>Deloitte provides audit, tax, consulting, and financial advisory services to public and private clients spanning multiple industries. With a globally connected network of member firms in more than 150 countries, Deloitte brings world-class capabilities and high-quality service to clients, delivering the insights they need to address their most complex business challenges. Deloitte's approximately 2</w:t>
            </w:r>
            <w:r w:rsidR="00C45436" w:rsidRPr="00691B65">
              <w:t>44</w:t>
            </w:r>
            <w:r w:rsidRPr="00691B65">
              <w:t>,000 professionals are committed to becoming the standard of excellence.</w:t>
            </w:r>
          </w:p>
          <w:p w14:paraId="0939EF95" w14:textId="77777777" w:rsidR="00CC75FD" w:rsidRPr="00691B65" w:rsidRDefault="00CC75FD" w:rsidP="00CC75FD">
            <w:pPr>
              <w:pStyle w:val="Legaltext"/>
            </w:pPr>
          </w:p>
          <w:p w14:paraId="0EA8E83F" w14:textId="77777777" w:rsidR="00CC75FD" w:rsidRPr="00691B65" w:rsidRDefault="00CC75FD" w:rsidP="00CC75FD">
            <w:pPr>
              <w:pStyle w:val="Legaltext"/>
              <w:rPr>
                <w:b/>
              </w:rPr>
            </w:pPr>
            <w:r w:rsidRPr="00691B65">
              <w:rPr>
                <w:b/>
              </w:rPr>
              <w:t>About Deloitte Australia</w:t>
            </w:r>
          </w:p>
          <w:p w14:paraId="00E26673" w14:textId="77777777" w:rsidR="00CC75FD" w:rsidRPr="00691B65" w:rsidRDefault="00CC75FD" w:rsidP="00CC75FD">
            <w:pPr>
              <w:pStyle w:val="Legaltext"/>
            </w:pPr>
            <w:r w:rsidRPr="00691B65">
              <w:t xml:space="preserve">In Australia, the member firm is the Australian partnership of Deloitte Touche Tohmatsu. As one of Australia’s leading professional services firms. Deloitte Touche Tohmatsu and its affiliates provide audit, tax, consulting, and financial advisory </w:t>
            </w:r>
            <w:r w:rsidR="00C45436" w:rsidRPr="00691B65">
              <w:t>services through approximately 7,</w:t>
            </w:r>
            <w:r w:rsidRPr="00691B65">
              <w:t>000 people across the country. Focused on the creation of value and growth, and known as an employer of choice for innovative human resources programs, we are dedicated to helping our clients and our people excel. For more information, please visit our web site at www.deloitte.com.au.</w:t>
            </w:r>
          </w:p>
          <w:p w14:paraId="0880E7AD" w14:textId="77777777" w:rsidR="00CC75FD" w:rsidRPr="00691B65" w:rsidRDefault="00CC75FD" w:rsidP="00CC75FD">
            <w:pPr>
              <w:pStyle w:val="Legaltext"/>
            </w:pPr>
          </w:p>
          <w:p w14:paraId="54449D88" w14:textId="77777777" w:rsidR="00CC75FD" w:rsidRPr="00691B65" w:rsidRDefault="00CC75FD" w:rsidP="00CC75FD">
            <w:pPr>
              <w:pStyle w:val="Legaltext"/>
            </w:pPr>
            <w:r w:rsidRPr="00691B65">
              <w:t>Liability limited by a scheme approved under Professional Standards Legislation.</w:t>
            </w:r>
          </w:p>
          <w:p w14:paraId="675C4CE6" w14:textId="77777777" w:rsidR="00CC75FD" w:rsidRPr="00691B65" w:rsidRDefault="00CC75FD" w:rsidP="00CC75FD">
            <w:pPr>
              <w:pStyle w:val="Legaltext"/>
            </w:pPr>
          </w:p>
          <w:p w14:paraId="5AFEF7A8" w14:textId="77777777" w:rsidR="00CC75FD" w:rsidRPr="00691B65" w:rsidRDefault="00CC75FD" w:rsidP="00CC75FD">
            <w:pPr>
              <w:pStyle w:val="Legaltext"/>
            </w:pPr>
            <w:r w:rsidRPr="00691B65">
              <w:t>Member of Deloitte Touche Tohmatsu Limited</w:t>
            </w:r>
          </w:p>
          <w:p w14:paraId="026FDBA6" w14:textId="77777777" w:rsidR="00CC75FD" w:rsidRPr="00691B65" w:rsidRDefault="00CC75FD" w:rsidP="00CC75FD">
            <w:pPr>
              <w:pStyle w:val="Legaltext"/>
            </w:pPr>
          </w:p>
          <w:p w14:paraId="184A2D33" w14:textId="145B2515" w:rsidR="00493AF9" w:rsidRPr="00691B65" w:rsidRDefault="00892E65" w:rsidP="00CC75FD">
            <w:pPr>
              <w:pStyle w:val="Legaltext"/>
            </w:pPr>
            <w:r w:rsidRPr="00691B65">
              <w:t>© 20</w:t>
            </w:r>
            <w:r w:rsidR="00DF7BA6">
              <w:t>22</w:t>
            </w:r>
            <w:r w:rsidR="00CC75FD" w:rsidRPr="00691B65">
              <w:t xml:space="preserve"> Deloitte </w:t>
            </w:r>
            <w:r w:rsidR="004D21C7" w:rsidRPr="00691B65">
              <w:t>Access Economics</w:t>
            </w:r>
            <w:r w:rsidR="00C45436" w:rsidRPr="00691B65">
              <w:t xml:space="preserve"> Pty Ltd</w:t>
            </w:r>
          </w:p>
          <w:p w14:paraId="70B4B25A" w14:textId="77777777" w:rsidR="00417D85" w:rsidRPr="00BB165A" w:rsidRDefault="00417D85" w:rsidP="00417D85">
            <w:pPr>
              <w:pStyle w:val="Legaltext"/>
              <w:spacing w:line="0" w:lineRule="atLeast"/>
              <w:rPr>
                <w:sz w:val="2"/>
                <w:szCs w:val="2"/>
              </w:rPr>
            </w:pPr>
          </w:p>
        </w:tc>
      </w:tr>
    </w:tbl>
    <w:p w14:paraId="13862E11" w14:textId="77777777" w:rsidR="00BF6F8B" w:rsidRPr="000F05E4" w:rsidRDefault="00680CEC" w:rsidP="009B139F">
      <w:r w:rsidRPr="00BB165A">
        <w:rPr>
          <w:noProof/>
          <w:lang w:eastAsia="en-AU"/>
        </w:rPr>
        <mc:AlternateContent>
          <mc:Choice Requires="wps">
            <w:drawing>
              <wp:anchor distT="0" distB="0" distL="114300" distR="114300" simplePos="0" relativeHeight="251658242" behindDoc="1" locked="1" layoutInCell="1" allowOverlap="1" wp14:anchorId="3AA88821" wp14:editId="1DDA8FF1">
                <wp:simplePos x="0" y="0"/>
                <wp:positionH relativeFrom="page">
                  <wp:posOffset>0</wp:posOffset>
                </wp:positionH>
                <wp:positionV relativeFrom="page">
                  <wp:posOffset>0</wp:posOffset>
                </wp:positionV>
                <wp:extent cx="7563600" cy="10695600"/>
                <wp:effectExtent l="0" t="0" r="0" b="0"/>
                <wp:wrapNone/>
                <wp:docPr id="3" name="Backpag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BE72F" id="Backpage background" o:spid="_x0000_s1026" style="position:absolute;margin-left:0;margin-top:0;width:595.55pt;height:842.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" stroked="f" strokeweight="1.5pt">
                <o:lock v:ext="edit" aspectratio="t"/>
                <v:textbox inset="7pt,7pt,7pt,7pt"/>
                <w10:wrap anchorx="page" anchory="page"/>
                <w10:anchorlock/>
              </v:rect>
            </w:pict>
          </mc:Fallback>
        </mc:AlternateContent>
      </w:r>
    </w:p>
    <w:p w14:paraId="1DA1F893" w14:textId="77777777" w:rsidR="007629C6" w:rsidRPr="000F05E4" w:rsidRDefault="007629C6" w:rsidP="009B139F"/>
    <w:sectPr w:rsidR="007629C6" w:rsidRPr="000F05E4" w:rsidSect="00376F97">
      <w:pgSz w:w="11906" w:h="16838" w:code="9"/>
      <w:pgMar w:top="1985" w:right="1418" w:bottom="1134" w:left="1418"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C6516" w14:textId="77777777" w:rsidR="001B37CF" w:rsidRDefault="001B37CF" w:rsidP="00C702C7">
      <w:pPr>
        <w:spacing w:line="240" w:lineRule="auto"/>
      </w:pPr>
      <w:r>
        <w:separator/>
      </w:r>
    </w:p>
  </w:endnote>
  <w:endnote w:type="continuationSeparator" w:id="0">
    <w:p w14:paraId="09BF3C05" w14:textId="77777777" w:rsidR="001B37CF" w:rsidRDefault="001B37CF" w:rsidP="00C702C7">
      <w:pPr>
        <w:spacing w:line="240" w:lineRule="auto"/>
      </w:pPr>
      <w:r>
        <w:continuationSeparator/>
      </w:r>
    </w:p>
  </w:endnote>
  <w:endnote w:type="continuationNotice" w:id="1">
    <w:p w14:paraId="070C229B" w14:textId="77777777" w:rsidR="001B37CF" w:rsidRDefault="001B37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otham Bold">
    <w:altName w:val="Times New Roman"/>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OpenSans-Bold">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64B3" w14:textId="77777777" w:rsidR="00F05F8E" w:rsidRDefault="00F05F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3544"/>
      <w:gridCol w:w="7002"/>
    </w:tblGrid>
    <w:tr w:rsidR="00FF3D3E" w14:paraId="2F555F0D"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6A6F4ADA" w14:textId="258F7363" w:rsidR="00FF3D3E" w:rsidRDefault="00FF3D3E"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1</w:t>
          </w:r>
          <w:r w:rsidRPr="006C4F67">
            <w:rPr>
              <w:rStyle w:val="PageNumber"/>
            </w:rPr>
            <w:fldChar w:fldCharType="end"/>
          </w:r>
        </w:p>
      </w:tc>
      <w:tc>
        <w:tcPr>
          <w:tcW w:w="7002" w:type="dxa"/>
          <w:vAlign w:val="bottom"/>
        </w:tcPr>
        <w:p w14:paraId="4A97744C" w14:textId="77777777" w:rsidR="00FF3D3E" w:rsidRPr="00904097" w:rsidRDefault="00FF3D3E" w:rsidP="00536AB8">
          <w:pPr>
            <w:pStyle w:val="Footer"/>
            <w:spacing w:line="180" w:lineRule="atLeast"/>
            <w:rPr>
              <w:sz w:val="14"/>
              <w:szCs w:val="14"/>
            </w:rPr>
          </w:pPr>
        </w:p>
      </w:tc>
    </w:tr>
  </w:tbl>
  <w:p w14:paraId="792C4E96" w14:textId="77777777" w:rsidR="00FF3D3E" w:rsidRDefault="00FF3D3E" w:rsidP="00536AB8">
    <w:pPr>
      <w:pStyle w:val="Footer"/>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71ED" w14:textId="77777777" w:rsidR="00F05F8E" w:rsidRDefault="00F05F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C28A" w14:textId="77777777" w:rsidR="00FF3D3E" w:rsidRPr="0012388F" w:rsidRDefault="00FF3D3E" w:rsidP="0012388F">
    <w:pPr>
      <w:pStyle w:val="Disclaimer"/>
      <w:spacing w:after="120" w:line="240" w:lineRule="auto"/>
      <w:rPr>
        <w:szCs w:val="11"/>
      </w:rPr>
    </w:pPr>
    <w:r w:rsidRPr="005719A7">
      <w:rPr>
        <w:szCs w:val="11"/>
      </w:rPr>
      <w:t>Deloitte refers to one or more of Deloitte Touche Tohmatsu Limited, a UK private company limited by guarantee, and its network of member firms, each of which is a legally separate and independent entity. Please see www.deloitte.com/au/about for a detailed description of the legal structure of Deloitte Touche Tohmatsu Limited and it</w:t>
    </w:r>
    <w:r w:rsidRPr="0012388F">
      <w:rPr>
        <w:szCs w:val="11"/>
      </w:rPr>
      <w:t>s member firms.</w:t>
    </w:r>
  </w:p>
  <w:p w14:paraId="36010904" w14:textId="77777777" w:rsidR="00FF3D3E" w:rsidRPr="0012388F" w:rsidRDefault="00FF3D3E" w:rsidP="0012388F">
    <w:pPr>
      <w:pStyle w:val="Disclaimer"/>
      <w:spacing w:after="120" w:line="240" w:lineRule="auto"/>
      <w:rPr>
        <w:szCs w:val="11"/>
      </w:rPr>
    </w:pPr>
    <w:r w:rsidRPr="0012388F">
      <w:rPr>
        <w:szCs w:val="11"/>
      </w:rPr>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14:paraId="60C3B2F8" w14:textId="77777777" w:rsidR="00FF3D3E" w:rsidRPr="0012388F" w:rsidRDefault="00FF3D3E" w:rsidP="0012388F">
    <w:pPr>
      <w:pStyle w:val="Disclaimer"/>
      <w:spacing w:after="120" w:line="240" w:lineRule="auto"/>
      <w:rPr>
        <w:szCs w:val="11"/>
      </w:rPr>
    </w:pPr>
    <w:r w:rsidRPr="0012388F">
      <w:rPr>
        <w:szCs w:val="11"/>
      </w:rPr>
      <w:t>Liability limited by a scheme approved under Professional Standards Legislation.</w:t>
    </w:r>
  </w:p>
  <w:p w14:paraId="4EB5D019" w14:textId="0FD7A000" w:rsidR="00FF3D3E" w:rsidRPr="006118C2" w:rsidRDefault="00FF3D3E" w:rsidP="0012388F">
    <w:pPr>
      <w:pStyle w:val="Footer"/>
      <w:rPr>
        <w:sz w:val="11"/>
        <w:szCs w:val="11"/>
      </w:rPr>
    </w:pPr>
    <w:r w:rsidRPr="006118C2">
      <w:rPr>
        <w:sz w:val="11"/>
        <w:szCs w:val="11"/>
      </w:rPr>
      <w:t>© 20</w:t>
    </w:r>
    <w:r w:rsidR="003C22D2">
      <w:rPr>
        <w:sz w:val="11"/>
        <w:szCs w:val="11"/>
      </w:rPr>
      <w:t>22</w:t>
    </w:r>
    <w:r w:rsidRPr="006118C2">
      <w:rPr>
        <w:sz w:val="11"/>
        <w:szCs w:val="11"/>
      </w:rPr>
      <w:t xml:space="preserve"> Deloitte Access Economics</w:t>
    </w:r>
  </w:p>
  <w:p w14:paraId="2FFD4086" w14:textId="77777777" w:rsidR="00FF3D3E" w:rsidRDefault="00FF3D3E" w:rsidP="0012388F">
    <w:pPr>
      <w:pStyle w:val="Footer"/>
      <w:tabs>
        <w:tab w:val="left" w:pos="4536"/>
      </w:tabs>
      <w:rPr>
        <w:szCs w:val="11"/>
      </w:rPr>
    </w:pPr>
  </w:p>
  <w:p w14:paraId="21A12EAC" w14:textId="414F70E4" w:rsidR="00FF3D3E" w:rsidRPr="00FD7D79" w:rsidRDefault="00FF3D3E" w:rsidP="001238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238C" w14:textId="1EF1E79F" w:rsidR="00FF3D3E" w:rsidRPr="00672300" w:rsidRDefault="00FF3D3E" w:rsidP="00810613">
    <w:pPr>
      <w:pStyle w:val="Footer"/>
      <w:tabs>
        <w:tab w:val="left" w:pos="4536"/>
      </w:tabs>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ii</w:t>
    </w:r>
    <w:r w:rsidRPr="006C4F67">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A98A" w14:textId="63008F49" w:rsidR="00FF3D3E" w:rsidRPr="007E7D93" w:rsidRDefault="00FF3D3E" w:rsidP="00554A5F">
    <w:pPr>
      <w:pStyle w:val="Footer"/>
      <w:tabs>
        <w:tab w:val="left" w:pos="3969"/>
        <w:tab w:val="left" w:pos="4536"/>
      </w:tabs>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68</w:t>
    </w:r>
    <w:r w:rsidRPr="006C4F67">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A344" w14:textId="7F256875" w:rsidR="00FF3D3E" w:rsidRPr="00672300" w:rsidRDefault="00FF3D3E"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Pr>
        <w:rStyle w:val="PageNumber"/>
        <w:noProof/>
      </w:rPr>
      <w:t>76</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7B975" w14:textId="77777777" w:rsidR="001B37CF" w:rsidRDefault="001B37CF" w:rsidP="00C702C7">
      <w:pPr>
        <w:spacing w:line="240" w:lineRule="auto"/>
      </w:pPr>
      <w:r>
        <w:separator/>
      </w:r>
    </w:p>
  </w:footnote>
  <w:footnote w:type="continuationSeparator" w:id="0">
    <w:p w14:paraId="623F782B" w14:textId="77777777" w:rsidR="001B37CF" w:rsidRDefault="001B37CF" w:rsidP="00C702C7">
      <w:pPr>
        <w:spacing w:line="240" w:lineRule="auto"/>
      </w:pPr>
      <w:r>
        <w:continuationSeparator/>
      </w:r>
    </w:p>
  </w:footnote>
  <w:footnote w:type="continuationNotice" w:id="1">
    <w:p w14:paraId="59AF497F" w14:textId="77777777" w:rsidR="001B37CF" w:rsidRDefault="001B37CF">
      <w:pPr>
        <w:spacing w:after="0" w:line="240" w:lineRule="auto"/>
      </w:pPr>
    </w:p>
  </w:footnote>
  <w:footnote w:id="2">
    <w:p w14:paraId="0CD329B3" w14:textId="77777777" w:rsidR="00FF3D3E" w:rsidRDefault="00FF3D3E" w:rsidP="00537973">
      <w:pPr>
        <w:pStyle w:val="FootnoteText"/>
      </w:pPr>
      <w:r>
        <w:rPr>
          <w:rStyle w:val="FootnoteReference"/>
        </w:rPr>
        <w:footnoteRef/>
      </w:r>
      <w:r>
        <w:t xml:space="preserve"> Higher Education Support Act 2003, s2(1)(b).</w:t>
      </w:r>
    </w:p>
  </w:footnote>
  <w:footnote w:id="3">
    <w:p w14:paraId="1BF364C3" w14:textId="1997E9FA" w:rsidR="00FF3D3E" w:rsidRDefault="00FF3D3E">
      <w:pPr>
        <w:pStyle w:val="FootnoteText"/>
      </w:pPr>
      <w:r>
        <w:rPr>
          <w:rStyle w:val="FootnoteReference"/>
        </w:rPr>
        <w:footnoteRef/>
      </w:r>
      <w:r>
        <w:t xml:space="preserve"> U</w:t>
      </w:r>
      <w:r w:rsidRPr="00C45264">
        <w:t xml:space="preserve">nlike the 2016 </w:t>
      </w:r>
      <w:r>
        <w:t>study</w:t>
      </w:r>
      <w:r w:rsidRPr="00C45264">
        <w:t>, this report does not seek to provide estimates of the reasonable costs of teaching and scholarship by field of education or to use a regression framework to identify the size of particular cost drivers</w:t>
      </w:r>
      <w:r>
        <w:t>. Importantly, this means that the cost estimates reflect the actual costs of teaching and scholarship for the universities concerned. This report does not explicitly analyse notions of efficiency or quality.</w:t>
      </w:r>
    </w:p>
  </w:footnote>
  <w:footnote w:id="4">
    <w:p w14:paraId="636D512C" w14:textId="77777777" w:rsidR="00FF3D3E" w:rsidRDefault="00FF3D3E">
      <w:pPr>
        <w:pStyle w:val="FootnoteText"/>
      </w:pPr>
      <w:r>
        <w:rPr>
          <w:rStyle w:val="FootnoteReference"/>
        </w:rPr>
        <w:footnoteRef/>
      </w:r>
      <w:r>
        <w:t xml:space="preserve"> For simplicity, the ‘cost of teaching and scholarship’ is often referred to as the ‘cost of teaching’ throughout this report. </w:t>
      </w:r>
    </w:p>
  </w:footnote>
  <w:footnote w:id="5">
    <w:p w14:paraId="73CFF7FF" w14:textId="77777777" w:rsidR="00FF3D3E" w:rsidRDefault="00FF3D3E">
      <w:pPr>
        <w:pStyle w:val="FootnoteText"/>
      </w:pPr>
      <w:r>
        <w:rPr>
          <w:rStyle w:val="FootnoteReference"/>
        </w:rPr>
        <w:footnoteRef/>
      </w:r>
      <w:r>
        <w:t xml:space="preserve"> Economic costs include both accounting costs but also the opportunity cost involved in using a given resource for a particular activity. </w:t>
      </w:r>
    </w:p>
  </w:footnote>
  <w:footnote w:id="6">
    <w:p w14:paraId="68D4C21B" w14:textId="1A1EC5ED" w:rsidR="0040575F" w:rsidRDefault="0040575F">
      <w:pPr>
        <w:pStyle w:val="FootnoteText"/>
      </w:pPr>
      <w:r>
        <w:rPr>
          <w:rStyle w:val="FootnoteReference"/>
        </w:rPr>
        <w:footnoteRef/>
      </w:r>
      <w:r>
        <w:t xml:space="preserve"> </w:t>
      </w:r>
      <w:r w:rsidR="0096244C">
        <w:t xml:space="preserve">The University of Notre Dame </w:t>
      </w:r>
      <w:r w:rsidR="00CC38A3">
        <w:t xml:space="preserve">only </w:t>
      </w:r>
      <w:r w:rsidR="0096244C">
        <w:t xml:space="preserve">became a Table A university in 2021 and is therefore not included in Table A universities for 2019 and 2020. </w:t>
      </w:r>
    </w:p>
  </w:footnote>
  <w:footnote w:id="7">
    <w:p w14:paraId="0C69EAE0" w14:textId="779D9B54" w:rsidR="00FF3D3E" w:rsidRDefault="00FF3D3E" w:rsidP="00896B81">
      <w:pPr>
        <w:pStyle w:val="FootnoteText"/>
      </w:pPr>
      <w:r>
        <w:rPr>
          <w:rStyle w:val="FootnoteReference"/>
        </w:rPr>
        <w:footnoteRef/>
      </w:r>
      <w:r>
        <w:t xml:space="preserve"> </w:t>
      </w:r>
      <w:r w:rsidR="00D44646">
        <w:t>O</w:t>
      </w:r>
      <w:r>
        <w:t xml:space="preserve">utliers were removed where </w:t>
      </w:r>
      <w:r w:rsidR="007B531E">
        <w:t xml:space="preserve">EFTSL </w:t>
      </w:r>
      <w:r w:rsidR="0083203B">
        <w:t xml:space="preserve">counts </w:t>
      </w:r>
      <w:r w:rsidR="002A6641">
        <w:t>were</w:t>
      </w:r>
      <w:r w:rsidR="0083203B">
        <w:t xml:space="preserve"> less than 5,</w:t>
      </w:r>
      <w:r>
        <w:t xml:space="preserve"> costs per EFTSL were greater than $100,000 and an EFTSL count was less than 10, when costs per EFTSL were greater than $300,000, or in instances where participating universities explicitly indicated that costs for a field-level combination should not be relied upon. </w:t>
      </w:r>
    </w:p>
  </w:footnote>
  <w:footnote w:id="8">
    <w:p w14:paraId="609C0CCC" w14:textId="77777777" w:rsidR="00C205CB" w:rsidRDefault="00C205CB" w:rsidP="00C205CB">
      <w:pPr>
        <w:pStyle w:val="FootnoteText"/>
      </w:pPr>
      <w:r>
        <w:rPr>
          <w:rStyle w:val="FootnoteReference"/>
        </w:rPr>
        <w:footnoteRef/>
      </w:r>
      <w:r>
        <w:t xml:space="preserve"> Greater research intensity or focus within a field or institution may simultaneously drive higher costs in teaching, due to more senior professional staff with both teaching and research roles. </w:t>
      </w:r>
    </w:p>
  </w:footnote>
  <w:footnote w:id="9">
    <w:p w14:paraId="5F697197" w14:textId="77777777" w:rsidR="00FF3D3E" w:rsidRDefault="00FF3D3E" w:rsidP="00C32410">
      <w:pPr>
        <w:pStyle w:val="FootnoteText"/>
      </w:pPr>
      <w:r>
        <w:rPr>
          <w:rStyle w:val="FootnoteReference"/>
        </w:rPr>
        <w:footnoteRef/>
      </w:r>
      <w:r>
        <w:t xml:space="preserve"> ‘Above the line’ costs are those provided in the TCW that reconcile to statutory accounts. A number of additional cost items are able to be reported by universities, but these are optional. These additional cost items are referred to as ‘below the line costs’ and include in-kind and third party/partnership costs among others. A full description of these can be found in Appendix B.</w:t>
      </w:r>
    </w:p>
  </w:footnote>
  <w:footnote w:id="10">
    <w:p w14:paraId="164B62F4" w14:textId="3FC5B5B4" w:rsidR="00952A72" w:rsidRDefault="00952A72">
      <w:pPr>
        <w:pStyle w:val="FootnoteText"/>
      </w:pPr>
      <w:r>
        <w:rPr>
          <w:rStyle w:val="FootnoteReference"/>
        </w:rPr>
        <w:footnoteRef/>
      </w:r>
      <w:r>
        <w:t xml:space="preserve"> </w:t>
      </w:r>
      <w:r w:rsidRPr="00952A72">
        <w:t>Commonwealth Supported Place (CSP) funding - the sum of CGS and student contributions</w:t>
      </w:r>
    </w:p>
  </w:footnote>
  <w:footnote w:id="11">
    <w:p w14:paraId="6A76434E" w14:textId="484463B7" w:rsidR="00F17371" w:rsidRDefault="00F17371">
      <w:pPr>
        <w:pStyle w:val="FootnoteText"/>
      </w:pPr>
      <w:r>
        <w:rPr>
          <w:rStyle w:val="FootnoteReference"/>
        </w:rPr>
        <w:footnoteRef/>
      </w:r>
      <w:r>
        <w:t xml:space="preserve"> The University of Notre Dame was added as a Table A university in 20</w:t>
      </w:r>
      <w:r w:rsidR="00C22021">
        <w:t xml:space="preserve">21 and therefore was not a Table A university </w:t>
      </w:r>
      <w:r w:rsidR="00C22021" w:rsidRPr="00CE4F70">
        <w:t xml:space="preserve">in </w:t>
      </w:r>
      <w:r w:rsidR="00C22021" w:rsidRPr="00D1171B">
        <w:t>2019 or 202</w:t>
      </w:r>
      <w:r w:rsidR="003858BB" w:rsidRPr="00D1171B">
        <w:t>0</w:t>
      </w:r>
      <w:r w:rsidR="00C22021" w:rsidRPr="00D1171B">
        <w:t>.</w:t>
      </w:r>
      <w:r w:rsidR="00C22021">
        <w:t xml:space="preserve"> </w:t>
      </w:r>
    </w:p>
  </w:footnote>
  <w:footnote w:id="12">
    <w:p w14:paraId="7A3535DF" w14:textId="332B1F20" w:rsidR="00C22021" w:rsidRDefault="00C22021">
      <w:pPr>
        <w:pStyle w:val="FootnoteText"/>
      </w:pPr>
      <w:r>
        <w:rPr>
          <w:rStyle w:val="FootnoteReference"/>
        </w:rPr>
        <w:footnoteRef/>
      </w:r>
      <w:r>
        <w:t xml:space="preserve"> The University of Notre Dame was added as a Table A university in 2021 and therefore was not a Table A university in 2019 or 202</w:t>
      </w:r>
      <w:r w:rsidR="007F1379">
        <w:t>0</w:t>
      </w:r>
      <w:r>
        <w:t>.</w:t>
      </w:r>
    </w:p>
  </w:footnote>
  <w:footnote w:id="13">
    <w:p w14:paraId="4FAAA350" w14:textId="77777777" w:rsidR="00FF3D3E" w:rsidRDefault="00FF3D3E">
      <w:pPr>
        <w:pStyle w:val="FootnoteText"/>
      </w:pPr>
      <w:r>
        <w:rPr>
          <w:rStyle w:val="FootnoteReference"/>
        </w:rPr>
        <w:footnoteRef/>
      </w:r>
      <w:r>
        <w:t xml:space="preserve"> For simplicity, references to teaching and scholarship costs, and teaching costs are treated synonymously in this report. </w:t>
      </w:r>
    </w:p>
  </w:footnote>
  <w:footnote w:id="14">
    <w:p w14:paraId="60481D7C" w14:textId="77777777" w:rsidR="00FF3D3E" w:rsidRDefault="00FF3D3E">
      <w:pPr>
        <w:pStyle w:val="FootnoteText"/>
      </w:pPr>
      <w:r>
        <w:rPr>
          <w:rStyle w:val="FootnoteReference"/>
        </w:rPr>
        <w:footnoteRef/>
      </w:r>
      <w:r>
        <w:t xml:space="preserve"> Economic costs include both accounting costs but also the opportunity cost involved in using a given resource for a particular activity.</w:t>
      </w:r>
    </w:p>
  </w:footnote>
  <w:footnote w:id="15">
    <w:p w14:paraId="1EB4077D" w14:textId="72E76DAD" w:rsidR="000B46E6" w:rsidRDefault="000B46E6">
      <w:pPr>
        <w:pStyle w:val="FootnoteText"/>
      </w:pPr>
      <w:r w:rsidRPr="00030AE2">
        <w:rPr>
          <w:rStyle w:val="FootnoteReference"/>
        </w:rPr>
        <w:footnoteRef/>
      </w:r>
      <w:r w:rsidRPr="00030AE2">
        <w:t xml:space="preserve"> </w:t>
      </w:r>
      <w:r w:rsidR="0021674A" w:rsidRPr="00D1171B">
        <w:t xml:space="preserve">EFTSL including </w:t>
      </w:r>
      <w:r w:rsidR="00CB569A" w:rsidRPr="00D1171B">
        <w:t>students enrolled at Australian universities but studying at an overseas campus</w:t>
      </w:r>
      <w:r w:rsidR="00586EA7" w:rsidRPr="00D1171B">
        <w:t xml:space="preserve"> and</w:t>
      </w:r>
      <w:r w:rsidR="00CB569A" w:rsidRPr="00D1171B">
        <w:t xml:space="preserve"> </w:t>
      </w:r>
      <w:r w:rsidR="005F40C7" w:rsidRPr="00D1171B">
        <w:t xml:space="preserve">students enrolled in </w:t>
      </w:r>
      <w:r w:rsidR="00905774">
        <w:t xml:space="preserve">higher degree by research programs and </w:t>
      </w:r>
      <w:r w:rsidR="00DB11C0" w:rsidRPr="00D1171B">
        <w:t>enabling and non-award programs</w:t>
      </w:r>
      <w:r w:rsidR="00DB11C0">
        <w:t xml:space="preserve"> </w:t>
      </w:r>
    </w:p>
  </w:footnote>
  <w:footnote w:id="16">
    <w:p w14:paraId="453C2CF0" w14:textId="48C6A706" w:rsidR="00D620BF" w:rsidRDefault="00D620BF">
      <w:pPr>
        <w:pStyle w:val="FootnoteText"/>
      </w:pPr>
      <w:r>
        <w:rPr>
          <w:rStyle w:val="FootnoteReference"/>
        </w:rPr>
        <w:footnoteRef/>
      </w:r>
      <w:r>
        <w:t xml:space="preserve"> </w:t>
      </w:r>
      <w:r w:rsidR="00362F82">
        <w:t xml:space="preserve">Overseas </w:t>
      </w:r>
      <w:r w:rsidR="00504152">
        <w:t xml:space="preserve">EFTSL refers to </w:t>
      </w:r>
      <w:r w:rsidR="00721DF3">
        <w:t xml:space="preserve">overseas students </w:t>
      </w:r>
      <w:r w:rsidR="00C413FE">
        <w:t xml:space="preserve">enrolled </w:t>
      </w:r>
      <w:r w:rsidR="00C119A9">
        <w:t xml:space="preserve">at an Australian university and </w:t>
      </w:r>
      <w:r w:rsidR="00721DF3">
        <w:t xml:space="preserve">studying at either an Australian or overseas campus. </w:t>
      </w:r>
    </w:p>
  </w:footnote>
  <w:footnote w:id="17">
    <w:p w14:paraId="26D782EB" w14:textId="77777777" w:rsidR="00FF3D3E" w:rsidRDefault="00FF3D3E">
      <w:pPr>
        <w:pStyle w:val="FootnoteText"/>
      </w:pPr>
      <w:r>
        <w:rPr>
          <w:rStyle w:val="FootnoteReference"/>
        </w:rPr>
        <w:footnoteRef/>
      </w:r>
      <w:r>
        <w:t xml:space="preserve"> Fees and charges are paid by international and domestic students enrolled in</w:t>
      </w:r>
      <w:r w:rsidRPr="004D457C">
        <w:t xml:space="preserve"> course</w:t>
      </w:r>
      <w:r>
        <w:t>s</w:t>
      </w:r>
      <w:r w:rsidRPr="004D457C">
        <w:t xml:space="preserve"> which </w:t>
      </w:r>
      <w:r>
        <w:t xml:space="preserve">are </w:t>
      </w:r>
      <w:r w:rsidRPr="004D457C">
        <w:t>not Commonwealth supported (i.e. not subsidised by the Australian Government) and for which tuition fees are payable</w:t>
      </w:r>
      <w:r>
        <w:t xml:space="preserve"> (i.e. those not paid via HELP loans)</w:t>
      </w:r>
      <w:r w:rsidRPr="004D457C">
        <w:t>.</w:t>
      </w:r>
    </w:p>
  </w:footnote>
  <w:footnote w:id="18">
    <w:p w14:paraId="34C64032" w14:textId="076BAD07" w:rsidR="00FF3D3E" w:rsidRDefault="00FF3D3E" w:rsidP="00D530BD">
      <w:pPr>
        <w:pStyle w:val="FootnoteText"/>
      </w:pPr>
      <w:r>
        <w:rPr>
          <w:rStyle w:val="FootnoteReference"/>
        </w:rPr>
        <w:footnoteRef/>
      </w:r>
      <w:r>
        <w:t xml:space="preserve"> </w:t>
      </w:r>
      <w:r w:rsidR="00CC5812">
        <w:t xml:space="preserve">The </w:t>
      </w:r>
      <w:r>
        <w:t xml:space="preserve">HELP refers to a number of Commonwealth loan policies to support student contributions, as well as fees and other selected expenses related to study. </w:t>
      </w:r>
    </w:p>
  </w:footnote>
  <w:footnote w:id="19">
    <w:p w14:paraId="03E7AA59" w14:textId="01849818" w:rsidR="00FF3D3E" w:rsidRDefault="00FF3D3E" w:rsidP="001548C2">
      <w:pPr>
        <w:pStyle w:val="FootnoteText"/>
      </w:pPr>
      <w:r>
        <w:rPr>
          <w:rStyle w:val="FootnoteReference"/>
        </w:rPr>
        <w:footnoteRef/>
      </w:r>
      <w:r>
        <w:t xml:space="preserve"> It should be noted that the true share of teaching costs attributable to higher education staff may be marginally higher as universities had the option to attribute teaching costs to third party providers under ‘non-staff expenses’. Thus staff expenses (as described in this report) are likely </w:t>
      </w:r>
      <w:r w:rsidR="00C96B13">
        <w:t xml:space="preserve">to be </w:t>
      </w:r>
      <w:r>
        <w:t xml:space="preserve">understated. </w:t>
      </w:r>
    </w:p>
  </w:footnote>
  <w:footnote w:id="20">
    <w:p w14:paraId="5023BBFB" w14:textId="77777777" w:rsidR="00A9716F" w:rsidRDefault="00A9716F" w:rsidP="00A9716F">
      <w:pPr>
        <w:pStyle w:val="FootnoteText"/>
      </w:pPr>
      <w:r>
        <w:rPr>
          <w:rStyle w:val="FootnoteReference"/>
        </w:rPr>
        <w:footnoteRef/>
      </w:r>
      <w:r>
        <w:t xml:space="preserve"> Noting that these figures vary to the full sample discussed earlier. </w:t>
      </w:r>
    </w:p>
  </w:footnote>
  <w:footnote w:id="21">
    <w:p w14:paraId="41DEC48B" w14:textId="77777777" w:rsidR="00FF3D3E" w:rsidRDefault="00FF3D3E" w:rsidP="00683D14">
      <w:pPr>
        <w:pStyle w:val="FootnoteText"/>
      </w:pPr>
      <w:r>
        <w:rPr>
          <w:rStyle w:val="FootnoteReference"/>
        </w:rPr>
        <w:footnoteRef/>
      </w:r>
      <w:r>
        <w:t xml:space="preserve"> Noting that these figures vary to the full sample discussed earlier. </w:t>
      </w:r>
    </w:p>
  </w:footnote>
  <w:footnote w:id="22">
    <w:p w14:paraId="241E4753" w14:textId="51F9C9F0" w:rsidR="00027876" w:rsidRDefault="00027876">
      <w:pPr>
        <w:pStyle w:val="FootnoteText"/>
      </w:pPr>
      <w:r>
        <w:rPr>
          <w:rStyle w:val="FootnoteReference"/>
        </w:rPr>
        <w:footnoteRef/>
      </w:r>
      <w:r>
        <w:t xml:space="preserve"> </w:t>
      </w:r>
      <w:r w:rsidRPr="00027876">
        <w:t xml:space="preserve">Nursing </w:t>
      </w:r>
      <w:r w:rsidR="00393FDC">
        <w:t>was</w:t>
      </w:r>
      <w:r w:rsidRPr="00027876">
        <w:t xml:space="preserve"> included in Other – Health</w:t>
      </w:r>
      <w:r>
        <w:t xml:space="preserve"> for the </w:t>
      </w:r>
      <w:r w:rsidR="00393FDC">
        <w:t>2016 study</w:t>
      </w:r>
    </w:p>
  </w:footnote>
  <w:footnote w:id="23">
    <w:p w14:paraId="5E6FE9D0" w14:textId="77777777" w:rsidR="00FF3D3E" w:rsidRDefault="00FF3D3E">
      <w:pPr>
        <w:pStyle w:val="FootnoteText"/>
      </w:pPr>
      <w:r>
        <w:rPr>
          <w:rStyle w:val="FootnoteReference"/>
        </w:rPr>
        <w:footnoteRef/>
      </w:r>
      <w:r>
        <w:t xml:space="preserve"> B</w:t>
      </w:r>
      <w:r w:rsidRPr="00E11FED">
        <w:t>ased on the home postcode of students</w:t>
      </w:r>
      <w:r>
        <w:t>.</w:t>
      </w:r>
    </w:p>
  </w:footnote>
  <w:footnote w:id="24">
    <w:p w14:paraId="66B7DB13" w14:textId="10A41FFB" w:rsidR="00CA0AE7" w:rsidRDefault="00CA0AE7">
      <w:pPr>
        <w:pStyle w:val="FootnoteText"/>
      </w:pPr>
      <w:r>
        <w:rPr>
          <w:rStyle w:val="FootnoteReference"/>
        </w:rPr>
        <w:footnoteRef/>
      </w:r>
      <w:r>
        <w:t xml:space="preserve"> The percentage share of </w:t>
      </w:r>
      <w:r w:rsidR="00054EE3">
        <w:t xml:space="preserve">total </w:t>
      </w:r>
      <w:r>
        <w:t xml:space="preserve">teaching costs </w:t>
      </w:r>
      <w:r w:rsidR="00054EE3">
        <w:t>excludes costs associated with changes in revenue</w:t>
      </w:r>
    </w:p>
  </w:footnote>
  <w:footnote w:id="25">
    <w:p w14:paraId="0669B725" w14:textId="77777777" w:rsidR="00FF3D3E" w:rsidRDefault="00FF3D3E" w:rsidP="00EB779E">
      <w:pPr>
        <w:pStyle w:val="FootnoteText"/>
      </w:pPr>
      <w:r>
        <w:rPr>
          <w:rStyle w:val="FootnoteReference"/>
        </w:rPr>
        <w:footnoteRef/>
      </w:r>
      <w:r>
        <w:t xml:space="preserve"> For those academic staff classified as ‘teaching and research’ as well as non-academic staff tasked with supporting teaching and research academic staff.</w:t>
      </w:r>
    </w:p>
  </w:footnote>
  <w:footnote w:id="26">
    <w:p w14:paraId="5AE97825" w14:textId="30F421CF" w:rsidR="00A36B2A" w:rsidRDefault="00A36B2A">
      <w:pPr>
        <w:pStyle w:val="FootnoteText"/>
      </w:pPr>
      <w:r>
        <w:rPr>
          <w:rStyle w:val="FootnoteReference"/>
        </w:rPr>
        <w:footnoteRef/>
      </w:r>
      <w:r>
        <w:t xml:space="preserve"> </w:t>
      </w:r>
      <w:r w:rsidR="00AC1472" w:rsidRPr="00AC1472">
        <w:t>Note: For simplicity in this document, ‘teaching and scholarship’ and ‘teaching’ are used and referred to synonymously throughout.</w:t>
      </w:r>
    </w:p>
  </w:footnote>
  <w:footnote w:id="27">
    <w:p w14:paraId="3B8D7C63" w14:textId="3E082B75" w:rsidR="00EC1A12" w:rsidRDefault="00EC1A12">
      <w:pPr>
        <w:pStyle w:val="FootnoteText"/>
      </w:pPr>
      <w:r>
        <w:rPr>
          <w:rStyle w:val="FootnoteReference"/>
        </w:rPr>
        <w:footnoteRef/>
      </w:r>
      <w:r>
        <w:t xml:space="preserve"> </w:t>
      </w:r>
      <w:r w:rsidR="004B5FBD">
        <w:t xml:space="preserve">A </w:t>
      </w:r>
      <w:r w:rsidR="004B5FBD" w:rsidRPr="004B5FBD">
        <w:t>university’s parent entity accounts are most applicable to this exercise and these are used for the purposes of reconciliation. However, in the event that there are entities in a university’s consolidated accounts but not the parent entity accounts which incur relevant teaching and scholarship costs, these should be captured by this exercise. Where this occurs</w:t>
      </w:r>
      <w:r w:rsidR="007F6FC9">
        <w:t>,</w:t>
      </w:r>
      <w:r w:rsidR="004B5FBD" w:rsidRPr="004B5FBD">
        <w:t xml:space="preserve"> it should be noted in the Supporting Statement.</w:t>
      </w:r>
    </w:p>
  </w:footnote>
  <w:footnote w:id="28">
    <w:p w14:paraId="5D3F4EFF" w14:textId="48D98C48" w:rsidR="00F327DA" w:rsidRDefault="00F327DA">
      <w:pPr>
        <w:pStyle w:val="FootnoteText"/>
      </w:pPr>
      <w:r>
        <w:rPr>
          <w:rStyle w:val="FootnoteReference"/>
        </w:rPr>
        <w:footnoteRef/>
      </w:r>
      <w:r>
        <w:t xml:space="preserve"> </w:t>
      </w:r>
      <w:r w:rsidR="00C85D99">
        <w:rPr>
          <w:szCs w:val="16"/>
        </w:rPr>
        <w:t xml:space="preserve">More detail on the types of activities that may be considered ‘scholarship’ is provided in Section 2.2 of these guidelines. </w:t>
      </w:r>
    </w:p>
  </w:footnote>
  <w:footnote w:id="29">
    <w:p w14:paraId="48ADCD33" w14:textId="0DD4AC01" w:rsidR="0050466B" w:rsidRDefault="0050466B">
      <w:pPr>
        <w:pStyle w:val="FootnoteText"/>
      </w:pPr>
      <w:r>
        <w:rPr>
          <w:rStyle w:val="FootnoteReference"/>
        </w:rPr>
        <w:footnoteRef/>
      </w:r>
      <w:r>
        <w:t xml:space="preserve"> </w:t>
      </w:r>
      <w:r w:rsidR="00516190" w:rsidRPr="00516190">
        <w:t>Students who are enrolled in study abroad programs (where a formal agreement does not exist between institutions) are out of scope for this exercise.</w:t>
      </w:r>
    </w:p>
  </w:footnote>
  <w:footnote w:id="30">
    <w:p w14:paraId="6F56E284" w14:textId="77777777" w:rsidR="00FF3D3E" w:rsidRDefault="00FF3D3E" w:rsidP="00035C39">
      <w:pPr>
        <w:pStyle w:val="FootnoteText"/>
      </w:pPr>
      <w:r>
        <w:rPr>
          <w:rStyle w:val="FootnoteReference"/>
        </w:rPr>
        <w:footnoteRef/>
      </w:r>
      <w:r>
        <w:t xml:space="preserve"> Including termination payments.</w:t>
      </w:r>
    </w:p>
  </w:footnote>
  <w:footnote w:id="31">
    <w:p w14:paraId="733CC887" w14:textId="77777777" w:rsidR="00FF3D3E" w:rsidRDefault="00FF3D3E" w:rsidP="00035C39">
      <w:pPr>
        <w:pStyle w:val="FootnoteText"/>
      </w:pPr>
      <w:r>
        <w:rPr>
          <w:rStyle w:val="FootnoteReference"/>
        </w:rPr>
        <w:footnoteRef/>
      </w:r>
      <w:r>
        <w:t xml:space="preserve"> In cases where it is difficult to separately identify the cost of placements these can be appropriately recorded in other rows of the Transparent Costing Worksheet. For example under other non staff expenses, or, in the case of payroll costs for staff involved in supervising placements these costs can be included under staff costs. </w:t>
      </w:r>
    </w:p>
  </w:footnote>
  <w:footnote w:id="32">
    <w:p w14:paraId="7BEDC5DB" w14:textId="52AF0A31" w:rsidR="00FF3D3E" w:rsidRDefault="00FF3D3E" w:rsidP="00035C39">
      <w:pPr>
        <w:pStyle w:val="FootnoteText"/>
      </w:pPr>
      <w:r>
        <w:rPr>
          <w:rStyle w:val="FootnoteReference"/>
        </w:rPr>
        <w:footnoteRef/>
      </w:r>
      <w:r w:rsidR="00AC4AD9">
        <w:t xml:space="preserve"> </w:t>
      </w:r>
      <w:r w:rsidR="00870C3E" w:rsidRPr="00870C3E">
        <w:t>Since the focus is on the teaching costs that a university would otherwise have incurred, whether or not the partner makes a margin on delivery of its teaching services is not a relevant consideration in completing the Transparent Costing Worksheet.</w:t>
      </w:r>
    </w:p>
  </w:footnote>
  <w:footnote w:id="33">
    <w:p w14:paraId="5FC84E35" w14:textId="2870E2BB" w:rsidR="00416D6B" w:rsidRDefault="00416D6B">
      <w:pPr>
        <w:pStyle w:val="FootnoteText"/>
      </w:pPr>
      <w:r>
        <w:rPr>
          <w:rStyle w:val="FootnoteReference"/>
        </w:rPr>
        <w:footnoteRef/>
      </w:r>
      <w:r>
        <w:t xml:space="preserve"> </w:t>
      </w:r>
      <w:r w:rsidR="00604ABC" w:rsidRPr="00604ABC">
        <w:t>2019 expenses data is based on the expense data supplied by the Department of Education, Skills and Employment in May 2021. Subsequent revisions to 2019 expenses (e.g. in 2020 financial reports) may not be reflected in these figures.</w:t>
      </w:r>
    </w:p>
  </w:footnote>
  <w:footnote w:id="34">
    <w:p w14:paraId="48A54D0D" w14:textId="265325D8" w:rsidR="00416D6B" w:rsidRDefault="00416D6B">
      <w:pPr>
        <w:pStyle w:val="FootnoteText"/>
      </w:pPr>
      <w:r>
        <w:rPr>
          <w:rStyle w:val="FootnoteReference"/>
        </w:rPr>
        <w:footnoteRef/>
      </w:r>
      <w:r>
        <w:t xml:space="preserve"> </w:t>
      </w:r>
      <w:r w:rsidR="00604ABC" w:rsidRPr="00604ABC">
        <w:t>For the 2021 data collection exercise, 2020 financial data will not be available for all universities at the start of the data collection process. To avoid delay, Deloitte Access Economics will send a version of the Transparent Costing Worksheet without pre-filled financial data in the first instance. A version of the Transparent Costing Worksheet with this data pre-populated will be sent to universities once it is available from the Department.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15B6D" w14:textId="77777777" w:rsidR="00F05F8E" w:rsidRDefault="00F05F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190C" w14:textId="659885FA" w:rsidR="00FF3D3E" w:rsidRDefault="0097427B" w:rsidP="00474643">
    <w:pPr>
      <w:pStyle w:val="Header"/>
    </w:pPr>
    <w:r>
      <w:t>Transparency in Higher Education Expenditure</w:t>
    </w:r>
  </w:p>
  <w:p w14:paraId="26C5B881" w14:textId="1CCEA324" w:rsidR="00FF3D3E" w:rsidRPr="00474643" w:rsidRDefault="00FF3D3E" w:rsidP="00474643">
    <w:pPr>
      <w:pStyle w:val="Header"/>
    </w:pPr>
    <w:r>
      <w:rPr>
        <w:noProof/>
        <w:lang w:eastAsia="en-AU"/>
      </w:rPr>
      <w:drawing>
        <wp:anchor distT="0" distB="0" distL="0" distR="0" simplePos="0" relativeHeight="251658250" behindDoc="1" locked="0" layoutInCell="1" allowOverlap="1" wp14:anchorId="4444C441" wp14:editId="5522A0DF">
          <wp:simplePos x="0" y="0"/>
          <wp:positionH relativeFrom="page">
            <wp:posOffset>3600000</wp:posOffset>
          </wp:positionH>
          <wp:positionV relativeFrom="page">
            <wp:posOffset>10188000</wp:posOffset>
          </wp:positionV>
          <wp:extent cx="5553450" cy="154800"/>
          <wp:effectExtent l="0" t="0" r="0" b="0"/>
          <wp:wrapNone/>
          <wp:docPr id="10" name="Confidential_Hid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Confidential_Hide">
                    <a:extLst>
                      <a:ext uri="{C183D7F6-B498-43B3-948B-1728B52AA6E4}">
                        <adec:decorative xmlns:adec="http://schemas.microsoft.com/office/drawing/2017/decorative" val="1"/>
                      </a:ext>
                    </a:extLst>
                  </pic:cNvPr>
                  <pic:cNvPicPr/>
                </pic:nvPicPr>
                <pic:blipFill>
                  <a:blip r:embed="rId1"/>
                  <a:srcRect/>
                  <a:stretch/>
                </pic:blipFill>
                <pic:spPr>
                  <a:xfrm>
                    <a:off x="0" y="0"/>
                    <a:ext cx="5553450" cy="154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EACF" w14:textId="77777777" w:rsidR="00F05F8E" w:rsidRDefault="00F05F8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8F46F" w14:textId="12DEECCA" w:rsidR="00FF3D3E" w:rsidRPr="000116B0" w:rsidRDefault="0097427B" w:rsidP="00474643">
    <w:pPr>
      <w:pStyle w:val="Header"/>
    </w:pPr>
    <w:r>
      <w:t>Transparency in Higher Education Expenditure</w:t>
    </w:r>
  </w:p>
  <w:p w14:paraId="7B0616A5" w14:textId="77777777" w:rsidR="00FF3D3E" w:rsidRDefault="00FF3D3E" w:rsidP="00474643">
    <w:pPr>
      <w:pStyle w:val="Header"/>
    </w:pPr>
  </w:p>
  <w:p w14:paraId="339FAD5B" w14:textId="057DE253" w:rsidR="00FF3D3E" w:rsidRPr="000116B0" w:rsidRDefault="00FF3D3E" w:rsidP="001238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1814" w14:textId="52507F71" w:rsidR="00FF3D3E" w:rsidRDefault="0097427B" w:rsidP="00E33B5F">
    <w:pPr>
      <w:pStyle w:val="Header"/>
    </w:pPr>
    <w:r>
      <w:t>Transparency in Higher Education Expenditure</w:t>
    </w:r>
  </w:p>
  <w:p w14:paraId="04E2AC9B" w14:textId="77777777" w:rsidR="00FF3D3E" w:rsidRDefault="00FF3D3E" w:rsidP="00E33B5F">
    <w:pPr>
      <w:pStyle w:val="Header"/>
    </w:pPr>
  </w:p>
  <w:p w14:paraId="07047B06" w14:textId="41442FED" w:rsidR="00FF3D3E" w:rsidRPr="00E33B5F" w:rsidRDefault="00FF3D3E" w:rsidP="008106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09AB" w14:textId="2F9367EB" w:rsidR="00FF3D3E" w:rsidRPr="000116B0" w:rsidRDefault="0097427B" w:rsidP="00E33B5F">
    <w:pPr>
      <w:pStyle w:val="Header"/>
    </w:pPr>
    <w:r>
      <w:t>Transparency in Higher Education Expenditure</w:t>
    </w:r>
  </w:p>
  <w:p w14:paraId="159F9CA5" w14:textId="77777777" w:rsidR="00FF3D3E" w:rsidRDefault="00FF3D3E" w:rsidP="00E33B5F">
    <w:pPr>
      <w:pStyle w:val="Header"/>
    </w:pPr>
  </w:p>
  <w:p w14:paraId="27493046" w14:textId="09655F50" w:rsidR="00FF3D3E" w:rsidRPr="00E33B5F" w:rsidRDefault="00FF3D3E" w:rsidP="00E33B5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62E2" w14:textId="20D8A355" w:rsidR="00FF3D3E" w:rsidRPr="000116B0" w:rsidRDefault="0097427B" w:rsidP="00E33B5F">
    <w:pPr>
      <w:pStyle w:val="Header"/>
    </w:pPr>
    <w:r>
      <w:t>Transparency in Higher Education Expenditure</w:t>
    </w:r>
  </w:p>
  <w:p w14:paraId="67F72D99" w14:textId="77777777" w:rsidR="00FF3D3E" w:rsidRDefault="00FF3D3E" w:rsidP="00E33B5F">
    <w:pPr>
      <w:pStyle w:val="Header"/>
    </w:pPr>
    <w:r>
      <w:rPr>
        <w:noProof/>
        <w:lang w:eastAsia="en-AU"/>
      </w:rPr>
      <mc:AlternateContent>
        <mc:Choice Requires="wps">
          <w:drawing>
            <wp:anchor distT="0" distB="0" distL="0" distR="0" simplePos="0" relativeHeight="251662336" behindDoc="1" locked="1" layoutInCell="1" allowOverlap="1" wp14:anchorId="621BA3A5" wp14:editId="1B09FC74">
              <wp:simplePos x="0" y="0"/>
              <wp:positionH relativeFrom="page">
                <wp:posOffset>0</wp:posOffset>
              </wp:positionH>
              <wp:positionV relativeFrom="page">
                <wp:posOffset>0</wp:posOffset>
              </wp:positionV>
              <wp:extent cx="2880000" cy="770400"/>
              <wp:effectExtent l="0" t="0" r="0" b="10795"/>
              <wp:wrapNone/>
              <wp:docPr id="4" name="Commercial-in-confidence_Hid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8BC762" w14:textId="77777777" w:rsidR="00FF3D3E" w:rsidRDefault="00FF3D3E" w:rsidP="00E33B5F">
                          <w:pPr>
                            <w:pStyle w:val="Footer"/>
                          </w:pPr>
                        </w:p>
                      </w:txbxContent>
                    </wps:txbx>
                    <wps:bodyPr rot="0" spcFirstLastPara="0" vertOverflow="overflow" horzOverflow="overflow" vert="horz" wrap="square" lIns="43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BA3A5" id="_x0000_t202" coordsize="21600,21600" o:spt="202" path="m,l,21600r21600,l21600,xe">
              <v:stroke joinstyle="miter"/>
              <v:path gradientshapeok="t" o:connecttype="rect"/>
            </v:shapetype>
            <v:shape id="Commercial-in-confidence_Hide" o:spid="_x0000_s1072" type="#_x0000_t202" alt="&quot;&quot;" style="position:absolute;margin-left:0;margin-top:0;width:226.75pt;height:60.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" filled="f" stroked="f" strokeweight=".5pt">
              <v:textbox inset="12mm,0,0,0">
                <w:txbxContent>
                  <w:p w14:paraId="008BC762" w14:textId="77777777" w:rsidR="00FF3D3E" w:rsidRDefault="00FF3D3E" w:rsidP="00E33B5F">
                    <w:pPr>
                      <w:pStyle w:val="Footer"/>
                    </w:pPr>
                  </w:p>
                </w:txbxContent>
              </v:textbox>
              <w10:wrap anchorx="page" anchory="page"/>
              <w10:anchorlock/>
            </v:shape>
          </w:pict>
        </mc:Fallback>
      </mc:AlternateContent>
    </w:r>
  </w:p>
  <w:p w14:paraId="109D3AF4" w14:textId="7CA27369" w:rsidR="00FF3D3E" w:rsidRPr="00E33B5F" w:rsidRDefault="00FF3D3E" w:rsidP="00E33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2EA78F0"/>
    <w:multiLevelType w:val="hybridMultilevel"/>
    <w:tmpl w:val="C97E8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3D36C25"/>
    <w:multiLevelType w:val="hybridMultilevel"/>
    <w:tmpl w:val="17FC8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6F51D7E"/>
    <w:multiLevelType w:val="hybridMultilevel"/>
    <w:tmpl w:val="574A1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384029"/>
    <w:multiLevelType w:val="multilevel"/>
    <w:tmpl w:val="6A5007B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9" w15:restartNumberingAfterBreak="0">
    <w:nsid w:val="1579747A"/>
    <w:multiLevelType w:val="multilevel"/>
    <w:tmpl w:val="20085C34"/>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425"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0" w15:restartNumberingAfterBreak="0">
    <w:nsid w:val="15C2573E"/>
    <w:multiLevelType w:val="hybridMultilevel"/>
    <w:tmpl w:val="380474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12" w15:restartNumberingAfterBreak="0">
    <w:nsid w:val="21EB731B"/>
    <w:multiLevelType w:val="multilevel"/>
    <w:tmpl w:val="69160DEE"/>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13" w15:restartNumberingAfterBreak="0">
    <w:nsid w:val="282F44F2"/>
    <w:multiLevelType w:val="multilevel"/>
    <w:tmpl w:val="1124F36E"/>
    <w:lvl w:ilvl="0">
      <w:start w:val="1"/>
      <w:numFmt w:val="decimal"/>
      <w:lvlText w:val="%1."/>
      <w:lvlJc w:val="left"/>
      <w:pPr>
        <w:ind w:left="340" w:hanging="340"/>
      </w:pPr>
      <w:rPr>
        <w:rFonts w:hint="default"/>
        <w:sz w:val="14"/>
        <w:szCs w:val="14"/>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4"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15" w15:restartNumberingAfterBreak="0">
    <w:nsid w:val="3FAD01D2"/>
    <w:multiLevelType w:val="multilevel"/>
    <w:tmpl w:val="4874E29E"/>
    <w:lvl w:ilvl="0">
      <w:start w:val="4"/>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i w:val="0"/>
      </w:rPr>
    </w:lvl>
    <w:lvl w:ilvl="8">
      <w:start w:val="1"/>
      <w:numFmt w:val="decimal"/>
      <w:lvlRestart w:val="1"/>
      <w:pStyle w:val="CaptionFigure"/>
      <w:suff w:val="nothing"/>
      <w:lvlText w:val="Figure %1.%9"/>
      <w:lvlJc w:val="left"/>
      <w:pPr>
        <w:ind w:left="0" w:firstLine="0"/>
      </w:pPr>
      <w:rPr>
        <w:rFonts w:hint="default"/>
      </w:rPr>
    </w:lvl>
  </w:abstractNum>
  <w:abstractNum w:abstractNumId="16" w15:restartNumberingAfterBreak="0">
    <w:nsid w:val="451578A7"/>
    <w:multiLevelType w:val="multilevel"/>
    <w:tmpl w:val="1356211C"/>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17"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DDE7DD9"/>
    <w:multiLevelType w:val="hybridMultilevel"/>
    <w:tmpl w:val="67663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5A7F53"/>
    <w:multiLevelType w:val="hybridMultilevel"/>
    <w:tmpl w:val="42D0BB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7E93B43"/>
    <w:multiLevelType w:val="hybridMultilevel"/>
    <w:tmpl w:val="D5D85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24"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25" w15:restartNumberingAfterBreak="0">
    <w:nsid w:val="63197B6B"/>
    <w:multiLevelType w:val="multilevel"/>
    <w:tmpl w:val="69160DEE"/>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26" w15:restartNumberingAfterBreak="0">
    <w:nsid w:val="674060CF"/>
    <w:multiLevelType w:val="hybridMultilevel"/>
    <w:tmpl w:val="B68A76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DA4DFE"/>
    <w:multiLevelType w:val="multilevel"/>
    <w:tmpl w:val="849AA96A"/>
    <w:lvl w:ilvl="0">
      <w:start w:val="1"/>
      <w:numFmt w:val="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28" w15:restartNumberingAfterBreak="0">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4D434EE"/>
    <w:multiLevelType w:val="hybridMultilevel"/>
    <w:tmpl w:val="1954FE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ED4E11"/>
    <w:multiLevelType w:val="hybridMultilevel"/>
    <w:tmpl w:val="2924B942"/>
    <w:lvl w:ilvl="0" w:tplc="77A6C13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FDA1353"/>
    <w:multiLevelType w:val="hybridMultilevel"/>
    <w:tmpl w:val="1954FE7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
  </w:num>
  <w:num w:numId="4">
    <w:abstractNumId w:val="2"/>
  </w:num>
  <w:num w:numId="5">
    <w:abstractNumId w:val="1"/>
  </w:num>
  <w:num w:numId="6">
    <w:abstractNumId w:val="0"/>
  </w:num>
  <w:num w:numId="7">
    <w:abstractNumId w:val="18"/>
  </w:num>
  <w:num w:numId="8">
    <w:abstractNumId w:val="17"/>
  </w:num>
  <w:num w:numId="9">
    <w:abstractNumId w:val="23"/>
  </w:num>
  <w:num w:numId="10">
    <w:abstractNumId w:val="9"/>
  </w:num>
  <w:num w:numId="11">
    <w:abstractNumId w:val="4"/>
  </w:num>
  <w:num w:numId="12">
    <w:abstractNumId w:val="16"/>
  </w:num>
  <w:num w:numId="13">
    <w:abstractNumId w:val="24"/>
  </w:num>
  <w:num w:numId="14">
    <w:abstractNumId w:val="11"/>
  </w:num>
  <w:num w:numId="15">
    <w:abstractNumId w:val="13"/>
  </w:num>
  <w:num w:numId="16">
    <w:abstractNumId w:val="28"/>
  </w:num>
  <w:num w:numId="17">
    <w:abstractNumId w:val="22"/>
  </w:num>
  <w:num w:numId="18">
    <w:abstractNumId w:val="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6"/>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6"/>
  </w:num>
  <w:num w:numId="26">
    <w:abstractNumId w:val="7"/>
  </w:num>
  <w:num w:numId="27">
    <w:abstractNumId w:val="8"/>
  </w:num>
  <w:num w:numId="28">
    <w:abstractNumId w:val="29"/>
  </w:num>
  <w:num w:numId="29">
    <w:abstractNumId w:val="21"/>
  </w:num>
  <w:num w:numId="30">
    <w:abstractNumId w:val="20"/>
  </w:num>
  <w:num w:numId="31">
    <w:abstractNumId w:val="10"/>
  </w:num>
  <w:num w:numId="32">
    <w:abstractNumId w:val="25"/>
  </w:num>
  <w:num w:numId="33">
    <w:abstractNumId w:val="15"/>
  </w:num>
  <w:num w:numId="34">
    <w:abstractNumId w:val="27"/>
  </w:num>
  <w:num w:numId="35">
    <w:abstractNumId w:val="12"/>
  </w:num>
  <w:num w:numId="36">
    <w:abstractNumId w:val="16"/>
  </w:num>
  <w:num w:numId="37">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removePersonalInformation/>
  <w:removeDateAndTime/>
  <w:activeWritingStyle w:appName="MSWord" w:lang="en-AU" w:vendorID="64" w:dllVersion="0" w:nlCheck="1" w:checkStyle="0"/>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0AB"/>
    <w:rsid w:val="0000031E"/>
    <w:rsid w:val="0000032C"/>
    <w:rsid w:val="000005FE"/>
    <w:rsid w:val="00000694"/>
    <w:rsid w:val="000007DD"/>
    <w:rsid w:val="00000AF7"/>
    <w:rsid w:val="00000F3F"/>
    <w:rsid w:val="0000107E"/>
    <w:rsid w:val="00001335"/>
    <w:rsid w:val="0000245D"/>
    <w:rsid w:val="0000256B"/>
    <w:rsid w:val="00002F3D"/>
    <w:rsid w:val="00002F86"/>
    <w:rsid w:val="00003E4E"/>
    <w:rsid w:val="00003E97"/>
    <w:rsid w:val="0000411C"/>
    <w:rsid w:val="0000441A"/>
    <w:rsid w:val="0000460F"/>
    <w:rsid w:val="00004730"/>
    <w:rsid w:val="0000491D"/>
    <w:rsid w:val="00004B63"/>
    <w:rsid w:val="00004E0B"/>
    <w:rsid w:val="00004E4B"/>
    <w:rsid w:val="000050E1"/>
    <w:rsid w:val="000054FF"/>
    <w:rsid w:val="000057A0"/>
    <w:rsid w:val="0000580B"/>
    <w:rsid w:val="00005989"/>
    <w:rsid w:val="000059A7"/>
    <w:rsid w:val="00005D4E"/>
    <w:rsid w:val="00005E6C"/>
    <w:rsid w:val="00005F21"/>
    <w:rsid w:val="000063C9"/>
    <w:rsid w:val="000068CD"/>
    <w:rsid w:val="00006DFB"/>
    <w:rsid w:val="00006E20"/>
    <w:rsid w:val="00007073"/>
    <w:rsid w:val="0000715B"/>
    <w:rsid w:val="0000725D"/>
    <w:rsid w:val="00007399"/>
    <w:rsid w:val="00007CD0"/>
    <w:rsid w:val="00010B40"/>
    <w:rsid w:val="00011286"/>
    <w:rsid w:val="000116B0"/>
    <w:rsid w:val="00011825"/>
    <w:rsid w:val="000119A5"/>
    <w:rsid w:val="00011C36"/>
    <w:rsid w:val="00011CDB"/>
    <w:rsid w:val="00011EE0"/>
    <w:rsid w:val="00012069"/>
    <w:rsid w:val="00012696"/>
    <w:rsid w:val="0001274F"/>
    <w:rsid w:val="00012B2F"/>
    <w:rsid w:val="00012DF5"/>
    <w:rsid w:val="0001307D"/>
    <w:rsid w:val="000130BA"/>
    <w:rsid w:val="000131A3"/>
    <w:rsid w:val="0001329A"/>
    <w:rsid w:val="00013641"/>
    <w:rsid w:val="00013800"/>
    <w:rsid w:val="00013911"/>
    <w:rsid w:val="00013DA5"/>
    <w:rsid w:val="00013FB1"/>
    <w:rsid w:val="0001439F"/>
    <w:rsid w:val="00014B89"/>
    <w:rsid w:val="00014F28"/>
    <w:rsid w:val="00015277"/>
    <w:rsid w:val="0001556B"/>
    <w:rsid w:val="00015F96"/>
    <w:rsid w:val="000162ED"/>
    <w:rsid w:val="0001648A"/>
    <w:rsid w:val="00016797"/>
    <w:rsid w:val="0001685A"/>
    <w:rsid w:val="000173B3"/>
    <w:rsid w:val="0001763A"/>
    <w:rsid w:val="00017A02"/>
    <w:rsid w:val="00017A40"/>
    <w:rsid w:val="00017F6E"/>
    <w:rsid w:val="00020297"/>
    <w:rsid w:val="000205EE"/>
    <w:rsid w:val="0002098D"/>
    <w:rsid w:val="00020D44"/>
    <w:rsid w:val="00020ED6"/>
    <w:rsid w:val="00021115"/>
    <w:rsid w:val="00021271"/>
    <w:rsid w:val="0002179C"/>
    <w:rsid w:val="0002195A"/>
    <w:rsid w:val="00021A39"/>
    <w:rsid w:val="00021DEF"/>
    <w:rsid w:val="00021EAB"/>
    <w:rsid w:val="000220A6"/>
    <w:rsid w:val="000220EC"/>
    <w:rsid w:val="0002223B"/>
    <w:rsid w:val="000222E6"/>
    <w:rsid w:val="000223D9"/>
    <w:rsid w:val="00022491"/>
    <w:rsid w:val="000226D9"/>
    <w:rsid w:val="00022716"/>
    <w:rsid w:val="0002281D"/>
    <w:rsid w:val="00023109"/>
    <w:rsid w:val="00023286"/>
    <w:rsid w:val="00023753"/>
    <w:rsid w:val="00023878"/>
    <w:rsid w:val="00023A6B"/>
    <w:rsid w:val="00023CFD"/>
    <w:rsid w:val="00023F83"/>
    <w:rsid w:val="000242EE"/>
    <w:rsid w:val="00024423"/>
    <w:rsid w:val="00024427"/>
    <w:rsid w:val="00024439"/>
    <w:rsid w:val="00024516"/>
    <w:rsid w:val="00024983"/>
    <w:rsid w:val="00024B7D"/>
    <w:rsid w:val="00024F0C"/>
    <w:rsid w:val="000250A4"/>
    <w:rsid w:val="000254E5"/>
    <w:rsid w:val="00025AB6"/>
    <w:rsid w:val="00025C44"/>
    <w:rsid w:val="00025C5D"/>
    <w:rsid w:val="00025E5E"/>
    <w:rsid w:val="00025E79"/>
    <w:rsid w:val="00025E7D"/>
    <w:rsid w:val="00025F30"/>
    <w:rsid w:val="000264EA"/>
    <w:rsid w:val="000265BA"/>
    <w:rsid w:val="00026627"/>
    <w:rsid w:val="0002675B"/>
    <w:rsid w:val="000267C8"/>
    <w:rsid w:val="00026972"/>
    <w:rsid w:val="00026E37"/>
    <w:rsid w:val="0002701A"/>
    <w:rsid w:val="00027481"/>
    <w:rsid w:val="000276D9"/>
    <w:rsid w:val="00027876"/>
    <w:rsid w:val="000278EE"/>
    <w:rsid w:val="00027B7C"/>
    <w:rsid w:val="00027D0C"/>
    <w:rsid w:val="0003015A"/>
    <w:rsid w:val="00030431"/>
    <w:rsid w:val="000304B7"/>
    <w:rsid w:val="000304F0"/>
    <w:rsid w:val="00030723"/>
    <w:rsid w:val="00030829"/>
    <w:rsid w:val="00030AE2"/>
    <w:rsid w:val="00030E1A"/>
    <w:rsid w:val="00030F97"/>
    <w:rsid w:val="00031C78"/>
    <w:rsid w:val="00031D29"/>
    <w:rsid w:val="00031DAF"/>
    <w:rsid w:val="00031F08"/>
    <w:rsid w:val="00032573"/>
    <w:rsid w:val="00032574"/>
    <w:rsid w:val="000325CF"/>
    <w:rsid w:val="000329C1"/>
    <w:rsid w:val="00032FDD"/>
    <w:rsid w:val="00033386"/>
    <w:rsid w:val="00033B37"/>
    <w:rsid w:val="00033CB3"/>
    <w:rsid w:val="00033CDE"/>
    <w:rsid w:val="000342C4"/>
    <w:rsid w:val="00034457"/>
    <w:rsid w:val="000346B3"/>
    <w:rsid w:val="00034BDA"/>
    <w:rsid w:val="00034C77"/>
    <w:rsid w:val="00034E11"/>
    <w:rsid w:val="000353FE"/>
    <w:rsid w:val="000354B1"/>
    <w:rsid w:val="00035B92"/>
    <w:rsid w:val="00035C39"/>
    <w:rsid w:val="00035DBA"/>
    <w:rsid w:val="00036005"/>
    <w:rsid w:val="000361E6"/>
    <w:rsid w:val="000362D0"/>
    <w:rsid w:val="0003632B"/>
    <w:rsid w:val="000363B8"/>
    <w:rsid w:val="00036736"/>
    <w:rsid w:val="000367CD"/>
    <w:rsid w:val="000367FB"/>
    <w:rsid w:val="000369DF"/>
    <w:rsid w:val="00037479"/>
    <w:rsid w:val="00037498"/>
    <w:rsid w:val="00037655"/>
    <w:rsid w:val="000377AD"/>
    <w:rsid w:val="00037A44"/>
    <w:rsid w:val="00037BD9"/>
    <w:rsid w:val="00037C17"/>
    <w:rsid w:val="00037FFE"/>
    <w:rsid w:val="000400A8"/>
    <w:rsid w:val="00040457"/>
    <w:rsid w:val="00040A8B"/>
    <w:rsid w:val="000410D3"/>
    <w:rsid w:val="00041292"/>
    <w:rsid w:val="000414AF"/>
    <w:rsid w:val="00041831"/>
    <w:rsid w:val="00041BE0"/>
    <w:rsid w:val="00041DAB"/>
    <w:rsid w:val="00041DB4"/>
    <w:rsid w:val="00041F9F"/>
    <w:rsid w:val="0004215E"/>
    <w:rsid w:val="000423FB"/>
    <w:rsid w:val="00042653"/>
    <w:rsid w:val="000429AC"/>
    <w:rsid w:val="00042A85"/>
    <w:rsid w:val="00042B6A"/>
    <w:rsid w:val="00042B99"/>
    <w:rsid w:val="00042BCC"/>
    <w:rsid w:val="00043061"/>
    <w:rsid w:val="00043258"/>
    <w:rsid w:val="000432D5"/>
    <w:rsid w:val="000432E6"/>
    <w:rsid w:val="0004331C"/>
    <w:rsid w:val="00043457"/>
    <w:rsid w:val="00044173"/>
    <w:rsid w:val="0004420F"/>
    <w:rsid w:val="00044388"/>
    <w:rsid w:val="00044826"/>
    <w:rsid w:val="00044B9E"/>
    <w:rsid w:val="00044CDA"/>
    <w:rsid w:val="00045A8B"/>
    <w:rsid w:val="00045A8D"/>
    <w:rsid w:val="00045ECD"/>
    <w:rsid w:val="00046245"/>
    <w:rsid w:val="00046547"/>
    <w:rsid w:val="00046807"/>
    <w:rsid w:val="00046A42"/>
    <w:rsid w:val="00046B0B"/>
    <w:rsid w:val="00046CF4"/>
    <w:rsid w:val="00046E13"/>
    <w:rsid w:val="0004710B"/>
    <w:rsid w:val="0004713C"/>
    <w:rsid w:val="0004757B"/>
    <w:rsid w:val="00047653"/>
    <w:rsid w:val="00047B2C"/>
    <w:rsid w:val="00047E9F"/>
    <w:rsid w:val="000500B1"/>
    <w:rsid w:val="00050206"/>
    <w:rsid w:val="00050284"/>
    <w:rsid w:val="000506E6"/>
    <w:rsid w:val="00050732"/>
    <w:rsid w:val="00050B46"/>
    <w:rsid w:val="00050D99"/>
    <w:rsid w:val="00051063"/>
    <w:rsid w:val="00051086"/>
    <w:rsid w:val="00051339"/>
    <w:rsid w:val="000514FE"/>
    <w:rsid w:val="000516C4"/>
    <w:rsid w:val="00051794"/>
    <w:rsid w:val="000517C0"/>
    <w:rsid w:val="00051847"/>
    <w:rsid w:val="00051950"/>
    <w:rsid w:val="00051D43"/>
    <w:rsid w:val="000525D5"/>
    <w:rsid w:val="00052691"/>
    <w:rsid w:val="000529C1"/>
    <w:rsid w:val="00053166"/>
    <w:rsid w:val="000537E1"/>
    <w:rsid w:val="00053BA3"/>
    <w:rsid w:val="00053F39"/>
    <w:rsid w:val="00053F74"/>
    <w:rsid w:val="0005408F"/>
    <w:rsid w:val="00054414"/>
    <w:rsid w:val="00054915"/>
    <w:rsid w:val="00054BE0"/>
    <w:rsid w:val="00054EE3"/>
    <w:rsid w:val="0005536E"/>
    <w:rsid w:val="00055E2B"/>
    <w:rsid w:val="00056077"/>
    <w:rsid w:val="000561C6"/>
    <w:rsid w:val="00056388"/>
    <w:rsid w:val="00056553"/>
    <w:rsid w:val="00056679"/>
    <w:rsid w:val="00056876"/>
    <w:rsid w:val="00056DC4"/>
    <w:rsid w:val="00056EA0"/>
    <w:rsid w:val="00057A38"/>
    <w:rsid w:val="00057A87"/>
    <w:rsid w:val="00057C98"/>
    <w:rsid w:val="000601EF"/>
    <w:rsid w:val="00060842"/>
    <w:rsid w:val="00060B24"/>
    <w:rsid w:val="0006112E"/>
    <w:rsid w:val="00061FA6"/>
    <w:rsid w:val="000622B4"/>
    <w:rsid w:val="0006247B"/>
    <w:rsid w:val="000625D3"/>
    <w:rsid w:val="000627A1"/>
    <w:rsid w:val="00062AF6"/>
    <w:rsid w:val="00062B2B"/>
    <w:rsid w:val="00062FD5"/>
    <w:rsid w:val="000634B6"/>
    <w:rsid w:val="00063502"/>
    <w:rsid w:val="000637A6"/>
    <w:rsid w:val="000639B9"/>
    <w:rsid w:val="00063D80"/>
    <w:rsid w:val="00063D83"/>
    <w:rsid w:val="00063F29"/>
    <w:rsid w:val="000649A3"/>
    <w:rsid w:val="00064C29"/>
    <w:rsid w:val="00064F2C"/>
    <w:rsid w:val="00064F52"/>
    <w:rsid w:val="000650D5"/>
    <w:rsid w:val="00065955"/>
    <w:rsid w:val="000659FD"/>
    <w:rsid w:val="00065D26"/>
    <w:rsid w:val="00065F58"/>
    <w:rsid w:val="000661CC"/>
    <w:rsid w:val="00066246"/>
    <w:rsid w:val="000667AF"/>
    <w:rsid w:val="0006698C"/>
    <w:rsid w:val="00066BBA"/>
    <w:rsid w:val="00066BE3"/>
    <w:rsid w:val="00066EFD"/>
    <w:rsid w:val="00067152"/>
    <w:rsid w:val="00067510"/>
    <w:rsid w:val="000676B4"/>
    <w:rsid w:val="000678F5"/>
    <w:rsid w:val="00067BD8"/>
    <w:rsid w:val="00067DB9"/>
    <w:rsid w:val="00067EC5"/>
    <w:rsid w:val="00067F4A"/>
    <w:rsid w:val="00070055"/>
    <w:rsid w:val="00070101"/>
    <w:rsid w:val="00070775"/>
    <w:rsid w:val="000709BF"/>
    <w:rsid w:val="00070C6A"/>
    <w:rsid w:val="00070DC5"/>
    <w:rsid w:val="00070FDC"/>
    <w:rsid w:val="00071177"/>
    <w:rsid w:val="00071509"/>
    <w:rsid w:val="000718ED"/>
    <w:rsid w:val="00071CB6"/>
    <w:rsid w:val="0007200B"/>
    <w:rsid w:val="0007210F"/>
    <w:rsid w:val="00072A02"/>
    <w:rsid w:val="00072AD2"/>
    <w:rsid w:val="00072CB6"/>
    <w:rsid w:val="00072DC1"/>
    <w:rsid w:val="00072EF7"/>
    <w:rsid w:val="000738BE"/>
    <w:rsid w:val="00073B21"/>
    <w:rsid w:val="00073FAB"/>
    <w:rsid w:val="0007415D"/>
    <w:rsid w:val="0007455A"/>
    <w:rsid w:val="00074AB9"/>
    <w:rsid w:val="00075344"/>
    <w:rsid w:val="00075456"/>
    <w:rsid w:val="0007587C"/>
    <w:rsid w:val="000759D5"/>
    <w:rsid w:val="00075A65"/>
    <w:rsid w:val="0007626C"/>
    <w:rsid w:val="00076294"/>
    <w:rsid w:val="00076B43"/>
    <w:rsid w:val="00076BC8"/>
    <w:rsid w:val="00076EFB"/>
    <w:rsid w:val="00076FC6"/>
    <w:rsid w:val="000777AD"/>
    <w:rsid w:val="00077914"/>
    <w:rsid w:val="00077AB4"/>
    <w:rsid w:val="00077B94"/>
    <w:rsid w:val="000800B2"/>
    <w:rsid w:val="000803CF"/>
    <w:rsid w:val="000804EF"/>
    <w:rsid w:val="000811A9"/>
    <w:rsid w:val="00081425"/>
    <w:rsid w:val="00081883"/>
    <w:rsid w:val="00081952"/>
    <w:rsid w:val="000819E6"/>
    <w:rsid w:val="00081F45"/>
    <w:rsid w:val="00081F79"/>
    <w:rsid w:val="00082623"/>
    <w:rsid w:val="00082D38"/>
    <w:rsid w:val="00082DC5"/>
    <w:rsid w:val="00082FA8"/>
    <w:rsid w:val="00083337"/>
    <w:rsid w:val="000838D1"/>
    <w:rsid w:val="00083DD5"/>
    <w:rsid w:val="00083FB5"/>
    <w:rsid w:val="00084890"/>
    <w:rsid w:val="000849F6"/>
    <w:rsid w:val="00084B33"/>
    <w:rsid w:val="00084F80"/>
    <w:rsid w:val="0008545E"/>
    <w:rsid w:val="000857ED"/>
    <w:rsid w:val="00085A8C"/>
    <w:rsid w:val="00085B02"/>
    <w:rsid w:val="0008610B"/>
    <w:rsid w:val="000866EC"/>
    <w:rsid w:val="000866F4"/>
    <w:rsid w:val="0008688C"/>
    <w:rsid w:val="000868A2"/>
    <w:rsid w:val="00086A21"/>
    <w:rsid w:val="00086E89"/>
    <w:rsid w:val="0008745B"/>
    <w:rsid w:val="0008752B"/>
    <w:rsid w:val="00087BA9"/>
    <w:rsid w:val="00087F61"/>
    <w:rsid w:val="00090774"/>
    <w:rsid w:val="000908E6"/>
    <w:rsid w:val="00090BCC"/>
    <w:rsid w:val="00090C2F"/>
    <w:rsid w:val="00090C5C"/>
    <w:rsid w:val="00090C62"/>
    <w:rsid w:val="00090F29"/>
    <w:rsid w:val="00091193"/>
    <w:rsid w:val="000915FF"/>
    <w:rsid w:val="00091747"/>
    <w:rsid w:val="000918B6"/>
    <w:rsid w:val="000918F8"/>
    <w:rsid w:val="00091EBC"/>
    <w:rsid w:val="00092341"/>
    <w:rsid w:val="0009241F"/>
    <w:rsid w:val="00092708"/>
    <w:rsid w:val="00092FCB"/>
    <w:rsid w:val="00093313"/>
    <w:rsid w:val="000933E0"/>
    <w:rsid w:val="000933E5"/>
    <w:rsid w:val="000934CD"/>
    <w:rsid w:val="000936E5"/>
    <w:rsid w:val="00093741"/>
    <w:rsid w:val="00093896"/>
    <w:rsid w:val="000938A3"/>
    <w:rsid w:val="000939AE"/>
    <w:rsid w:val="00093FA9"/>
    <w:rsid w:val="00094296"/>
    <w:rsid w:val="000943FD"/>
    <w:rsid w:val="00094404"/>
    <w:rsid w:val="00094EB1"/>
    <w:rsid w:val="00094FA8"/>
    <w:rsid w:val="000956FA"/>
    <w:rsid w:val="0009597B"/>
    <w:rsid w:val="000961D8"/>
    <w:rsid w:val="00096337"/>
    <w:rsid w:val="00096B09"/>
    <w:rsid w:val="00096F3F"/>
    <w:rsid w:val="000970EB"/>
    <w:rsid w:val="000976FD"/>
    <w:rsid w:val="000978C6"/>
    <w:rsid w:val="00097970"/>
    <w:rsid w:val="00097A5D"/>
    <w:rsid w:val="00097BA9"/>
    <w:rsid w:val="00097E72"/>
    <w:rsid w:val="000A02D8"/>
    <w:rsid w:val="000A0317"/>
    <w:rsid w:val="000A053C"/>
    <w:rsid w:val="000A05BF"/>
    <w:rsid w:val="000A080E"/>
    <w:rsid w:val="000A0AE9"/>
    <w:rsid w:val="000A0CEB"/>
    <w:rsid w:val="000A0F7B"/>
    <w:rsid w:val="000A0FC5"/>
    <w:rsid w:val="000A1037"/>
    <w:rsid w:val="000A1274"/>
    <w:rsid w:val="000A1C6F"/>
    <w:rsid w:val="000A1E41"/>
    <w:rsid w:val="000A230B"/>
    <w:rsid w:val="000A2CAD"/>
    <w:rsid w:val="000A2FE9"/>
    <w:rsid w:val="000A3036"/>
    <w:rsid w:val="000A323D"/>
    <w:rsid w:val="000A32A8"/>
    <w:rsid w:val="000A34BD"/>
    <w:rsid w:val="000A39A2"/>
    <w:rsid w:val="000A3CB6"/>
    <w:rsid w:val="000A3D96"/>
    <w:rsid w:val="000A3F50"/>
    <w:rsid w:val="000A420C"/>
    <w:rsid w:val="000A43A3"/>
    <w:rsid w:val="000A4553"/>
    <w:rsid w:val="000A4706"/>
    <w:rsid w:val="000A47B5"/>
    <w:rsid w:val="000A4845"/>
    <w:rsid w:val="000A496F"/>
    <w:rsid w:val="000A4BD8"/>
    <w:rsid w:val="000A4E8D"/>
    <w:rsid w:val="000A5662"/>
    <w:rsid w:val="000A57A0"/>
    <w:rsid w:val="000A5AAE"/>
    <w:rsid w:val="000A5B1C"/>
    <w:rsid w:val="000A5E1F"/>
    <w:rsid w:val="000A65CF"/>
    <w:rsid w:val="000A65FD"/>
    <w:rsid w:val="000A6647"/>
    <w:rsid w:val="000A6764"/>
    <w:rsid w:val="000A67AE"/>
    <w:rsid w:val="000A6BC9"/>
    <w:rsid w:val="000A6D7D"/>
    <w:rsid w:val="000A6EEA"/>
    <w:rsid w:val="000A70DD"/>
    <w:rsid w:val="000A71FE"/>
    <w:rsid w:val="000A7231"/>
    <w:rsid w:val="000A7B01"/>
    <w:rsid w:val="000A7B06"/>
    <w:rsid w:val="000A7F05"/>
    <w:rsid w:val="000B007F"/>
    <w:rsid w:val="000B03CB"/>
    <w:rsid w:val="000B0459"/>
    <w:rsid w:val="000B0E24"/>
    <w:rsid w:val="000B0FFC"/>
    <w:rsid w:val="000B136C"/>
    <w:rsid w:val="000B1412"/>
    <w:rsid w:val="000B1431"/>
    <w:rsid w:val="000B15A4"/>
    <w:rsid w:val="000B1779"/>
    <w:rsid w:val="000B1CD7"/>
    <w:rsid w:val="000B1D26"/>
    <w:rsid w:val="000B21DE"/>
    <w:rsid w:val="000B21FB"/>
    <w:rsid w:val="000B27F8"/>
    <w:rsid w:val="000B2E3C"/>
    <w:rsid w:val="000B32EB"/>
    <w:rsid w:val="000B3546"/>
    <w:rsid w:val="000B3B8A"/>
    <w:rsid w:val="000B3CBD"/>
    <w:rsid w:val="000B3FB6"/>
    <w:rsid w:val="000B455F"/>
    <w:rsid w:val="000B458C"/>
    <w:rsid w:val="000B458E"/>
    <w:rsid w:val="000B46E6"/>
    <w:rsid w:val="000B4F61"/>
    <w:rsid w:val="000B50B1"/>
    <w:rsid w:val="000B5411"/>
    <w:rsid w:val="000B543A"/>
    <w:rsid w:val="000B55D6"/>
    <w:rsid w:val="000B5999"/>
    <w:rsid w:val="000B5B25"/>
    <w:rsid w:val="000B6609"/>
    <w:rsid w:val="000B6C05"/>
    <w:rsid w:val="000B706D"/>
    <w:rsid w:val="000B7461"/>
    <w:rsid w:val="000B7EF4"/>
    <w:rsid w:val="000C0365"/>
    <w:rsid w:val="000C042B"/>
    <w:rsid w:val="000C0462"/>
    <w:rsid w:val="000C0668"/>
    <w:rsid w:val="000C0E58"/>
    <w:rsid w:val="000C107D"/>
    <w:rsid w:val="000C1139"/>
    <w:rsid w:val="000C1144"/>
    <w:rsid w:val="000C167B"/>
    <w:rsid w:val="000C172D"/>
    <w:rsid w:val="000C1A28"/>
    <w:rsid w:val="000C1E53"/>
    <w:rsid w:val="000C20BD"/>
    <w:rsid w:val="000C238D"/>
    <w:rsid w:val="000C242B"/>
    <w:rsid w:val="000C27DA"/>
    <w:rsid w:val="000C2958"/>
    <w:rsid w:val="000C2B24"/>
    <w:rsid w:val="000C2C01"/>
    <w:rsid w:val="000C2C81"/>
    <w:rsid w:val="000C35BD"/>
    <w:rsid w:val="000C3902"/>
    <w:rsid w:val="000C3A50"/>
    <w:rsid w:val="000C3B99"/>
    <w:rsid w:val="000C410A"/>
    <w:rsid w:val="000C43C9"/>
    <w:rsid w:val="000C4569"/>
    <w:rsid w:val="000C4589"/>
    <w:rsid w:val="000C5115"/>
    <w:rsid w:val="000C58EE"/>
    <w:rsid w:val="000C5D31"/>
    <w:rsid w:val="000C5D65"/>
    <w:rsid w:val="000C5EA5"/>
    <w:rsid w:val="000C5FC8"/>
    <w:rsid w:val="000C6568"/>
    <w:rsid w:val="000C6684"/>
    <w:rsid w:val="000C6E73"/>
    <w:rsid w:val="000C6EF9"/>
    <w:rsid w:val="000C723E"/>
    <w:rsid w:val="000C743D"/>
    <w:rsid w:val="000C77CF"/>
    <w:rsid w:val="000C77D1"/>
    <w:rsid w:val="000C78BF"/>
    <w:rsid w:val="000C7E25"/>
    <w:rsid w:val="000C7F8F"/>
    <w:rsid w:val="000D009E"/>
    <w:rsid w:val="000D075B"/>
    <w:rsid w:val="000D08A4"/>
    <w:rsid w:val="000D09AC"/>
    <w:rsid w:val="000D1182"/>
    <w:rsid w:val="000D1314"/>
    <w:rsid w:val="000D20CA"/>
    <w:rsid w:val="000D2729"/>
    <w:rsid w:val="000D272C"/>
    <w:rsid w:val="000D276F"/>
    <w:rsid w:val="000D2772"/>
    <w:rsid w:val="000D2A43"/>
    <w:rsid w:val="000D2DE0"/>
    <w:rsid w:val="000D2E72"/>
    <w:rsid w:val="000D31F1"/>
    <w:rsid w:val="000D3429"/>
    <w:rsid w:val="000D380F"/>
    <w:rsid w:val="000D3B38"/>
    <w:rsid w:val="000D3E84"/>
    <w:rsid w:val="000D3F61"/>
    <w:rsid w:val="000D3F78"/>
    <w:rsid w:val="000D42CB"/>
    <w:rsid w:val="000D4AF7"/>
    <w:rsid w:val="000D4DA3"/>
    <w:rsid w:val="000D52E7"/>
    <w:rsid w:val="000D547A"/>
    <w:rsid w:val="000D5929"/>
    <w:rsid w:val="000D5A71"/>
    <w:rsid w:val="000D5AF0"/>
    <w:rsid w:val="000D5F89"/>
    <w:rsid w:val="000D6547"/>
    <w:rsid w:val="000D694C"/>
    <w:rsid w:val="000D6D91"/>
    <w:rsid w:val="000D6E01"/>
    <w:rsid w:val="000D7158"/>
    <w:rsid w:val="000D73D2"/>
    <w:rsid w:val="000D7412"/>
    <w:rsid w:val="000D78FA"/>
    <w:rsid w:val="000D7BDB"/>
    <w:rsid w:val="000E0184"/>
    <w:rsid w:val="000E03D8"/>
    <w:rsid w:val="000E04D8"/>
    <w:rsid w:val="000E0793"/>
    <w:rsid w:val="000E0A37"/>
    <w:rsid w:val="000E0B5C"/>
    <w:rsid w:val="000E0C8F"/>
    <w:rsid w:val="000E0EA4"/>
    <w:rsid w:val="000E107C"/>
    <w:rsid w:val="000E15A4"/>
    <w:rsid w:val="000E15C9"/>
    <w:rsid w:val="000E166F"/>
    <w:rsid w:val="000E1B85"/>
    <w:rsid w:val="000E2025"/>
    <w:rsid w:val="000E246F"/>
    <w:rsid w:val="000E249F"/>
    <w:rsid w:val="000E2812"/>
    <w:rsid w:val="000E2C94"/>
    <w:rsid w:val="000E2E89"/>
    <w:rsid w:val="000E3159"/>
    <w:rsid w:val="000E356E"/>
    <w:rsid w:val="000E375A"/>
    <w:rsid w:val="000E385B"/>
    <w:rsid w:val="000E3866"/>
    <w:rsid w:val="000E3C28"/>
    <w:rsid w:val="000E429E"/>
    <w:rsid w:val="000E42BC"/>
    <w:rsid w:val="000E42E9"/>
    <w:rsid w:val="000E45C0"/>
    <w:rsid w:val="000E45E9"/>
    <w:rsid w:val="000E4A14"/>
    <w:rsid w:val="000E4A64"/>
    <w:rsid w:val="000E4A71"/>
    <w:rsid w:val="000E4AA4"/>
    <w:rsid w:val="000E4CC7"/>
    <w:rsid w:val="000E52AB"/>
    <w:rsid w:val="000E5522"/>
    <w:rsid w:val="000E5772"/>
    <w:rsid w:val="000E5A04"/>
    <w:rsid w:val="000E5EE8"/>
    <w:rsid w:val="000E5F7D"/>
    <w:rsid w:val="000E6274"/>
    <w:rsid w:val="000E62D2"/>
    <w:rsid w:val="000E6594"/>
    <w:rsid w:val="000E66DD"/>
    <w:rsid w:val="000E6AB5"/>
    <w:rsid w:val="000E6D35"/>
    <w:rsid w:val="000E6FBB"/>
    <w:rsid w:val="000E6FF4"/>
    <w:rsid w:val="000E759A"/>
    <w:rsid w:val="000E7679"/>
    <w:rsid w:val="000E7749"/>
    <w:rsid w:val="000E7A4E"/>
    <w:rsid w:val="000E7B7D"/>
    <w:rsid w:val="000E7D5B"/>
    <w:rsid w:val="000E7E57"/>
    <w:rsid w:val="000F05E4"/>
    <w:rsid w:val="000F07FC"/>
    <w:rsid w:val="000F091A"/>
    <w:rsid w:val="000F0F55"/>
    <w:rsid w:val="000F13DD"/>
    <w:rsid w:val="000F1815"/>
    <w:rsid w:val="000F1942"/>
    <w:rsid w:val="000F19CD"/>
    <w:rsid w:val="000F1C6A"/>
    <w:rsid w:val="000F1DAF"/>
    <w:rsid w:val="000F23F7"/>
    <w:rsid w:val="000F2C6C"/>
    <w:rsid w:val="000F31B2"/>
    <w:rsid w:val="000F3586"/>
    <w:rsid w:val="000F362D"/>
    <w:rsid w:val="000F36B5"/>
    <w:rsid w:val="000F38BC"/>
    <w:rsid w:val="000F3AB3"/>
    <w:rsid w:val="000F3CC9"/>
    <w:rsid w:val="000F3FC0"/>
    <w:rsid w:val="000F4057"/>
    <w:rsid w:val="000F40B8"/>
    <w:rsid w:val="000F414C"/>
    <w:rsid w:val="000F4188"/>
    <w:rsid w:val="000F4498"/>
    <w:rsid w:val="000F44DF"/>
    <w:rsid w:val="000F4685"/>
    <w:rsid w:val="000F5038"/>
    <w:rsid w:val="000F5223"/>
    <w:rsid w:val="000F52FF"/>
    <w:rsid w:val="000F5764"/>
    <w:rsid w:val="000F58DD"/>
    <w:rsid w:val="000F5A09"/>
    <w:rsid w:val="000F5C22"/>
    <w:rsid w:val="000F5EA9"/>
    <w:rsid w:val="000F6193"/>
    <w:rsid w:val="000F64C2"/>
    <w:rsid w:val="000F6D32"/>
    <w:rsid w:val="000F71BC"/>
    <w:rsid w:val="000F74C1"/>
    <w:rsid w:val="000F74ED"/>
    <w:rsid w:val="000F7EA2"/>
    <w:rsid w:val="000F7F95"/>
    <w:rsid w:val="001001C0"/>
    <w:rsid w:val="001003FE"/>
    <w:rsid w:val="0010056C"/>
    <w:rsid w:val="00101052"/>
    <w:rsid w:val="0010113D"/>
    <w:rsid w:val="0010121B"/>
    <w:rsid w:val="00101266"/>
    <w:rsid w:val="00101557"/>
    <w:rsid w:val="001018AB"/>
    <w:rsid w:val="00101A63"/>
    <w:rsid w:val="00101C8E"/>
    <w:rsid w:val="00101F54"/>
    <w:rsid w:val="00101F62"/>
    <w:rsid w:val="00102005"/>
    <w:rsid w:val="001020DF"/>
    <w:rsid w:val="0010229D"/>
    <w:rsid w:val="0010256F"/>
    <w:rsid w:val="00102ED3"/>
    <w:rsid w:val="00103138"/>
    <w:rsid w:val="0010361B"/>
    <w:rsid w:val="00103A34"/>
    <w:rsid w:val="00103A80"/>
    <w:rsid w:val="00104151"/>
    <w:rsid w:val="0010438B"/>
    <w:rsid w:val="0010462B"/>
    <w:rsid w:val="00104660"/>
    <w:rsid w:val="00104D5E"/>
    <w:rsid w:val="00104E0E"/>
    <w:rsid w:val="00105163"/>
    <w:rsid w:val="00105182"/>
    <w:rsid w:val="00105461"/>
    <w:rsid w:val="00105603"/>
    <w:rsid w:val="00105A05"/>
    <w:rsid w:val="00105B49"/>
    <w:rsid w:val="00105DD5"/>
    <w:rsid w:val="00105F6C"/>
    <w:rsid w:val="001060BA"/>
    <w:rsid w:val="001064E6"/>
    <w:rsid w:val="00106706"/>
    <w:rsid w:val="001069DD"/>
    <w:rsid w:val="00106B29"/>
    <w:rsid w:val="001072A9"/>
    <w:rsid w:val="00107526"/>
    <w:rsid w:val="001076D8"/>
    <w:rsid w:val="0010778F"/>
    <w:rsid w:val="0010793E"/>
    <w:rsid w:val="001079D2"/>
    <w:rsid w:val="001079F1"/>
    <w:rsid w:val="00107DB5"/>
    <w:rsid w:val="0011016C"/>
    <w:rsid w:val="001101C1"/>
    <w:rsid w:val="0011076E"/>
    <w:rsid w:val="00110834"/>
    <w:rsid w:val="00110A81"/>
    <w:rsid w:val="00110C92"/>
    <w:rsid w:val="00110F3C"/>
    <w:rsid w:val="00111525"/>
    <w:rsid w:val="0011162B"/>
    <w:rsid w:val="00111635"/>
    <w:rsid w:val="001116A9"/>
    <w:rsid w:val="00111A0D"/>
    <w:rsid w:val="00111A6E"/>
    <w:rsid w:val="00111B0F"/>
    <w:rsid w:val="00111DA8"/>
    <w:rsid w:val="001120BC"/>
    <w:rsid w:val="001124E6"/>
    <w:rsid w:val="001125F8"/>
    <w:rsid w:val="00112988"/>
    <w:rsid w:val="00112BB6"/>
    <w:rsid w:val="00112BC5"/>
    <w:rsid w:val="00112EEA"/>
    <w:rsid w:val="001136C0"/>
    <w:rsid w:val="00113907"/>
    <w:rsid w:val="0011396A"/>
    <w:rsid w:val="00113B50"/>
    <w:rsid w:val="0011439F"/>
    <w:rsid w:val="0011443C"/>
    <w:rsid w:val="001145CD"/>
    <w:rsid w:val="00114654"/>
    <w:rsid w:val="00114DD8"/>
    <w:rsid w:val="00114DFC"/>
    <w:rsid w:val="00115633"/>
    <w:rsid w:val="00115775"/>
    <w:rsid w:val="00115785"/>
    <w:rsid w:val="00115B39"/>
    <w:rsid w:val="00115DC1"/>
    <w:rsid w:val="00116250"/>
    <w:rsid w:val="0011635F"/>
    <w:rsid w:val="00116381"/>
    <w:rsid w:val="0011663C"/>
    <w:rsid w:val="001167A1"/>
    <w:rsid w:val="00116804"/>
    <w:rsid w:val="00116FE5"/>
    <w:rsid w:val="0011747A"/>
    <w:rsid w:val="001176CA"/>
    <w:rsid w:val="00117934"/>
    <w:rsid w:val="00117A9C"/>
    <w:rsid w:val="0012049C"/>
    <w:rsid w:val="001204E4"/>
    <w:rsid w:val="001207BB"/>
    <w:rsid w:val="00120A79"/>
    <w:rsid w:val="00120BA7"/>
    <w:rsid w:val="00120DF5"/>
    <w:rsid w:val="00121796"/>
    <w:rsid w:val="0012183F"/>
    <w:rsid w:val="001219C4"/>
    <w:rsid w:val="001219E3"/>
    <w:rsid w:val="00121A98"/>
    <w:rsid w:val="00121CB7"/>
    <w:rsid w:val="001221FF"/>
    <w:rsid w:val="00122298"/>
    <w:rsid w:val="00122571"/>
    <w:rsid w:val="00122681"/>
    <w:rsid w:val="0012288D"/>
    <w:rsid w:val="00122D8B"/>
    <w:rsid w:val="0012366F"/>
    <w:rsid w:val="00123834"/>
    <w:rsid w:val="0012388F"/>
    <w:rsid w:val="00123A96"/>
    <w:rsid w:val="00123AD3"/>
    <w:rsid w:val="00124022"/>
    <w:rsid w:val="00124030"/>
    <w:rsid w:val="00124149"/>
    <w:rsid w:val="00124368"/>
    <w:rsid w:val="001249AB"/>
    <w:rsid w:val="00124B34"/>
    <w:rsid w:val="00124E19"/>
    <w:rsid w:val="00124E5D"/>
    <w:rsid w:val="00125381"/>
    <w:rsid w:val="00125546"/>
    <w:rsid w:val="001258DB"/>
    <w:rsid w:val="00125B89"/>
    <w:rsid w:val="00125F5A"/>
    <w:rsid w:val="0012615A"/>
    <w:rsid w:val="0012617D"/>
    <w:rsid w:val="001265CF"/>
    <w:rsid w:val="00126669"/>
    <w:rsid w:val="001268F1"/>
    <w:rsid w:val="0012691E"/>
    <w:rsid w:val="00126B43"/>
    <w:rsid w:val="001274E4"/>
    <w:rsid w:val="0012774A"/>
    <w:rsid w:val="00127949"/>
    <w:rsid w:val="001279D1"/>
    <w:rsid w:val="00127E0D"/>
    <w:rsid w:val="00130191"/>
    <w:rsid w:val="0013019D"/>
    <w:rsid w:val="00130203"/>
    <w:rsid w:val="001302FC"/>
    <w:rsid w:val="00130442"/>
    <w:rsid w:val="00130749"/>
    <w:rsid w:val="001307B8"/>
    <w:rsid w:val="0013092E"/>
    <w:rsid w:val="00130B3D"/>
    <w:rsid w:val="00130B4C"/>
    <w:rsid w:val="00130C17"/>
    <w:rsid w:val="001310DD"/>
    <w:rsid w:val="0013113B"/>
    <w:rsid w:val="00131252"/>
    <w:rsid w:val="00131572"/>
    <w:rsid w:val="0013158F"/>
    <w:rsid w:val="00131594"/>
    <w:rsid w:val="00131B52"/>
    <w:rsid w:val="00131C75"/>
    <w:rsid w:val="00131CF4"/>
    <w:rsid w:val="00131F75"/>
    <w:rsid w:val="001332F2"/>
    <w:rsid w:val="00133A29"/>
    <w:rsid w:val="00133B52"/>
    <w:rsid w:val="00133E1E"/>
    <w:rsid w:val="00133E73"/>
    <w:rsid w:val="0013418D"/>
    <w:rsid w:val="00134280"/>
    <w:rsid w:val="0013468C"/>
    <w:rsid w:val="001346EE"/>
    <w:rsid w:val="00134745"/>
    <w:rsid w:val="00134807"/>
    <w:rsid w:val="001349EA"/>
    <w:rsid w:val="001349FA"/>
    <w:rsid w:val="00134C61"/>
    <w:rsid w:val="00135144"/>
    <w:rsid w:val="001351BE"/>
    <w:rsid w:val="0013535B"/>
    <w:rsid w:val="001354D3"/>
    <w:rsid w:val="0013560E"/>
    <w:rsid w:val="0013564F"/>
    <w:rsid w:val="0013581E"/>
    <w:rsid w:val="001358D3"/>
    <w:rsid w:val="00135FE2"/>
    <w:rsid w:val="00136025"/>
    <w:rsid w:val="001360CC"/>
    <w:rsid w:val="00136294"/>
    <w:rsid w:val="001363B6"/>
    <w:rsid w:val="001364B8"/>
    <w:rsid w:val="001367CA"/>
    <w:rsid w:val="00136D16"/>
    <w:rsid w:val="00137120"/>
    <w:rsid w:val="0013737D"/>
    <w:rsid w:val="001376C3"/>
    <w:rsid w:val="00137779"/>
    <w:rsid w:val="001379AB"/>
    <w:rsid w:val="00137C57"/>
    <w:rsid w:val="00137F51"/>
    <w:rsid w:val="00137FCF"/>
    <w:rsid w:val="0014019D"/>
    <w:rsid w:val="00140739"/>
    <w:rsid w:val="00140B71"/>
    <w:rsid w:val="00140D52"/>
    <w:rsid w:val="00140DA6"/>
    <w:rsid w:val="00140E26"/>
    <w:rsid w:val="00140F2E"/>
    <w:rsid w:val="00140F9E"/>
    <w:rsid w:val="00141554"/>
    <w:rsid w:val="001417AA"/>
    <w:rsid w:val="001417EE"/>
    <w:rsid w:val="0014187D"/>
    <w:rsid w:val="00141ABE"/>
    <w:rsid w:val="00141F83"/>
    <w:rsid w:val="001425CD"/>
    <w:rsid w:val="0014300E"/>
    <w:rsid w:val="00143096"/>
    <w:rsid w:val="00143185"/>
    <w:rsid w:val="0014369D"/>
    <w:rsid w:val="00143861"/>
    <w:rsid w:val="001439FD"/>
    <w:rsid w:val="00143A00"/>
    <w:rsid w:val="00143B85"/>
    <w:rsid w:val="00143E2E"/>
    <w:rsid w:val="00143F2D"/>
    <w:rsid w:val="00144111"/>
    <w:rsid w:val="0014425D"/>
    <w:rsid w:val="0014478B"/>
    <w:rsid w:val="00144D07"/>
    <w:rsid w:val="00144D92"/>
    <w:rsid w:val="00145320"/>
    <w:rsid w:val="001454D1"/>
    <w:rsid w:val="0014573C"/>
    <w:rsid w:val="001457BC"/>
    <w:rsid w:val="001457E6"/>
    <w:rsid w:val="001458BA"/>
    <w:rsid w:val="00145B5C"/>
    <w:rsid w:val="00145E67"/>
    <w:rsid w:val="00146112"/>
    <w:rsid w:val="00146498"/>
    <w:rsid w:val="00146B33"/>
    <w:rsid w:val="00146C8D"/>
    <w:rsid w:val="00146D79"/>
    <w:rsid w:val="00146E09"/>
    <w:rsid w:val="00146F9C"/>
    <w:rsid w:val="00147190"/>
    <w:rsid w:val="0014737E"/>
    <w:rsid w:val="00147603"/>
    <w:rsid w:val="00147689"/>
    <w:rsid w:val="001476B8"/>
    <w:rsid w:val="00147A56"/>
    <w:rsid w:val="00147BF0"/>
    <w:rsid w:val="00147DE8"/>
    <w:rsid w:val="00150B57"/>
    <w:rsid w:val="00150B6A"/>
    <w:rsid w:val="00150B70"/>
    <w:rsid w:val="00150C5F"/>
    <w:rsid w:val="0015102F"/>
    <w:rsid w:val="00151164"/>
    <w:rsid w:val="00151191"/>
    <w:rsid w:val="00151666"/>
    <w:rsid w:val="00151944"/>
    <w:rsid w:val="0015205C"/>
    <w:rsid w:val="00152542"/>
    <w:rsid w:val="00152B3C"/>
    <w:rsid w:val="00152BA5"/>
    <w:rsid w:val="0015325F"/>
    <w:rsid w:val="001533D9"/>
    <w:rsid w:val="001535A1"/>
    <w:rsid w:val="0015361D"/>
    <w:rsid w:val="0015361F"/>
    <w:rsid w:val="001536EE"/>
    <w:rsid w:val="0015388A"/>
    <w:rsid w:val="00153934"/>
    <w:rsid w:val="001539AC"/>
    <w:rsid w:val="00153A96"/>
    <w:rsid w:val="00153BB3"/>
    <w:rsid w:val="0015475D"/>
    <w:rsid w:val="001548C2"/>
    <w:rsid w:val="001549F2"/>
    <w:rsid w:val="00154C28"/>
    <w:rsid w:val="00154FD9"/>
    <w:rsid w:val="001554C0"/>
    <w:rsid w:val="00155DE5"/>
    <w:rsid w:val="0015606F"/>
    <w:rsid w:val="0015611E"/>
    <w:rsid w:val="001562F6"/>
    <w:rsid w:val="001564B1"/>
    <w:rsid w:val="00156844"/>
    <w:rsid w:val="00156C3C"/>
    <w:rsid w:val="001577B1"/>
    <w:rsid w:val="00157BD7"/>
    <w:rsid w:val="00157EC6"/>
    <w:rsid w:val="00160658"/>
    <w:rsid w:val="0016079A"/>
    <w:rsid w:val="00160A48"/>
    <w:rsid w:val="00160C6C"/>
    <w:rsid w:val="00160F22"/>
    <w:rsid w:val="00160F35"/>
    <w:rsid w:val="00161223"/>
    <w:rsid w:val="00161704"/>
    <w:rsid w:val="00161814"/>
    <w:rsid w:val="00161BDC"/>
    <w:rsid w:val="00161C0C"/>
    <w:rsid w:val="00162193"/>
    <w:rsid w:val="00162868"/>
    <w:rsid w:val="00162E51"/>
    <w:rsid w:val="001630C3"/>
    <w:rsid w:val="001634C2"/>
    <w:rsid w:val="0016358E"/>
    <w:rsid w:val="001637F9"/>
    <w:rsid w:val="00163881"/>
    <w:rsid w:val="00163906"/>
    <w:rsid w:val="00163A62"/>
    <w:rsid w:val="00163D83"/>
    <w:rsid w:val="00163D98"/>
    <w:rsid w:val="00163EF5"/>
    <w:rsid w:val="001641E8"/>
    <w:rsid w:val="00164B28"/>
    <w:rsid w:val="00164E01"/>
    <w:rsid w:val="00165233"/>
    <w:rsid w:val="001653B2"/>
    <w:rsid w:val="00165556"/>
    <w:rsid w:val="001655E4"/>
    <w:rsid w:val="00165680"/>
    <w:rsid w:val="0016593C"/>
    <w:rsid w:val="001659E4"/>
    <w:rsid w:val="00165BCE"/>
    <w:rsid w:val="00165D09"/>
    <w:rsid w:val="00165DD7"/>
    <w:rsid w:val="0016634A"/>
    <w:rsid w:val="00166AE5"/>
    <w:rsid w:val="001670AF"/>
    <w:rsid w:val="00167144"/>
    <w:rsid w:val="001671E4"/>
    <w:rsid w:val="001676DB"/>
    <w:rsid w:val="00167CA1"/>
    <w:rsid w:val="00167E35"/>
    <w:rsid w:val="00167F72"/>
    <w:rsid w:val="00170170"/>
    <w:rsid w:val="001701F0"/>
    <w:rsid w:val="001704D7"/>
    <w:rsid w:val="00170588"/>
    <w:rsid w:val="001708B9"/>
    <w:rsid w:val="0017102E"/>
    <w:rsid w:val="00171087"/>
    <w:rsid w:val="00171219"/>
    <w:rsid w:val="00171BC5"/>
    <w:rsid w:val="00171E6B"/>
    <w:rsid w:val="001721BA"/>
    <w:rsid w:val="001721E0"/>
    <w:rsid w:val="00172314"/>
    <w:rsid w:val="00172457"/>
    <w:rsid w:val="00172505"/>
    <w:rsid w:val="00172671"/>
    <w:rsid w:val="001726B2"/>
    <w:rsid w:val="0017280D"/>
    <w:rsid w:val="00172992"/>
    <w:rsid w:val="00172A3B"/>
    <w:rsid w:val="00172B20"/>
    <w:rsid w:val="00172B43"/>
    <w:rsid w:val="0017372D"/>
    <w:rsid w:val="00173794"/>
    <w:rsid w:val="00173986"/>
    <w:rsid w:val="00174219"/>
    <w:rsid w:val="00174660"/>
    <w:rsid w:val="00174C3E"/>
    <w:rsid w:val="00174DEF"/>
    <w:rsid w:val="00174F3C"/>
    <w:rsid w:val="001757CE"/>
    <w:rsid w:val="001757FF"/>
    <w:rsid w:val="00175C06"/>
    <w:rsid w:val="001766B5"/>
    <w:rsid w:val="00176791"/>
    <w:rsid w:val="00176AD8"/>
    <w:rsid w:val="00176C26"/>
    <w:rsid w:val="0017740A"/>
    <w:rsid w:val="001774DD"/>
    <w:rsid w:val="001776C4"/>
    <w:rsid w:val="00177C6F"/>
    <w:rsid w:val="00177EA1"/>
    <w:rsid w:val="0018049D"/>
    <w:rsid w:val="001805DD"/>
    <w:rsid w:val="0018092D"/>
    <w:rsid w:val="00180BDA"/>
    <w:rsid w:val="00180D82"/>
    <w:rsid w:val="00180E05"/>
    <w:rsid w:val="0018108F"/>
    <w:rsid w:val="00181793"/>
    <w:rsid w:val="0018239E"/>
    <w:rsid w:val="00182676"/>
    <w:rsid w:val="00182A18"/>
    <w:rsid w:val="00182AA2"/>
    <w:rsid w:val="00182D5C"/>
    <w:rsid w:val="00182DC2"/>
    <w:rsid w:val="00182E74"/>
    <w:rsid w:val="001834AD"/>
    <w:rsid w:val="0018360D"/>
    <w:rsid w:val="001836FD"/>
    <w:rsid w:val="00183809"/>
    <w:rsid w:val="00183905"/>
    <w:rsid w:val="0018430B"/>
    <w:rsid w:val="0018431D"/>
    <w:rsid w:val="00184A6F"/>
    <w:rsid w:val="001859CC"/>
    <w:rsid w:val="00185A46"/>
    <w:rsid w:val="00185AA4"/>
    <w:rsid w:val="00185FED"/>
    <w:rsid w:val="00185FF9"/>
    <w:rsid w:val="0018607A"/>
    <w:rsid w:val="001861AC"/>
    <w:rsid w:val="001861E6"/>
    <w:rsid w:val="001862A1"/>
    <w:rsid w:val="001862F5"/>
    <w:rsid w:val="001863A0"/>
    <w:rsid w:val="00186577"/>
    <w:rsid w:val="00186D77"/>
    <w:rsid w:val="00186D8C"/>
    <w:rsid w:val="00186FC8"/>
    <w:rsid w:val="001873E5"/>
    <w:rsid w:val="001875AF"/>
    <w:rsid w:val="00187605"/>
    <w:rsid w:val="001877B6"/>
    <w:rsid w:val="00187859"/>
    <w:rsid w:val="001879FE"/>
    <w:rsid w:val="00187D98"/>
    <w:rsid w:val="00187E82"/>
    <w:rsid w:val="001901AC"/>
    <w:rsid w:val="00190224"/>
    <w:rsid w:val="00190324"/>
    <w:rsid w:val="001903AC"/>
    <w:rsid w:val="00190595"/>
    <w:rsid w:val="0019059E"/>
    <w:rsid w:val="001907D8"/>
    <w:rsid w:val="0019096F"/>
    <w:rsid w:val="001909CB"/>
    <w:rsid w:val="00190A34"/>
    <w:rsid w:val="00190D9B"/>
    <w:rsid w:val="0019140C"/>
    <w:rsid w:val="001914AE"/>
    <w:rsid w:val="0019151D"/>
    <w:rsid w:val="0019167C"/>
    <w:rsid w:val="0019198D"/>
    <w:rsid w:val="00191B08"/>
    <w:rsid w:val="00191BF1"/>
    <w:rsid w:val="00191D03"/>
    <w:rsid w:val="0019210C"/>
    <w:rsid w:val="0019263A"/>
    <w:rsid w:val="00192875"/>
    <w:rsid w:val="00192AA8"/>
    <w:rsid w:val="00192AD3"/>
    <w:rsid w:val="00192CAD"/>
    <w:rsid w:val="00193253"/>
    <w:rsid w:val="001934CC"/>
    <w:rsid w:val="001938A4"/>
    <w:rsid w:val="00193928"/>
    <w:rsid w:val="00193C90"/>
    <w:rsid w:val="00193D2E"/>
    <w:rsid w:val="00193D48"/>
    <w:rsid w:val="00193D59"/>
    <w:rsid w:val="00193FB2"/>
    <w:rsid w:val="00193FCB"/>
    <w:rsid w:val="001945D9"/>
    <w:rsid w:val="001946DF"/>
    <w:rsid w:val="00194991"/>
    <w:rsid w:val="00194DD4"/>
    <w:rsid w:val="0019505B"/>
    <w:rsid w:val="001954C2"/>
    <w:rsid w:val="00195846"/>
    <w:rsid w:val="00195E09"/>
    <w:rsid w:val="00195E3C"/>
    <w:rsid w:val="00196620"/>
    <w:rsid w:val="001966D9"/>
    <w:rsid w:val="00196827"/>
    <w:rsid w:val="00196B4D"/>
    <w:rsid w:val="00197057"/>
    <w:rsid w:val="001972D8"/>
    <w:rsid w:val="001975EF"/>
    <w:rsid w:val="0019765A"/>
    <w:rsid w:val="00197ACC"/>
    <w:rsid w:val="00197D56"/>
    <w:rsid w:val="001A0002"/>
    <w:rsid w:val="001A0146"/>
    <w:rsid w:val="001A046C"/>
    <w:rsid w:val="001A0698"/>
    <w:rsid w:val="001A077C"/>
    <w:rsid w:val="001A0C18"/>
    <w:rsid w:val="001A0E85"/>
    <w:rsid w:val="001A10A7"/>
    <w:rsid w:val="001A1199"/>
    <w:rsid w:val="001A11D7"/>
    <w:rsid w:val="001A12F7"/>
    <w:rsid w:val="001A1926"/>
    <w:rsid w:val="001A1A8E"/>
    <w:rsid w:val="001A2008"/>
    <w:rsid w:val="001A2184"/>
    <w:rsid w:val="001A2868"/>
    <w:rsid w:val="001A2903"/>
    <w:rsid w:val="001A29B4"/>
    <w:rsid w:val="001A33C3"/>
    <w:rsid w:val="001A39A3"/>
    <w:rsid w:val="001A3A4E"/>
    <w:rsid w:val="001A3B1F"/>
    <w:rsid w:val="001A3C10"/>
    <w:rsid w:val="001A3D50"/>
    <w:rsid w:val="001A4400"/>
    <w:rsid w:val="001A45CF"/>
    <w:rsid w:val="001A469D"/>
    <w:rsid w:val="001A4CED"/>
    <w:rsid w:val="001A4D4B"/>
    <w:rsid w:val="001A5445"/>
    <w:rsid w:val="001A58AB"/>
    <w:rsid w:val="001A5AE9"/>
    <w:rsid w:val="001A5DAF"/>
    <w:rsid w:val="001A63CC"/>
    <w:rsid w:val="001A6437"/>
    <w:rsid w:val="001A643D"/>
    <w:rsid w:val="001A6BF7"/>
    <w:rsid w:val="001A6F7A"/>
    <w:rsid w:val="001A747C"/>
    <w:rsid w:val="001A74CC"/>
    <w:rsid w:val="001A76FE"/>
    <w:rsid w:val="001A77BE"/>
    <w:rsid w:val="001A78BD"/>
    <w:rsid w:val="001A79C8"/>
    <w:rsid w:val="001A7CDC"/>
    <w:rsid w:val="001B0035"/>
    <w:rsid w:val="001B01D0"/>
    <w:rsid w:val="001B0584"/>
    <w:rsid w:val="001B0724"/>
    <w:rsid w:val="001B0753"/>
    <w:rsid w:val="001B08CF"/>
    <w:rsid w:val="001B0E32"/>
    <w:rsid w:val="001B0F94"/>
    <w:rsid w:val="001B105A"/>
    <w:rsid w:val="001B17CC"/>
    <w:rsid w:val="001B1C6E"/>
    <w:rsid w:val="001B1D06"/>
    <w:rsid w:val="001B21DE"/>
    <w:rsid w:val="001B23C6"/>
    <w:rsid w:val="001B2BD8"/>
    <w:rsid w:val="001B3682"/>
    <w:rsid w:val="001B37CF"/>
    <w:rsid w:val="001B37F3"/>
    <w:rsid w:val="001B3BF3"/>
    <w:rsid w:val="001B3D5D"/>
    <w:rsid w:val="001B3F7D"/>
    <w:rsid w:val="001B40F8"/>
    <w:rsid w:val="001B418E"/>
    <w:rsid w:val="001B425F"/>
    <w:rsid w:val="001B4781"/>
    <w:rsid w:val="001B4A86"/>
    <w:rsid w:val="001B4AFB"/>
    <w:rsid w:val="001B537A"/>
    <w:rsid w:val="001B5A1A"/>
    <w:rsid w:val="001B5C19"/>
    <w:rsid w:val="001B6440"/>
    <w:rsid w:val="001B70A2"/>
    <w:rsid w:val="001B71B3"/>
    <w:rsid w:val="001B74DA"/>
    <w:rsid w:val="001B78FC"/>
    <w:rsid w:val="001B7B63"/>
    <w:rsid w:val="001B7D0D"/>
    <w:rsid w:val="001C007F"/>
    <w:rsid w:val="001C06EB"/>
    <w:rsid w:val="001C07DD"/>
    <w:rsid w:val="001C0824"/>
    <w:rsid w:val="001C08E5"/>
    <w:rsid w:val="001C0AEA"/>
    <w:rsid w:val="001C0AF7"/>
    <w:rsid w:val="001C14D6"/>
    <w:rsid w:val="001C1525"/>
    <w:rsid w:val="001C1786"/>
    <w:rsid w:val="001C1A2D"/>
    <w:rsid w:val="001C1B57"/>
    <w:rsid w:val="001C25AF"/>
    <w:rsid w:val="001C2772"/>
    <w:rsid w:val="001C284A"/>
    <w:rsid w:val="001C2BB8"/>
    <w:rsid w:val="001C2C26"/>
    <w:rsid w:val="001C3146"/>
    <w:rsid w:val="001C347E"/>
    <w:rsid w:val="001C3849"/>
    <w:rsid w:val="001C3DAA"/>
    <w:rsid w:val="001C4369"/>
    <w:rsid w:val="001C4619"/>
    <w:rsid w:val="001C49D1"/>
    <w:rsid w:val="001C4AB1"/>
    <w:rsid w:val="001C4E8B"/>
    <w:rsid w:val="001C4EE2"/>
    <w:rsid w:val="001C4F4B"/>
    <w:rsid w:val="001C54D9"/>
    <w:rsid w:val="001C56C1"/>
    <w:rsid w:val="001C5A58"/>
    <w:rsid w:val="001C5A7C"/>
    <w:rsid w:val="001C5ECF"/>
    <w:rsid w:val="001C5FE6"/>
    <w:rsid w:val="001C6702"/>
    <w:rsid w:val="001C687D"/>
    <w:rsid w:val="001C68AB"/>
    <w:rsid w:val="001C691A"/>
    <w:rsid w:val="001C6979"/>
    <w:rsid w:val="001C6F43"/>
    <w:rsid w:val="001C7044"/>
    <w:rsid w:val="001C73B3"/>
    <w:rsid w:val="001C73C9"/>
    <w:rsid w:val="001C7535"/>
    <w:rsid w:val="001C7D65"/>
    <w:rsid w:val="001C7EDD"/>
    <w:rsid w:val="001C7FD8"/>
    <w:rsid w:val="001D02AA"/>
    <w:rsid w:val="001D03A7"/>
    <w:rsid w:val="001D0409"/>
    <w:rsid w:val="001D0641"/>
    <w:rsid w:val="001D074D"/>
    <w:rsid w:val="001D0935"/>
    <w:rsid w:val="001D0B98"/>
    <w:rsid w:val="001D0D7D"/>
    <w:rsid w:val="001D0F73"/>
    <w:rsid w:val="001D1658"/>
    <w:rsid w:val="001D187F"/>
    <w:rsid w:val="001D1A27"/>
    <w:rsid w:val="001D1BB3"/>
    <w:rsid w:val="001D1D02"/>
    <w:rsid w:val="001D1D98"/>
    <w:rsid w:val="001D1DFD"/>
    <w:rsid w:val="001D206E"/>
    <w:rsid w:val="001D225D"/>
    <w:rsid w:val="001D2466"/>
    <w:rsid w:val="001D2601"/>
    <w:rsid w:val="001D269A"/>
    <w:rsid w:val="001D2EAD"/>
    <w:rsid w:val="001D312C"/>
    <w:rsid w:val="001D3181"/>
    <w:rsid w:val="001D32DD"/>
    <w:rsid w:val="001D3368"/>
    <w:rsid w:val="001D3521"/>
    <w:rsid w:val="001D3D06"/>
    <w:rsid w:val="001D3EC7"/>
    <w:rsid w:val="001D3FD6"/>
    <w:rsid w:val="001D4348"/>
    <w:rsid w:val="001D440E"/>
    <w:rsid w:val="001D452B"/>
    <w:rsid w:val="001D4643"/>
    <w:rsid w:val="001D465A"/>
    <w:rsid w:val="001D47C7"/>
    <w:rsid w:val="001D4D2C"/>
    <w:rsid w:val="001D4F08"/>
    <w:rsid w:val="001D5246"/>
    <w:rsid w:val="001D5438"/>
    <w:rsid w:val="001D55E0"/>
    <w:rsid w:val="001D5962"/>
    <w:rsid w:val="001D5E7D"/>
    <w:rsid w:val="001D6207"/>
    <w:rsid w:val="001D681C"/>
    <w:rsid w:val="001D68F3"/>
    <w:rsid w:val="001D6B42"/>
    <w:rsid w:val="001D6E8D"/>
    <w:rsid w:val="001D6F49"/>
    <w:rsid w:val="001D6F72"/>
    <w:rsid w:val="001D70F4"/>
    <w:rsid w:val="001D7194"/>
    <w:rsid w:val="001D7677"/>
    <w:rsid w:val="001D78BE"/>
    <w:rsid w:val="001D7BFB"/>
    <w:rsid w:val="001D7ED9"/>
    <w:rsid w:val="001D7EEF"/>
    <w:rsid w:val="001D7FF5"/>
    <w:rsid w:val="001E016B"/>
    <w:rsid w:val="001E02F6"/>
    <w:rsid w:val="001E071B"/>
    <w:rsid w:val="001E0786"/>
    <w:rsid w:val="001E0837"/>
    <w:rsid w:val="001E0D9A"/>
    <w:rsid w:val="001E0EF4"/>
    <w:rsid w:val="001E140C"/>
    <w:rsid w:val="001E1689"/>
    <w:rsid w:val="001E1861"/>
    <w:rsid w:val="001E188C"/>
    <w:rsid w:val="001E1D65"/>
    <w:rsid w:val="001E1E8C"/>
    <w:rsid w:val="001E1F14"/>
    <w:rsid w:val="001E2732"/>
    <w:rsid w:val="001E2785"/>
    <w:rsid w:val="001E2974"/>
    <w:rsid w:val="001E3469"/>
    <w:rsid w:val="001E349B"/>
    <w:rsid w:val="001E3855"/>
    <w:rsid w:val="001E38F5"/>
    <w:rsid w:val="001E399F"/>
    <w:rsid w:val="001E3C2B"/>
    <w:rsid w:val="001E3C36"/>
    <w:rsid w:val="001E3F64"/>
    <w:rsid w:val="001E453B"/>
    <w:rsid w:val="001E45A7"/>
    <w:rsid w:val="001E4984"/>
    <w:rsid w:val="001E4B68"/>
    <w:rsid w:val="001E50F4"/>
    <w:rsid w:val="001E5234"/>
    <w:rsid w:val="001E5323"/>
    <w:rsid w:val="001E5835"/>
    <w:rsid w:val="001E5925"/>
    <w:rsid w:val="001E5A86"/>
    <w:rsid w:val="001E5B5A"/>
    <w:rsid w:val="001E5EB1"/>
    <w:rsid w:val="001E5F5D"/>
    <w:rsid w:val="001E600D"/>
    <w:rsid w:val="001E6158"/>
    <w:rsid w:val="001E6957"/>
    <w:rsid w:val="001E6964"/>
    <w:rsid w:val="001E6B91"/>
    <w:rsid w:val="001E7655"/>
    <w:rsid w:val="001E7830"/>
    <w:rsid w:val="001E7D3E"/>
    <w:rsid w:val="001E7D99"/>
    <w:rsid w:val="001E7FAF"/>
    <w:rsid w:val="001F0336"/>
    <w:rsid w:val="001F03B9"/>
    <w:rsid w:val="001F0731"/>
    <w:rsid w:val="001F0793"/>
    <w:rsid w:val="001F0AEB"/>
    <w:rsid w:val="001F0DF3"/>
    <w:rsid w:val="001F0F40"/>
    <w:rsid w:val="001F1378"/>
    <w:rsid w:val="001F13AE"/>
    <w:rsid w:val="001F14A2"/>
    <w:rsid w:val="001F180C"/>
    <w:rsid w:val="001F1AFF"/>
    <w:rsid w:val="001F1CC9"/>
    <w:rsid w:val="001F1D30"/>
    <w:rsid w:val="001F24AD"/>
    <w:rsid w:val="001F2A40"/>
    <w:rsid w:val="001F2B54"/>
    <w:rsid w:val="001F2F37"/>
    <w:rsid w:val="001F3235"/>
    <w:rsid w:val="001F3313"/>
    <w:rsid w:val="001F33F7"/>
    <w:rsid w:val="001F3771"/>
    <w:rsid w:val="001F37E0"/>
    <w:rsid w:val="001F38BE"/>
    <w:rsid w:val="001F3CDF"/>
    <w:rsid w:val="001F3FAD"/>
    <w:rsid w:val="001F3FB2"/>
    <w:rsid w:val="001F40AC"/>
    <w:rsid w:val="001F4491"/>
    <w:rsid w:val="001F4520"/>
    <w:rsid w:val="001F453E"/>
    <w:rsid w:val="001F475A"/>
    <w:rsid w:val="001F47A4"/>
    <w:rsid w:val="001F4885"/>
    <w:rsid w:val="001F4915"/>
    <w:rsid w:val="001F49D2"/>
    <w:rsid w:val="001F4B59"/>
    <w:rsid w:val="001F5003"/>
    <w:rsid w:val="001F509A"/>
    <w:rsid w:val="001F5512"/>
    <w:rsid w:val="001F5C50"/>
    <w:rsid w:val="001F5DE9"/>
    <w:rsid w:val="001F6043"/>
    <w:rsid w:val="001F606F"/>
    <w:rsid w:val="001F619B"/>
    <w:rsid w:val="001F61B8"/>
    <w:rsid w:val="001F6563"/>
    <w:rsid w:val="001F6839"/>
    <w:rsid w:val="001F6884"/>
    <w:rsid w:val="001F6C8D"/>
    <w:rsid w:val="001F7081"/>
    <w:rsid w:val="001F70C6"/>
    <w:rsid w:val="001F7282"/>
    <w:rsid w:val="00200234"/>
    <w:rsid w:val="00200783"/>
    <w:rsid w:val="0020095D"/>
    <w:rsid w:val="002009A0"/>
    <w:rsid w:val="00200C59"/>
    <w:rsid w:val="00200CC8"/>
    <w:rsid w:val="002016AE"/>
    <w:rsid w:val="002019B1"/>
    <w:rsid w:val="00201ACA"/>
    <w:rsid w:val="00201BEB"/>
    <w:rsid w:val="00201D05"/>
    <w:rsid w:val="002020BB"/>
    <w:rsid w:val="002020C9"/>
    <w:rsid w:val="0020220E"/>
    <w:rsid w:val="00202AE0"/>
    <w:rsid w:val="00202B26"/>
    <w:rsid w:val="00202DC8"/>
    <w:rsid w:val="00202EBE"/>
    <w:rsid w:val="0020303F"/>
    <w:rsid w:val="00203877"/>
    <w:rsid w:val="002038CD"/>
    <w:rsid w:val="00203F72"/>
    <w:rsid w:val="00203FBF"/>
    <w:rsid w:val="00204856"/>
    <w:rsid w:val="00204919"/>
    <w:rsid w:val="00204A3B"/>
    <w:rsid w:val="00204B18"/>
    <w:rsid w:val="00204CBA"/>
    <w:rsid w:val="002050E5"/>
    <w:rsid w:val="002053F4"/>
    <w:rsid w:val="00205504"/>
    <w:rsid w:val="00205818"/>
    <w:rsid w:val="002058BC"/>
    <w:rsid w:val="00205930"/>
    <w:rsid w:val="00205A12"/>
    <w:rsid w:val="00205AF4"/>
    <w:rsid w:val="00205D63"/>
    <w:rsid w:val="00206049"/>
    <w:rsid w:val="0020606D"/>
    <w:rsid w:val="00206353"/>
    <w:rsid w:val="00206776"/>
    <w:rsid w:val="00206B78"/>
    <w:rsid w:val="00207124"/>
    <w:rsid w:val="002076FF"/>
    <w:rsid w:val="00207724"/>
    <w:rsid w:val="0020791C"/>
    <w:rsid w:val="00207AFC"/>
    <w:rsid w:val="00207C4A"/>
    <w:rsid w:val="00207F24"/>
    <w:rsid w:val="0021019A"/>
    <w:rsid w:val="0021096A"/>
    <w:rsid w:val="00210AA2"/>
    <w:rsid w:val="00210C08"/>
    <w:rsid w:val="00210E90"/>
    <w:rsid w:val="00210FAC"/>
    <w:rsid w:val="0021123F"/>
    <w:rsid w:val="0021126A"/>
    <w:rsid w:val="00211531"/>
    <w:rsid w:val="002119C9"/>
    <w:rsid w:val="00211A9B"/>
    <w:rsid w:val="00211C56"/>
    <w:rsid w:val="00211CFC"/>
    <w:rsid w:val="00211E12"/>
    <w:rsid w:val="002126E7"/>
    <w:rsid w:val="0021281C"/>
    <w:rsid w:val="00212852"/>
    <w:rsid w:val="00213185"/>
    <w:rsid w:val="00213202"/>
    <w:rsid w:val="0021366A"/>
    <w:rsid w:val="00213976"/>
    <w:rsid w:val="0021399C"/>
    <w:rsid w:val="00213CC2"/>
    <w:rsid w:val="002140BF"/>
    <w:rsid w:val="00214528"/>
    <w:rsid w:val="00214BB0"/>
    <w:rsid w:val="00214CC0"/>
    <w:rsid w:val="002151A0"/>
    <w:rsid w:val="0021549E"/>
    <w:rsid w:val="0021556B"/>
    <w:rsid w:val="002155A0"/>
    <w:rsid w:val="00215787"/>
    <w:rsid w:val="00215E90"/>
    <w:rsid w:val="00215EF9"/>
    <w:rsid w:val="00215F3C"/>
    <w:rsid w:val="00215F48"/>
    <w:rsid w:val="0021612D"/>
    <w:rsid w:val="002161F9"/>
    <w:rsid w:val="0021674A"/>
    <w:rsid w:val="00216CF6"/>
    <w:rsid w:val="00217038"/>
    <w:rsid w:val="00217503"/>
    <w:rsid w:val="00217B78"/>
    <w:rsid w:val="00217D10"/>
    <w:rsid w:val="002201E7"/>
    <w:rsid w:val="00220306"/>
    <w:rsid w:val="00220777"/>
    <w:rsid w:val="00220950"/>
    <w:rsid w:val="00220CCF"/>
    <w:rsid w:val="00220E4D"/>
    <w:rsid w:val="002210C7"/>
    <w:rsid w:val="00221136"/>
    <w:rsid w:val="002213E3"/>
    <w:rsid w:val="00221642"/>
    <w:rsid w:val="00221C78"/>
    <w:rsid w:val="0022200F"/>
    <w:rsid w:val="00222207"/>
    <w:rsid w:val="0022222B"/>
    <w:rsid w:val="0022235D"/>
    <w:rsid w:val="00222854"/>
    <w:rsid w:val="00222D14"/>
    <w:rsid w:val="002230CE"/>
    <w:rsid w:val="00223304"/>
    <w:rsid w:val="00223783"/>
    <w:rsid w:val="00223865"/>
    <w:rsid w:val="002239D5"/>
    <w:rsid w:val="002239FF"/>
    <w:rsid w:val="00223BBC"/>
    <w:rsid w:val="00223C0E"/>
    <w:rsid w:val="0022418F"/>
    <w:rsid w:val="0022424E"/>
    <w:rsid w:val="00224264"/>
    <w:rsid w:val="0022442A"/>
    <w:rsid w:val="00224839"/>
    <w:rsid w:val="00224857"/>
    <w:rsid w:val="00224ABE"/>
    <w:rsid w:val="00224C62"/>
    <w:rsid w:val="00224EC9"/>
    <w:rsid w:val="00225410"/>
    <w:rsid w:val="002254DF"/>
    <w:rsid w:val="00225818"/>
    <w:rsid w:val="00225979"/>
    <w:rsid w:val="0022623A"/>
    <w:rsid w:val="00226814"/>
    <w:rsid w:val="002268CC"/>
    <w:rsid w:val="0022701D"/>
    <w:rsid w:val="00227071"/>
    <w:rsid w:val="002272D2"/>
    <w:rsid w:val="002275F7"/>
    <w:rsid w:val="00227678"/>
    <w:rsid w:val="002277A4"/>
    <w:rsid w:val="00227895"/>
    <w:rsid w:val="00227C78"/>
    <w:rsid w:val="00227F1F"/>
    <w:rsid w:val="00227F41"/>
    <w:rsid w:val="00227FC2"/>
    <w:rsid w:val="0023009E"/>
    <w:rsid w:val="002300BA"/>
    <w:rsid w:val="002302E9"/>
    <w:rsid w:val="00230422"/>
    <w:rsid w:val="0023054F"/>
    <w:rsid w:val="00230D64"/>
    <w:rsid w:val="002310CF"/>
    <w:rsid w:val="00231533"/>
    <w:rsid w:val="002319BE"/>
    <w:rsid w:val="002319FB"/>
    <w:rsid w:val="00231B35"/>
    <w:rsid w:val="00231B44"/>
    <w:rsid w:val="00231BFD"/>
    <w:rsid w:val="00231C49"/>
    <w:rsid w:val="00231DAE"/>
    <w:rsid w:val="00231F20"/>
    <w:rsid w:val="00231F79"/>
    <w:rsid w:val="00232018"/>
    <w:rsid w:val="00232246"/>
    <w:rsid w:val="002326F4"/>
    <w:rsid w:val="00232866"/>
    <w:rsid w:val="00232977"/>
    <w:rsid w:val="00232AB8"/>
    <w:rsid w:val="00232CD2"/>
    <w:rsid w:val="00232D38"/>
    <w:rsid w:val="00232DA4"/>
    <w:rsid w:val="00233062"/>
    <w:rsid w:val="002334E5"/>
    <w:rsid w:val="0023379D"/>
    <w:rsid w:val="00233B5B"/>
    <w:rsid w:val="00234019"/>
    <w:rsid w:val="00234025"/>
    <w:rsid w:val="002340B6"/>
    <w:rsid w:val="00234795"/>
    <w:rsid w:val="002348E6"/>
    <w:rsid w:val="00234BA2"/>
    <w:rsid w:val="00234F60"/>
    <w:rsid w:val="00235029"/>
    <w:rsid w:val="002350F4"/>
    <w:rsid w:val="0023513B"/>
    <w:rsid w:val="00235582"/>
    <w:rsid w:val="0023569F"/>
    <w:rsid w:val="002359FB"/>
    <w:rsid w:val="00235B9E"/>
    <w:rsid w:val="00235C85"/>
    <w:rsid w:val="00235C8E"/>
    <w:rsid w:val="00235E3E"/>
    <w:rsid w:val="00235FC0"/>
    <w:rsid w:val="002370AB"/>
    <w:rsid w:val="0023721A"/>
    <w:rsid w:val="002373DA"/>
    <w:rsid w:val="00237532"/>
    <w:rsid w:val="00237872"/>
    <w:rsid w:val="00237AAF"/>
    <w:rsid w:val="002400ED"/>
    <w:rsid w:val="002401D0"/>
    <w:rsid w:val="002404D8"/>
    <w:rsid w:val="002407F4"/>
    <w:rsid w:val="0024092A"/>
    <w:rsid w:val="00240A58"/>
    <w:rsid w:val="00240E4B"/>
    <w:rsid w:val="0024130E"/>
    <w:rsid w:val="002427CA"/>
    <w:rsid w:val="00242B7A"/>
    <w:rsid w:val="00242CC1"/>
    <w:rsid w:val="00242E0A"/>
    <w:rsid w:val="00243090"/>
    <w:rsid w:val="0024333E"/>
    <w:rsid w:val="00243688"/>
    <w:rsid w:val="0024398A"/>
    <w:rsid w:val="00244010"/>
    <w:rsid w:val="00244501"/>
    <w:rsid w:val="00244636"/>
    <w:rsid w:val="00244898"/>
    <w:rsid w:val="00244CE4"/>
    <w:rsid w:val="002452EA"/>
    <w:rsid w:val="00245780"/>
    <w:rsid w:val="002460D2"/>
    <w:rsid w:val="002462C4"/>
    <w:rsid w:val="002468D9"/>
    <w:rsid w:val="00246A1F"/>
    <w:rsid w:val="0024716D"/>
    <w:rsid w:val="002472D3"/>
    <w:rsid w:val="002473D3"/>
    <w:rsid w:val="00247559"/>
    <w:rsid w:val="00247648"/>
    <w:rsid w:val="002479B8"/>
    <w:rsid w:val="00247A0E"/>
    <w:rsid w:val="00247C5A"/>
    <w:rsid w:val="00250489"/>
    <w:rsid w:val="0025052B"/>
    <w:rsid w:val="002506EB"/>
    <w:rsid w:val="00250914"/>
    <w:rsid w:val="00250B02"/>
    <w:rsid w:val="00250BB4"/>
    <w:rsid w:val="00250F62"/>
    <w:rsid w:val="0025173B"/>
    <w:rsid w:val="002518F3"/>
    <w:rsid w:val="002519DC"/>
    <w:rsid w:val="00251CFD"/>
    <w:rsid w:val="00251D7A"/>
    <w:rsid w:val="002527D5"/>
    <w:rsid w:val="00252B74"/>
    <w:rsid w:val="00253050"/>
    <w:rsid w:val="002531C4"/>
    <w:rsid w:val="00253226"/>
    <w:rsid w:val="002533F5"/>
    <w:rsid w:val="00253709"/>
    <w:rsid w:val="002537D0"/>
    <w:rsid w:val="00253D2A"/>
    <w:rsid w:val="00253D54"/>
    <w:rsid w:val="00253FCB"/>
    <w:rsid w:val="002543F3"/>
    <w:rsid w:val="00254602"/>
    <w:rsid w:val="002546B7"/>
    <w:rsid w:val="00254979"/>
    <w:rsid w:val="00254B10"/>
    <w:rsid w:val="00254D29"/>
    <w:rsid w:val="00254D72"/>
    <w:rsid w:val="00254DE0"/>
    <w:rsid w:val="00255225"/>
    <w:rsid w:val="002552D9"/>
    <w:rsid w:val="00255CBD"/>
    <w:rsid w:val="00255D40"/>
    <w:rsid w:val="00255D53"/>
    <w:rsid w:val="00255DEF"/>
    <w:rsid w:val="00255E9C"/>
    <w:rsid w:val="00256308"/>
    <w:rsid w:val="00256C6F"/>
    <w:rsid w:val="0025728B"/>
    <w:rsid w:val="002577B8"/>
    <w:rsid w:val="00257BDD"/>
    <w:rsid w:val="0026039B"/>
    <w:rsid w:val="00260499"/>
    <w:rsid w:val="0026056B"/>
    <w:rsid w:val="002606EC"/>
    <w:rsid w:val="00260900"/>
    <w:rsid w:val="00260CDE"/>
    <w:rsid w:val="0026113C"/>
    <w:rsid w:val="0026143C"/>
    <w:rsid w:val="00261602"/>
    <w:rsid w:val="00261627"/>
    <w:rsid w:val="00261918"/>
    <w:rsid w:val="002619DF"/>
    <w:rsid w:val="00261A07"/>
    <w:rsid w:val="00261C01"/>
    <w:rsid w:val="00261E7C"/>
    <w:rsid w:val="00261FC9"/>
    <w:rsid w:val="00262544"/>
    <w:rsid w:val="00262580"/>
    <w:rsid w:val="002626BF"/>
    <w:rsid w:val="00262C01"/>
    <w:rsid w:val="00262C09"/>
    <w:rsid w:val="00262F15"/>
    <w:rsid w:val="00262F52"/>
    <w:rsid w:val="00263270"/>
    <w:rsid w:val="002639EC"/>
    <w:rsid w:val="00263A5D"/>
    <w:rsid w:val="00263BEA"/>
    <w:rsid w:val="00264038"/>
    <w:rsid w:val="0026459D"/>
    <w:rsid w:val="002647BB"/>
    <w:rsid w:val="00264FAB"/>
    <w:rsid w:val="00265419"/>
    <w:rsid w:val="002654F9"/>
    <w:rsid w:val="002656FA"/>
    <w:rsid w:val="00266270"/>
    <w:rsid w:val="00266479"/>
    <w:rsid w:val="002666D2"/>
    <w:rsid w:val="002668D6"/>
    <w:rsid w:val="00266ACF"/>
    <w:rsid w:val="00266C42"/>
    <w:rsid w:val="00266C9F"/>
    <w:rsid w:val="00267295"/>
    <w:rsid w:val="002674DA"/>
    <w:rsid w:val="0026755E"/>
    <w:rsid w:val="00267F77"/>
    <w:rsid w:val="002702E1"/>
    <w:rsid w:val="002703A2"/>
    <w:rsid w:val="002704E5"/>
    <w:rsid w:val="002706C4"/>
    <w:rsid w:val="00270B15"/>
    <w:rsid w:val="00271119"/>
    <w:rsid w:val="00271716"/>
    <w:rsid w:val="0027174D"/>
    <w:rsid w:val="00271A0A"/>
    <w:rsid w:val="00271BDE"/>
    <w:rsid w:val="00272073"/>
    <w:rsid w:val="002720E2"/>
    <w:rsid w:val="00272203"/>
    <w:rsid w:val="002724F3"/>
    <w:rsid w:val="00272C00"/>
    <w:rsid w:val="002731F1"/>
    <w:rsid w:val="00273699"/>
    <w:rsid w:val="00273AD1"/>
    <w:rsid w:val="002740A3"/>
    <w:rsid w:val="002740F5"/>
    <w:rsid w:val="002742E8"/>
    <w:rsid w:val="002743D8"/>
    <w:rsid w:val="00274741"/>
    <w:rsid w:val="00274DD9"/>
    <w:rsid w:val="00274F1B"/>
    <w:rsid w:val="0027500A"/>
    <w:rsid w:val="002753FC"/>
    <w:rsid w:val="00275400"/>
    <w:rsid w:val="002754EA"/>
    <w:rsid w:val="002757E9"/>
    <w:rsid w:val="00275A22"/>
    <w:rsid w:val="00275CCC"/>
    <w:rsid w:val="00275D3E"/>
    <w:rsid w:val="00275E7C"/>
    <w:rsid w:val="00275F80"/>
    <w:rsid w:val="002760FB"/>
    <w:rsid w:val="002768E8"/>
    <w:rsid w:val="00276D45"/>
    <w:rsid w:val="00276F02"/>
    <w:rsid w:val="0027746D"/>
    <w:rsid w:val="0027769A"/>
    <w:rsid w:val="00277711"/>
    <w:rsid w:val="00277733"/>
    <w:rsid w:val="00277854"/>
    <w:rsid w:val="00277D7D"/>
    <w:rsid w:val="00277D8D"/>
    <w:rsid w:val="00280523"/>
    <w:rsid w:val="0028082F"/>
    <w:rsid w:val="002810E9"/>
    <w:rsid w:val="00281149"/>
    <w:rsid w:val="00281366"/>
    <w:rsid w:val="00281504"/>
    <w:rsid w:val="002815B0"/>
    <w:rsid w:val="00281866"/>
    <w:rsid w:val="00281962"/>
    <w:rsid w:val="0028198C"/>
    <w:rsid w:val="00281A71"/>
    <w:rsid w:val="00281D31"/>
    <w:rsid w:val="00282128"/>
    <w:rsid w:val="0028265F"/>
    <w:rsid w:val="00282B59"/>
    <w:rsid w:val="00282C51"/>
    <w:rsid w:val="00282D29"/>
    <w:rsid w:val="00282DC0"/>
    <w:rsid w:val="00282FFD"/>
    <w:rsid w:val="00283354"/>
    <w:rsid w:val="00283764"/>
    <w:rsid w:val="00283886"/>
    <w:rsid w:val="002838FB"/>
    <w:rsid w:val="00283F6F"/>
    <w:rsid w:val="0028404F"/>
    <w:rsid w:val="0028418E"/>
    <w:rsid w:val="002847B8"/>
    <w:rsid w:val="00284AED"/>
    <w:rsid w:val="00284DC8"/>
    <w:rsid w:val="0028527B"/>
    <w:rsid w:val="00286048"/>
    <w:rsid w:val="002864E1"/>
    <w:rsid w:val="00286592"/>
    <w:rsid w:val="00286F10"/>
    <w:rsid w:val="00286FB6"/>
    <w:rsid w:val="00287389"/>
    <w:rsid w:val="0028747D"/>
    <w:rsid w:val="0028749D"/>
    <w:rsid w:val="00287582"/>
    <w:rsid w:val="00287750"/>
    <w:rsid w:val="00287A39"/>
    <w:rsid w:val="002901DA"/>
    <w:rsid w:val="0029070F"/>
    <w:rsid w:val="00290806"/>
    <w:rsid w:val="002908AC"/>
    <w:rsid w:val="00290B45"/>
    <w:rsid w:val="00290E4C"/>
    <w:rsid w:val="00290ECD"/>
    <w:rsid w:val="002910C1"/>
    <w:rsid w:val="002913B6"/>
    <w:rsid w:val="00291661"/>
    <w:rsid w:val="002918B3"/>
    <w:rsid w:val="0029196E"/>
    <w:rsid w:val="00291ADC"/>
    <w:rsid w:val="00291B11"/>
    <w:rsid w:val="00291D4F"/>
    <w:rsid w:val="0029258B"/>
    <w:rsid w:val="002927D8"/>
    <w:rsid w:val="00292EF9"/>
    <w:rsid w:val="002930B2"/>
    <w:rsid w:val="00293190"/>
    <w:rsid w:val="002932BC"/>
    <w:rsid w:val="0029380F"/>
    <w:rsid w:val="00293C2A"/>
    <w:rsid w:val="002943DC"/>
    <w:rsid w:val="0029464B"/>
    <w:rsid w:val="00294715"/>
    <w:rsid w:val="0029479A"/>
    <w:rsid w:val="002947EB"/>
    <w:rsid w:val="00294A82"/>
    <w:rsid w:val="00294BAC"/>
    <w:rsid w:val="00294BBA"/>
    <w:rsid w:val="00295231"/>
    <w:rsid w:val="002953F5"/>
    <w:rsid w:val="002959BD"/>
    <w:rsid w:val="00295EEC"/>
    <w:rsid w:val="00295F41"/>
    <w:rsid w:val="002960C6"/>
    <w:rsid w:val="00296F29"/>
    <w:rsid w:val="00297214"/>
    <w:rsid w:val="00297904"/>
    <w:rsid w:val="00297A67"/>
    <w:rsid w:val="00297B69"/>
    <w:rsid w:val="00297EA2"/>
    <w:rsid w:val="00297EB0"/>
    <w:rsid w:val="002A0113"/>
    <w:rsid w:val="002A0386"/>
    <w:rsid w:val="002A0637"/>
    <w:rsid w:val="002A0685"/>
    <w:rsid w:val="002A079B"/>
    <w:rsid w:val="002A0A6E"/>
    <w:rsid w:val="002A0C56"/>
    <w:rsid w:val="002A0DAF"/>
    <w:rsid w:val="002A0E43"/>
    <w:rsid w:val="002A0ED2"/>
    <w:rsid w:val="002A10AC"/>
    <w:rsid w:val="002A142E"/>
    <w:rsid w:val="002A143F"/>
    <w:rsid w:val="002A1699"/>
    <w:rsid w:val="002A1740"/>
    <w:rsid w:val="002A1ED8"/>
    <w:rsid w:val="002A2B80"/>
    <w:rsid w:val="002A32B3"/>
    <w:rsid w:val="002A39E3"/>
    <w:rsid w:val="002A4454"/>
    <w:rsid w:val="002A4AF6"/>
    <w:rsid w:val="002A4DB9"/>
    <w:rsid w:val="002A5027"/>
    <w:rsid w:val="002A5072"/>
    <w:rsid w:val="002A50B2"/>
    <w:rsid w:val="002A5319"/>
    <w:rsid w:val="002A5C95"/>
    <w:rsid w:val="002A5CF3"/>
    <w:rsid w:val="002A5EE0"/>
    <w:rsid w:val="002A609A"/>
    <w:rsid w:val="002A60A2"/>
    <w:rsid w:val="002A6358"/>
    <w:rsid w:val="002A65B3"/>
    <w:rsid w:val="002A6641"/>
    <w:rsid w:val="002A685B"/>
    <w:rsid w:val="002A6A4C"/>
    <w:rsid w:val="002A6BB3"/>
    <w:rsid w:val="002A6DA9"/>
    <w:rsid w:val="002A6E9E"/>
    <w:rsid w:val="002A7566"/>
    <w:rsid w:val="002A7964"/>
    <w:rsid w:val="002B06CF"/>
    <w:rsid w:val="002B1082"/>
    <w:rsid w:val="002B1792"/>
    <w:rsid w:val="002B194C"/>
    <w:rsid w:val="002B1AF3"/>
    <w:rsid w:val="002B1D10"/>
    <w:rsid w:val="002B2281"/>
    <w:rsid w:val="002B229E"/>
    <w:rsid w:val="002B2376"/>
    <w:rsid w:val="002B248A"/>
    <w:rsid w:val="002B274F"/>
    <w:rsid w:val="002B2CF1"/>
    <w:rsid w:val="002B32F1"/>
    <w:rsid w:val="002B35D6"/>
    <w:rsid w:val="002B3713"/>
    <w:rsid w:val="002B37E9"/>
    <w:rsid w:val="002B3A92"/>
    <w:rsid w:val="002B3FC3"/>
    <w:rsid w:val="002B4054"/>
    <w:rsid w:val="002B40AF"/>
    <w:rsid w:val="002B4164"/>
    <w:rsid w:val="002B4650"/>
    <w:rsid w:val="002B47FC"/>
    <w:rsid w:val="002B4AD1"/>
    <w:rsid w:val="002B4D02"/>
    <w:rsid w:val="002B4E38"/>
    <w:rsid w:val="002B54B3"/>
    <w:rsid w:val="002B55E0"/>
    <w:rsid w:val="002B5718"/>
    <w:rsid w:val="002B5D8C"/>
    <w:rsid w:val="002B604F"/>
    <w:rsid w:val="002B65F7"/>
    <w:rsid w:val="002B6AA2"/>
    <w:rsid w:val="002B6D2E"/>
    <w:rsid w:val="002B6E45"/>
    <w:rsid w:val="002B74C1"/>
    <w:rsid w:val="002B7744"/>
    <w:rsid w:val="002B78E9"/>
    <w:rsid w:val="002C0004"/>
    <w:rsid w:val="002C0464"/>
    <w:rsid w:val="002C054F"/>
    <w:rsid w:val="002C0774"/>
    <w:rsid w:val="002C0792"/>
    <w:rsid w:val="002C0A04"/>
    <w:rsid w:val="002C0B80"/>
    <w:rsid w:val="002C0C63"/>
    <w:rsid w:val="002C0E46"/>
    <w:rsid w:val="002C10AA"/>
    <w:rsid w:val="002C1140"/>
    <w:rsid w:val="002C1261"/>
    <w:rsid w:val="002C1464"/>
    <w:rsid w:val="002C1884"/>
    <w:rsid w:val="002C1C9E"/>
    <w:rsid w:val="002C1D4E"/>
    <w:rsid w:val="002C1EF7"/>
    <w:rsid w:val="002C2178"/>
    <w:rsid w:val="002C2224"/>
    <w:rsid w:val="002C2652"/>
    <w:rsid w:val="002C26E0"/>
    <w:rsid w:val="002C28CA"/>
    <w:rsid w:val="002C3175"/>
    <w:rsid w:val="002C332B"/>
    <w:rsid w:val="002C34BF"/>
    <w:rsid w:val="002C36CB"/>
    <w:rsid w:val="002C3B21"/>
    <w:rsid w:val="002C3CAF"/>
    <w:rsid w:val="002C3D27"/>
    <w:rsid w:val="002C49B6"/>
    <w:rsid w:val="002C4FB7"/>
    <w:rsid w:val="002C5707"/>
    <w:rsid w:val="002C5A30"/>
    <w:rsid w:val="002C5B5E"/>
    <w:rsid w:val="002C5FEA"/>
    <w:rsid w:val="002C606F"/>
    <w:rsid w:val="002C6094"/>
    <w:rsid w:val="002C690A"/>
    <w:rsid w:val="002C6921"/>
    <w:rsid w:val="002C6F50"/>
    <w:rsid w:val="002C78C7"/>
    <w:rsid w:val="002C7DAB"/>
    <w:rsid w:val="002C7E6E"/>
    <w:rsid w:val="002D01D4"/>
    <w:rsid w:val="002D07C0"/>
    <w:rsid w:val="002D092C"/>
    <w:rsid w:val="002D0EA2"/>
    <w:rsid w:val="002D0FDE"/>
    <w:rsid w:val="002D1473"/>
    <w:rsid w:val="002D18B5"/>
    <w:rsid w:val="002D198E"/>
    <w:rsid w:val="002D19B8"/>
    <w:rsid w:val="002D1BA4"/>
    <w:rsid w:val="002D2224"/>
    <w:rsid w:val="002D25BE"/>
    <w:rsid w:val="002D2D5C"/>
    <w:rsid w:val="002D3041"/>
    <w:rsid w:val="002D31E8"/>
    <w:rsid w:val="002D3309"/>
    <w:rsid w:val="002D370B"/>
    <w:rsid w:val="002D37CF"/>
    <w:rsid w:val="002D3B21"/>
    <w:rsid w:val="002D41F7"/>
    <w:rsid w:val="002D4737"/>
    <w:rsid w:val="002D4831"/>
    <w:rsid w:val="002D4A72"/>
    <w:rsid w:val="002D4B77"/>
    <w:rsid w:val="002D4BE2"/>
    <w:rsid w:val="002D4C39"/>
    <w:rsid w:val="002D4D1A"/>
    <w:rsid w:val="002D4DC0"/>
    <w:rsid w:val="002D5180"/>
    <w:rsid w:val="002D572F"/>
    <w:rsid w:val="002D5A1A"/>
    <w:rsid w:val="002D5C33"/>
    <w:rsid w:val="002D5CDB"/>
    <w:rsid w:val="002D5E91"/>
    <w:rsid w:val="002D636D"/>
    <w:rsid w:val="002D6438"/>
    <w:rsid w:val="002D6528"/>
    <w:rsid w:val="002D6601"/>
    <w:rsid w:val="002D66D9"/>
    <w:rsid w:val="002D67AB"/>
    <w:rsid w:val="002D6FBC"/>
    <w:rsid w:val="002D6FF4"/>
    <w:rsid w:val="002D70AC"/>
    <w:rsid w:val="002D719D"/>
    <w:rsid w:val="002D7620"/>
    <w:rsid w:val="002D7A2E"/>
    <w:rsid w:val="002D7A96"/>
    <w:rsid w:val="002E0106"/>
    <w:rsid w:val="002E022C"/>
    <w:rsid w:val="002E047C"/>
    <w:rsid w:val="002E0663"/>
    <w:rsid w:val="002E0EDA"/>
    <w:rsid w:val="002E107E"/>
    <w:rsid w:val="002E1084"/>
    <w:rsid w:val="002E12D1"/>
    <w:rsid w:val="002E158A"/>
    <w:rsid w:val="002E16C4"/>
    <w:rsid w:val="002E1936"/>
    <w:rsid w:val="002E1C00"/>
    <w:rsid w:val="002E244C"/>
    <w:rsid w:val="002E26F9"/>
    <w:rsid w:val="002E280D"/>
    <w:rsid w:val="002E2833"/>
    <w:rsid w:val="002E2902"/>
    <w:rsid w:val="002E3235"/>
    <w:rsid w:val="002E3CF9"/>
    <w:rsid w:val="002E40F0"/>
    <w:rsid w:val="002E41A8"/>
    <w:rsid w:val="002E41C9"/>
    <w:rsid w:val="002E49DC"/>
    <w:rsid w:val="002E4D24"/>
    <w:rsid w:val="002E4E14"/>
    <w:rsid w:val="002E4FF4"/>
    <w:rsid w:val="002E54F2"/>
    <w:rsid w:val="002E5FE7"/>
    <w:rsid w:val="002E6300"/>
    <w:rsid w:val="002E63EC"/>
    <w:rsid w:val="002E6455"/>
    <w:rsid w:val="002E659E"/>
    <w:rsid w:val="002E65F4"/>
    <w:rsid w:val="002E6751"/>
    <w:rsid w:val="002E67BC"/>
    <w:rsid w:val="002E6CE2"/>
    <w:rsid w:val="002E6F00"/>
    <w:rsid w:val="002E7099"/>
    <w:rsid w:val="002E772B"/>
    <w:rsid w:val="002E7D73"/>
    <w:rsid w:val="002E7DCA"/>
    <w:rsid w:val="002F02F5"/>
    <w:rsid w:val="002F0433"/>
    <w:rsid w:val="002F063C"/>
    <w:rsid w:val="002F0E3C"/>
    <w:rsid w:val="002F0F83"/>
    <w:rsid w:val="002F1393"/>
    <w:rsid w:val="002F163B"/>
    <w:rsid w:val="002F1AB0"/>
    <w:rsid w:val="002F1BE3"/>
    <w:rsid w:val="002F1C80"/>
    <w:rsid w:val="002F1DD6"/>
    <w:rsid w:val="002F1FB5"/>
    <w:rsid w:val="002F2111"/>
    <w:rsid w:val="002F214A"/>
    <w:rsid w:val="002F226C"/>
    <w:rsid w:val="002F2504"/>
    <w:rsid w:val="002F2771"/>
    <w:rsid w:val="002F289B"/>
    <w:rsid w:val="002F2A17"/>
    <w:rsid w:val="002F2CBA"/>
    <w:rsid w:val="002F31CB"/>
    <w:rsid w:val="002F3303"/>
    <w:rsid w:val="002F3410"/>
    <w:rsid w:val="002F3776"/>
    <w:rsid w:val="002F37FE"/>
    <w:rsid w:val="002F3D64"/>
    <w:rsid w:val="002F4076"/>
    <w:rsid w:val="002F40F3"/>
    <w:rsid w:val="002F4119"/>
    <w:rsid w:val="002F41BA"/>
    <w:rsid w:val="002F423A"/>
    <w:rsid w:val="002F4327"/>
    <w:rsid w:val="002F4B62"/>
    <w:rsid w:val="002F4B64"/>
    <w:rsid w:val="002F4F2F"/>
    <w:rsid w:val="002F5462"/>
    <w:rsid w:val="002F54AA"/>
    <w:rsid w:val="002F55C6"/>
    <w:rsid w:val="002F5657"/>
    <w:rsid w:val="002F5DAF"/>
    <w:rsid w:val="002F61E7"/>
    <w:rsid w:val="002F67DC"/>
    <w:rsid w:val="002F6A08"/>
    <w:rsid w:val="002F6A0C"/>
    <w:rsid w:val="002F6A4B"/>
    <w:rsid w:val="002F6C2E"/>
    <w:rsid w:val="002F7406"/>
    <w:rsid w:val="002F754A"/>
    <w:rsid w:val="002F780A"/>
    <w:rsid w:val="002F7C13"/>
    <w:rsid w:val="002F7DCB"/>
    <w:rsid w:val="003001C5"/>
    <w:rsid w:val="00300265"/>
    <w:rsid w:val="0030028F"/>
    <w:rsid w:val="00300718"/>
    <w:rsid w:val="0030078A"/>
    <w:rsid w:val="00300864"/>
    <w:rsid w:val="0030091D"/>
    <w:rsid w:val="00300AC6"/>
    <w:rsid w:val="00300E92"/>
    <w:rsid w:val="003012C5"/>
    <w:rsid w:val="003013BF"/>
    <w:rsid w:val="00301444"/>
    <w:rsid w:val="00301943"/>
    <w:rsid w:val="00301FD0"/>
    <w:rsid w:val="00301FF9"/>
    <w:rsid w:val="003020A4"/>
    <w:rsid w:val="003020D7"/>
    <w:rsid w:val="0030285F"/>
    <w:rsid w:val="0030299D"/>
    <w:rsid w:val="003029FA"/>
    <w:rsid w:val="00302C91"/>
    <w:rsid w:val="00303072"/>
    <w:rsid w:val="003030A8"/>
    <w:rsid w:val="0030333C"/>
    <w:rsid w:val="00303548"/>
    <w:rsid w:val="00303CA7"/>
    <w:rsid w:val="00303FAE"/>
    <w:rsid w:val="00304211"/>
    <w:rsid w:val="00304266"/>
    <w:rsid w:val="003042EF"/>
    <w:rsid w:val="00304649"/>
    <w:rsid w:val="00304DAC"/>
    <w:rsid w:val="00304FD1"/>
    <w:rsid w:val="003050A7"/>
    <w:rsid w:val="00305155"/>
    <w:rsid w:val="003052E2"/>
    <w:rsid w:val="003057EA"/>
    <w:rsid w:val="003059B3"/>
    <w:rsid w:val="00305E39"/>
    <w:rsid w:val="0030610B"/>
    <w:rsid w:val="003064C1"/>
    <w:rsid w:val="00306B7E"/>
    <w:rsid w:val="00306BEE"/>
    <w:rsid w:val="00307120"/>
    <w:rsid w:val="003075D4"/>
    <w:rsid w:val="00307C4E"/>
    <w:rsid w:val="00307E5F"/>
    <w:rsid w:val="0031009E"/>
    <w:rsid w:val="003107E1"/>
    <w:rsid w:val="00310A7C"/>
    <w:rsid w:val="00310CA6"/>
    <w:rsid w:val="003114A8"/>
    <w:rsid w:val="00311ED0"/>
    <w:rsid w:val="00312083"/>
    <w:rsid w:val="00312118"/>
    <w:rsid w:val="003121C1"/>
    <w:rsid w:val="00312215"/>
    <w:rsid w:val="00312276"/>
    <w:rsid w:val="00312658"/>
    <w:rsid w:val="0031267F"/>
    <w:rsid w:val="00312A70"/>
    <w:rsid w:val="00312A83"/>
    <w:rsid w:val="00312C83"/>
    <w:rsid w:val="00312F84"/>
    <w:rsid w:val="003130BA"/>
    <w:rsid w:val="0031314E"/>
    <w:rsid w:val="00313FE4"/>
    <w:rsid w:val="003142AD"/>
    <w:rsid w:val="0031457F"/>
    <w:rsid w:val="00314AA1"/>
    <w:rsid w:val="00314AF2"/>
    <w:rsid w:val="00314B0C"/>
    <w:rsid w:val="00314B44"/>
    <w:rsid w:val="00314B46"/>
    <w:rsid w:val="00314D05"/>
    <w:rsid w:val="00314D3D"/>
    <w:rsid w:val="00314D89"/>
    <w:rsid w:val="00315090"/>
    <w:rsid w:val="003155B3"/>
    <w:rsid w:val="003156A0"/>
    <w:rsid w:val="0031594D"/>
    <w:rsid w:val="00315A2F"/>
    <w:rsid w:val="00315B2B"/>
    <w:rsid w:val="00315B6D"/>
    <w:rsid w:val="00315C25"/>
    <w:rsid w:val="0031646A"/>
    <w:rsid w:val="003164AB"/>
    <w:rsid w:val="00316B00"/>
    <w:rsid w:val="00316C47"/>
    <w:rsid w:val="00317155"/>
    <w:rsid w:val="0031761E"/>
    <w:rsid w:val="00317649"/>
    <w:rsid w:val="003179C4"/>
    <w:rsid w:val="00317D24"/>
    <w:rsid w:val="00317E3B"/>
    <w:rsid w:val="003203C2"/>
    <w:rsid w:val="00320455"/>
    <w:rsid w:val="00320927"/>
    <w:rsid w:val="00320DE1"/>
    <w:rsid w:val="00320E4B"/>
    <w:rsid w:val="003216E9"/>
    <w:rsid w:val="003218EE"/>
    <w:rsid w:val="00321A0A"/>
    <w:rsid w:val="00321C86"/>
    <w:rsid w:val="00321F4B"/>
    <w:rsid w:val="003222F0"/>
    <w:rsid w:val="00322315"/>
    <w:rsid w:val="0032275F"/>
    <w:rsid w:val="00322971"/>
    <w:rsid w:val="00322974"/>
    <w:rsid w:val="003233AA"/>
    <w:rsid w:val="003233C5"/>
    <w:rsid w:val="00323462"/>
    <w:rsid w:val="00323736"/>
    <w:rsid w:val="0032373B"/>
    <w:rsid w:val="00323AE6"/>
    <w:rsid w:val="00324036"/>
    <w:rsid w:val="00324689"/>
    <w:rsid w:val="00324ACB"/>
    <w:rsid w:val="00324BD5"/>
    <w:rsid w:val="003252C4"/>
    <w:rsid w:val="0032548E"/>
    <w:rsid w:val="003257FD"/>
    <w:rsid w:val="00325B82"/>
    <w:rsid w:val="003261E6"/>
    <w:rsid w:val="003265CA"/>
    <w:rsid w:val="00326903"/>
    <w:rsid w:val="00326F86"/>
    <w:rsid w:val="00326F95"/>
    <w:rsid w:val="00327145"/>
    <w:rsid w:val="003273E0"/>
    <w:rsid w:val="003275DD"/>
    <w:rsid w:val="00327D91"/>
    <w:rsid w:val="00330053"/>
    <w:rsid w:val="003301B2"/>
    <w:rsid w:val="00330389"/>
    <w:rsid w:val="003304D1"/>
    <w:rsid w:val="003309C3"/>
    <w:rsid w:val="003314B3"/>
    <w:rsid w:val="00331762"/>
    <w:rsid w:val="00331910"/>
    <w:rsid w:val="00331D1F"/>
    <w:rsid w:val="00331F9E"/>
    <w:rsid w:val="003324C5"/>
    <w:rsid w:val="00332860"/>
    <w:rsid w:val="00332A74"/>
    <w:rsid w:val="00332AD2"/>
    <w:rsid w:val="003332BD"/>
    <w:rsid w:val="003332F7"/>
    <w:rsid w:val="00333641"/>
    <w:rsid w:val="00333662"/>
    <w:rsid w:val="003337A4"/>
    <w:rsid w:val="00333D06"/>
    <w:rsid w:val="00333E48"/>
    <w:rsid w:val="0033408E"/>
    <w:rsid w:val="003344D3"/>
    <w:rsid w:val="00334526"/>
    <w:rsid w:val="003345BE"/>
    <w:rsid w:val="00334B4F"/>
    <w:rsid w:val="00334C69"/>
    <w:rsid w:val="00334D29"/>
    <w:rsid w:val="00334EBA"/>
    <w:rsid w:val="00334F68"/>
    <w:rsid w:val="003356C4"/>
    <w:rsid w:val="003360AE"/>
    <w:rsid w:val="00336ECF"/>
    <w:rsid w:val="00336FB5"/>
    <w:rsid w:val="00337008"/>
    <w:rsid w:val="00337680"/>
    <w:rsid w:val="003377B5"/>
    <w:rsid w:val="003378DF"/>
    <w:rsid w:val="003402BC"/>
    <w:rsid w:val="0034051F"/>
    <w:rsid w:val="00340980"/>
    <w:rsid w:val="00340D73"/>
    <w:rsid w:val="00340FCB"/>
    <w:rsid w:val="0034142C"/>
    <w:rsid w:val="00341516"/>
    <w:rsid w:val="00341894"/>
    <w:rsid w:val="003418D3"/>
    <w:rsid w:val="00341EA8"/>
    <w:rsid w:val="00341F9D"/>
    <w:rsid w:val="00341FD2"/>
    <w:rsid w:val="00342789"/>
    <w:rsid w:val="003428F5"/>
    <w:rsid w:val="0034294E"/>
    <w:rsid w:val="00342CBD"/>
    <w:rsid w:val="003431A2"/>
    <w:rsid w:val="003432A6"/>
    <w:rsid w:val="003439BB"/>
    <w:rsid w:val="00343C71"/>
    <w:rsid w:val="00343F35"/>
    <w:rsid w:val="003442D7"/>
    <w:rsid w:val="00344494"/>
    <w:rsid w:val="00344599"/>
    <w:rsid w:val="003445A2"/>
    <w:rsid w:val="0034472F"/>
    <w:rsid w:val="00344752"/>
    <w:rsid w:val="0034478D"/>
    <w:rsid w:val="00344A90"/>
    <w:rsid w:val="00344B4D"/>
    <w:rsid w:val="00344E18"/>
    <w:rsid w:val="00345292"/>
    <w:rsid w:val="003452E4"/>
    <w:rsid w:val="00345469"/>
    <w:rsid w:val="003454B2"/>
    <w:rsid w:val="00345CCB"/>
    <w:rsid w:val="00345FA9"/>
    <w:rsid w:val="00346102"/>
    <w:rsid w:val="0034622A"/>
    <w:rsid w:val="00346A24"/>
    <w:rsid w:val="00346CD7"/>
    <w:rsid w:val="00347100"/>
    <w:rsid w:val="00347222"/>
    <w:rsid w:val="0034734E"/>
    <w:rsid w:val="003473D1"/>
    <w:rsid w:val="0034746A"/>
    <w:rsid w:val="0034762B"/>
    <w:rsid w:val="00347D7F"/>
    <w:rsid w:val="00347DF2"/>
    <w:rsid w:val="00350480"/>
    <w:rsid w:val="003509E8"/>
    <w:rsid w:val="003511A0"/>
    <w:rsid w:val="00351469"/>
    <w:rsid w:val="0035150C"/>
    <w:rsid w:val="003517C8"/>
    <w:rsid w:val="00351A67"/>
    <w:rsid w:val="00351F5B"/>
    <w:rsid w:val="003521B2"/>
    <w:rsid w:val="00352222"/>
    <w:rsid w:val="0035241F"/>
    <w:rsid w:val="00352706"/>
    <w:rsid w:val="0035273A"/>
    <w:rsid w:val="00352B3C"/>
    <w:rsid w:val="00352DF4"/>
    <w:rsid w:val="0035353B"/>
    <w:rsid w:val="003535E7"/>
    <w:rsid w:val="003540FB"/>
    <w:rsid w:val="00354A96"/>
    <w:rsid w:val="00354EBB"/>
    <w:rsid w:val="00354EDA"/>
    <w:rsid w:val="00355033"/>
    <w:rsid w:val="003551DF"/>
    <w:rsid w:val="003551F3"/>
    <w:rsid w:val="00355443"/>
    <w:rsid w:val="00355557"/>
    <w:rsid w:val="00355B2E"/>
    <w:rsid w:val="00355BC8"/>
    <w:rsid w:val="00355DB7"/>
    <w:rsid w:val="00355DB8"/>
    <w:rsid w:val="003561A6"/>
    <w:rsid w:val="00356380"/>
    <w:rsid w:val="003567DE"/>
    <w:rsid w:val="00356A67"/>
    <w:rsid w:val="00357160"/>
    <w:rsid w:val="00357438"/>
    <w:rsid w:val="00357BEF"/>
    <w:rsid w:val="00357C85"/>
    <w:rsid w:val="00357E4F"/>
    <w:rsid w:val="003606BA"/>
    <w:rsid w:val="003607A1"/>
    <w:rsid w:val="00360A3D"/>
    <w:rsid w:val="00360A50"/>
    <w:rsid w:val="00360AB9"/>
    <w:rsid w:val="00360BB3"/>
    <w:rsid w:val="00360D49"/>
    <w:rsid w:val="00360DDF"/>
    <w:rsid w:val="003610E6"/>
    <w:rsid w:val="003613FF"/>
    <w:rsid w:val="0036159E"/>
    <w:rsid w:val="003617D7"/>
    <w:rsid w:val="00361B6C"/>
    <w:rsid w:val="003621B8"/>
    <w:rsid w:val="00362271"/>
    <w:rsid w:val="0036259C"/>
    <w:rsid w:val="0036262C"/>
    <w:rsid w:val="0036297E"/>
    <w:rsid w:val="00362F6E"/>
    <w:rsid w:val="00362F82"/>
    <w:rsid w:val="003632A4"/>
    <w:rsid w:val="00363411"/>
    <w:rsid w:val="003634A2"/>
    <w:rsid w:val="00363571"/>
    <w:rsid w:val="003636AD"/>
    <w:rsid w:val="00363ABD"/>
    <w:rsid w:val="00363BBF"/>
    <w:rsid w:val="00363CA7"/>
    <w:rsid w:val="00363D68"/>
    <w:rsid w:val="00363D80"/>
    <w:rsid w:val="00363DA8"/>
    <w:rsid w:val="00364006"/>
    <w:rsid w:val="00364125"/>
    <w:rsid w:val="00364266"/>
    <w:rsid w:val="003643AF"/>
    <w:rsid w:val="00364458"/>
    <w:rsid w:val="00364D32"/>
    <w:rsid w:val="00365102"/>
    <w:rsid w:val="00365A69"/>
    <w:rsid w:val="00365B2A"/>
    <w:rsid w:val="003663DA"/>
    <w:rsid w:val="0036693B"/>
    <w:rsid w:val="00366B13"/>
    <w:rsid w:val="00366C75"/>
    <w:rsid w:val="00366CAE"/>
    <w:rsid w:val="003673AD"/>
    <w:rsid w:val="00367817"/>
    <w:rsid w:val="00367D87"/>
    <w:rsid w:val="0037003D"/>
    <w:rsid w:val="0037019D"/>
    <w:rsid w:val="00370411"/>
    <w:rsid w:val="00370CEB"/>
    <w:rsid w:val="00371A92"/>
    <w:rsid w:val="00371DBD"/>
    <w:rsid w:val="00371EC7"/>
    <w:rsid w:val="00372203"/>
    <w:rsid w:val="00372238"/>
    <w:rsid w:val="00372387"/>
    <w:rsid w:val="00372BB8"/>
    <w:rsid w:val="00372D0B"/>
    <w:rsid w:val="003731A9"/>
    <w:rsid w:val="00373338"/>
    <w:rsid w:val="00373472"/>
    <w:rsid w:val="003739C1"/>
    <w:rsid w:val="00373A57"/>
    <w:rsid w:val="00373B46"/>
    <w:rsid w:val="00373D4D"/>
    <w:rsid w:val="00373D54"/>
    <w:rsid w:val="00373D97"/>
    <w:rsid w:val="003741AA"/>
    <w:rsid w:val="00374346"/>
    <w:rsid w:val="0037479F"/>
    <w:rsid w:val="00374A2F"/>
    <w:rsid w:val="00374DA8"/>
    <w:rsid w:val="00374ECD"/>
    <w:rsid w:val="00375130"/>
    <w:rsid w:val="003753A4"/>
    <w:rsid w:val="003754DC"/>
    <w:rsid w:val="003756DD"/>
    <w:rsid w:val="00375A13"/>
    <w:rsid w:val="00375BEF"/>
    <w:rsid w:val="00375C63"/>
    <w:rsid w:val="00375C96"/>
    <w:rsid w:val="00375EB8"/>
    <w:rsid w:val="00376317"/>
    <w:rsid w:val="0037664E"/>
    <w:rsid w:val="003766FF"/>
    <w:rsid w:val="00376A11"/>
    <w:rsid w:val="00376E63"/>
    <w:rsid w:val="00376F97"/>
    <w:rsid w:val="00377632"/>
    <w:rsid w:val="00377AE4"/>
    <w:rsid w:val="003800B1"/>
    <w:rsid w:val="003809F6"/>
    <w:rsid w:val="00381122"/>
    <w:rsid w:val="00381147"/>
    <w:rsid w:val="003811E7"/>
    <w:rsid w:val="00381218"/>
    <w:rsid w:val="003818B7"/>
    <w:rsid w:val="00381905"/>
    <w:rsid w:val="00382014"/>
    <w:rsid w:val="003827B1"/>
    <w:rsid w:val="003829F1"/>
    <w:rsid w:val="00382A37"/>
    <w:rsid w:val="00382A65"/>
    <w:rsid w:val="00382BBE"/>
    <w:rsid w:val="00382E60"/>
    <w:rsid w:val="003833C1"/>
    <w:rsid w:val="0038354E"/>
    <w:rsid w:val="00383693"/>
    <w:rsid w:val="00383903"/>
    <w:rsid w:val="00383997"/>
    <w:rsid w:val="00383E0E"/>
    <w:rsid w:val="00383EEF"/>
    <w:rsid w:val="003840D5"/>
    <w:rsid w:val="0038428B"/>
    <w:rsid w:val="003842E4"/>
    <w:rsid w:val="003844CE"/>
    <w:rsid w:val="00384568"/>
    <w:rsid w:val="00384A35"/>
    <w:rsid w:val="003854E6"/>
    <w:rsid w:val="003858BB"/>
    <w:rsid w:val="00385A13"/>
    <w:rsid w:val="00385AC8"/>
    <w:rsid w:val="00385E67"/>
    <w:rsid w:val="00386021"/>
    <w:rsid w:val="00386026"/>
    <w:rsid w:val="003863C7"/>
    <w:rsid w:val="003863DB"/>
    <w:rsid w:val="00386428"/>
    <w:rsid w:val="00386978"/>
    <w:rsid w:val="0038698B"/>
    <w:rsid w:val="00386B6D"/>
    <w:rsid w:val="00386E04"/>
    <w:rsid w:val="003879BC"/>
    <w:rsid w:val="00387D95"/>
    <w:rsid w:val="00387E02"/>
    <w:rsid w:val="00390132"/>
    <w:rsid w:val="00390D82"/>
    <w:rsid w:val="00390E31"/>
    <w:rsid w:val="00390E97"/>
    <w:rsid w:val="00391098"/>
    <w:rsid w:val="00391153"/>
    <w:rsid w:val="0039120B"/>
    <w:rsid w:val="00391325"/>
    <w:rsid w:val="0039155F"/>
    <w:rsid w:val="0039181B"/>
    <w:rsid w:val="00391A23"/>
    <w:rsid w:val="00391AEA"/>
    <w:rsid w:val="00391C70"/>
    <w:rsid w:val="00391D70"/>
    <w:rsid w:val="00391E2B"/>
    <w:rsid w:val="00391ECF"/>
    <w:rsid w:val="00392385"/>
    <w:rsid w:val="003923CC"/>
    <w:rsid w:val="003923FD"/>
    <w:rsid w:val="00392521"/>
    <w:rsid w:val="00392C0C"/>
    <w:rsid w:val="003930FD"/>
    <w:rsid w:val="00393FDC"/>
    <w:rsid w:val="003943F5"/>
    <w:rsid w:val="003944DC"/>
    <w:rsid w:val="0039488D"/>
    <w:rsid w:val="003948F0"/>
    <w:rsid w:val="00394D71"/>
    <w:rsid w:val="00395267"/>
    <w:rsid w:val="00395415"/>
    <w:rsid w:val="00395669"/>
    <w:rsid w:val="00395D59"/>
    <w:rsid w:val="00395E33"/>
    <w:rsid w:val="00395E5F"/>
    <w:rsid w:val="00395EE4"/>
    <w:rsid w:val="00396080"/>
    <w:rsid w:val="0039673B"/>
    <w:rsid w:val="00396D43"/>
    <w:rsid w:val="00396E2E"/>
    <w:rsid w:val="00396E30"/>
    <w:rsid w:val="00397BE9"/>
    <w:rsid w:val="00397C83"/>
    <w:rsid w:val="00397C8C"/>
    <w:rsid w:val="00397CAE"/>
    <w:rsid w:val="00397CF7"/>
    <w:rsid w:val="003A0237"/>
    <w:rsid w:val="003A02F3"/>
    <w:rsid w:val="003A05BC"/>
    <w:rsid w:val="003A06CA"/>
    <w:rsid w:val="003A0F77"/>
    <w:rsid w:val="003A0F8F"/>
    <w:rsid w:val="003A1234"/>
    <w:rsid w:val="003A12C6"/>
    <w:rsid w:val="003A13F0"/>
    <w:rsid w:val="003A14A8"/>
    <w:rsid w:val="003A1603"/>
    <w:rsid w:val="003A18FB"/>
    <w:rsid w:val="003A1A70"/>
    <w:rsid w:val="003A1A8B"/>
    <w:rsid w:val="003A1AC5"/>
    <w:rsid w:val="003A1C35"/>
    <w:rsid w:val="003A1EE8"/>
    <w:rsid w:val="003A21E9"/>
    <w:rsid w:val="003A22FB"/>
    <w:rsid w:val="003A34F7"/>
    <w:rsid w:val="003A3832"/>
    <w:rsid w:val="003A3902"/>
    <w:rsid w:val="003A3C19"/>
    <w:rsid w:val="003A3FBE"/>
    <w:rsid w:val="003A4044"/>
    <w:rsid w:val="003A44F0"/>
    <w:rsid w:val="003A48BD"/>
    <w:rsid w:val="003A494E"/>
    <w:rsid w:val="003A4E19"/>
    <w:rsid w:val="003A50D1"/>
    <w:rsid w:val="003A5143"/>
    <w:rsid w:val="003A5189"/>
    <w:rsid w:val="003A568A"/>
    <w:rsid w:val="003A5762"/>
    <w:rsid w:val="003A5CB6"/>
    <w:rsid w:val="003A6080"/>
    <w:rsid w:val="003A61A2"/>
    <w:rsid w:val="003A6263"/>
    <w:rsid w:val="003A6375"/>
    <w:rsid w:val="003A6AFA"/>
    <w:rsid w:val="003A6E0D"/>
    <w:rsid w:val="003A773A"/>
    <w:rsid w:val="003A78D3"/>
    <w:rsid w:val="003A7D2F"/>
    <w:rsid w:val="003A7EC4"/>
    <w:rsid w:val="003B0859"/>
    <w:rsid w:val="003B0976"/>
    <w:rsid w:val="003B0E2C"/>
    <w:rsid w:val="003B0FAF"/>
    <w:rsid w:val="003B10B2"/>
    <w:rsid w:val="003B1A26"/>
    <w:rsid w:val="003B1B67"/>
    <w:rsid w:val="003B1EA4"/>
    <w:rsid w:val="003B23B4"/>
    <w:rsid w:val="003B27B9"/>
    <w:rsid w:val="003B2808"/>
    <w:rsid w:val="003B28F3"/>
    <w:rsid w:val="003B2D20"/>
    <w:rsid w:val="003B2DC6"/>
    <w:rsid w:val="003B2E62"/>
    <w:rsid w:val="003B2EA6"/>
    <w:rsid w:val="003B327D"/>
    <w:rsid w:val="003B32CC"/>
    <w:rsid w:val="003B32D2"/>
    <w:rsid w:val="003B32F4"/>
    <w:rsid w:val="003B3379"/>
    <w:rsid w:val="003B361E"/>
    <w:rsid w:val="003B3874"/>
    <w:rsid w:val="003B392B"/>
    <w:rsid w:val="003B3AD4"/>
    <w:rsid w:val="003B3C47"/>
    <w:rsid w:val="003B3D1B"/>
    <w:rsid w:val="003B3E0D"/>
    <w:rsid w:val="003B3F96"/>
    <w:rsid w:val="003B3FAD"/>
    <w:rsid w:val="003B41A4"/>
    <w:rsid w:val="003B461C"/>
    <w:rsid w:val="003B4A90"/>
    <w:rsid w:val="003B5465"/>
    <w:rsid w:val="003B561F"/>
    <w:rsid w:val="003B5FE7"/>
    <w:rsid w:val="003B6B5A"/>
    <w:rsid w:val="003B6E4F"/>
    <w:rsid w:val="003B732E"/>
    <w:rsid w:val="003B754B"/>
    <w:rsid w:val="003B7A0E"/>
    <w:rsid w:val="003B7BA5"/>
    <w:rsid w:val="003B7BB2"/>
    <w:rsid w:val="003B7E00"/>
    <w:rsid w:val="003C0215"/>
    <w:rsid w:val="003C0348"/>
    <w:rsid w:val="003C03B2"/>
    <w:rsid w:val="003C063B"/>
    <w:rsid w:val="003C0A34"/>
    <w:rsid w:val="003C0C98"/>
    <w:rsid w:val="003C0D6B"/>
    <w:rsid w:val="003C118E"/>
    <w:rsid w:val="003C12AF"/>
    <w:rsid w:val="003C1452"/>
    <w:rsid w:val="003C14C4"/>
    <w:rsid w:val="003C1642"/>
    <w:rsid w:val="003C17E4"/>
    <w:rsid w:val="003C1996"/>
    <w:rsid w:val="003C1AA1"/>
    <w:rsid w:val="003C1B0A"/>
    <w:rsid w:val="003C1B65"/>
    <w:rsid w:val="003C1BFA"/>
    <w:rsid w:val="003C22D2"/>
    <w:rsid w:val="003C25B2"/>
    <w:rsid w:val="003C26C6"/>
    <w:rsid w:val="003C2AAA"/>
    <w:rsid w:val="003C2DE3"/>
    <w:rsid w:val="003C31C6"/>
    <w:rsid w:val="003C32E6"/>
    <w:rsid w:val="003C3353"/>
    <w:rsid w:val="003C342A"/>
    <w:rsid w:val="003C37AC"/>
    <w:rsid w:val="003C393A"/>
    <w:rsid w:val="003C42B8"/>
    <w:rsid w:val="003C44D1"/>
    <w:rsid w:val="003C44EE"/>
    <w:rsid w:val="003C4AC1"/>
    <w:rsid w:val="003C4BE4"/>
    <w:rsid w:val="003C4DE4"/>
    <w:rsid w:val="003C52DE"/>
    <w:rsid w:val="003C53BC"/>
    <w:rsid w:val="003C579C"/>
    <w:rsid w:val="003C57FB"/>
    <w:rsid w:val="003C5998"/>
    <w:rsid w:val="003C59D9"/>
    <w:rsid w:val="003C5AF3"/>
    <w:rsid w:val="003C5B22"/>
    <w:rsid w:val="003C5BB9"/>
    <w:rsid w:val="003C5D80"/>
    <w:rsid w:val="003C6A3E"/>
    <w:rsid w:val="003C6DCC"/>
    <w:rsid w:val="003C74FF"/>
    <w:rsid w:val="003C77A9"/>
    <w:rsid w:val="003C796A"/>
    <w:rsid w:val="003C79B6"/>
    <w:rsid w:val="003D0550"/>
    <w:rsid w:val="003D0766"/>
    <w:rsid w:val="003D0FFC"/>
    <w:rsid w:val="003D10C3"/>
    <w:rsid w:val="003D12A5"/>
    <w:rsid w:val="003D1369"/>
    <w:rsid w:val="003D15FD"/>
    <w:rsid w:val="003D1A18"/>
    <w:rsid w:val="003D1A80"/>
    <w:rsid w:val="003D1EC8"/>
    <w:rsid w:val="003D1FBD"/>
    <w:rsid w:val="003D2144"/>
    <w:rsid w:val="003D21DC"/>
    <w:rsid w:val="003D23E2"/>
    <w:rsid w:val="003D2A76"/>
    <w:rsid w:val="003D2B8B"/>
    <w:rsid w:val="003D2E32"/>
    <w:rsid w:val="003D2F11"/>
    <w:rsid w:val="003D353E"/>
    <w:rsid w:val="003D368F"/>
    <w:rsid w:val="003D38B6"/>
    <w:rsid w:val="003D3950"/>
    <w:rsid w:val="003D3ABB"/>
    <w:rsid w:val="003D3E6A"/>
    <w:rsid w:val="003D4186"/>
    <w:rsid w:val="003D48A8"/>
    <w:rsid w:val="003D48CE"/>
    <w:rsid w:val="003D4CC1"/>
    <w:rsid w:val="003D4E7B"/>
    <w:rsid w:val="003D4E86"/>
    <w:rsid w:val="003D4ECB"/>
    <w:rsid w:val="003D55A4"/>
    <w:rsid w:val="003D55B8"/>
    <w:rsid w:val="003D59E4"/>
    <w:rsid w:val="003D5A43"/>
    <w:rsid w:val="003D5A5A"/>
    <w:rsid w:val="003D5CEF"/>
    <w:rsid w:val="003D6030"/>
    <w:rsid w:val="003D61A9"/>
    <w:rsid w:val="003D6419"/>
    <w:rsid w:val="003D643A"/>
    <w:rsid w:val="003D65C4"/>
    <w:rsid w:val="003D6830"/>
    <w:rsid w:val="003D6ADB"/>
    <w:rsid w:val="003D6C7C"/>
    <w:rsid w:val="003D6D7E"/>
    <w:rsid w:val="003D75AC"/>
    <w:rsid w:val="003D75C0"/>
    <w:rsid w:val="003D764F"/>
    <w:rsid w:val="003D7A4E"/>
    <w:rsid w:val="003E040D"/>
    <w:rsid w:val="003E0543"/>
    <w:rsid w:val="003E09A3"/>
    <w:rsid w:val="003E10EA"/>
    <w:rsid w:val="003E11EF"/>
    <w:rsid w:val="003E138D"/>
    <w:rsid w:val="003E14C2"/>
    <w:rsid w:val="003E14EB"/>
    <w:rsid w:val="003E17AE"/>
    <w:rsid w:val="003E1820"/>
    <w:rsid w:val="003E1B7C"/>
    <w:rsid w:val="003E1BE4"/>
    <w:rsid w:val="003E1E0A"/>
    <w:rsid w:val="003E1E95"/>
    <w:rsid w:val="003E2BB7"/>
    <w:rsid w:val="003E2D1D"/>
    <w:rsid w:val="003E3009"/>
    <w:rsid w:val="003E34CB"/>
    <w:rsid w:val="003E3910"/>
    <w:rsid w:val="003E42D9"/>
    <w:rsid w:val="003E4569"/>
    <w:rsid w:val="003E47A1"/>
    <w:rsid w:val="003E49BA"/>
    <w:rsid w:val="003E4D1F"/>
    <w:rsid w:val="003E4E1E"/>
    <w:rsid w:val="003E5276"/>
    <w:rsid w:val="003E53F4"/>
    <w:rsid w:val="003E5510"/>
    <w:rsid w:val="003E56DF"/>
    <w:rsid w:val="003E5771"/>
    <w:rsid w:val="003E5B73"/>
    <w:rsid w:val="003E5BF6"/>
    <w:rsid w:val="003E5CE7"/>
    <w:rsid w:val="003E5DB6"/>
    <w:rsid w:val="003E5F6B"/>
    <w:rsid w:val="003E61E0"/>
    <w:rsid w:val="003E6259"/>
    <w:rsid w:val="003E62E8"/>
    <w:rsid w:val="003E6301"/>
    <w:rsid w:val="003E6A90"/>
    <w:rsid w:val="003E6A99"/>
    <w:rsid w:val="003E6B87"/>
    <w:rsid w:val="003E6BD7"/>
    <w:rsid w:val="003E6CB9"/>
    <w:rsid w:val="003E6D09"/>
    <w:rsid w:val="003E76E7"/>
    <w:rsid w:val="003E7F7A"/>
    <w:rsid w:val="003F000B"/>
    <w:rsid w:val="003F00F2"/>
    <w:rsid w:val="003F0AC8"/>
    <w:rsid w:val="003F0ADC"/>
    <w:rsid w:val="003F117C"/>
    <w:rsid w:val="003F11D6"/>
    <w:rsid w:val="003F1630"/>
    <w:rsid w:val="003F16E6"/>
    <w:rsid w:val="003F1A01"/>
    <w:rsid w:val="003F2224"/>
    <w:rsid w:val="003F265B"/>
    <w:rsid w:val="003F2710"/>
    <w:rsid w:val="003F2875"/>
    <w:rsid w:val="003F28A8"/>
    <w:rsid w:val="003F2FE3"/>
    <w:rsid w:val="003F322E"/>
    <w:rsid w:val="003F38AE"/>
    <w:rsid w:val="003F3B8A"/>
    <w:rsid w:val="003F3D82"/>
    <w:rsid w:val="003F4010"/>
    <w:rsid w:val="003F42B7"/>
    <w:rsid w:val="003F42EC"/>
    <w:rsid w:val="003F4763"/>
    <w:rsid w:val="003F488C"/>
    <w:rsid w:val="003F4CEA"/>
    <w:rsid w:val="003F4D3D"/>
    <w:rsid w:val="003F4E74"/>
    <w:rsid w:val="003F4FA1"/>
    <w:rsid w:val="003F4FA6"/>
    <w:rsid w:val="003F5201"/>
    <w:rsid w:val="003F540C"/>
    <w:rsid w:val="003F548B"/>
    <w:rsid w:val="003F54CD"/>
    <w:rsid w:val="003F6366"/>
    <w:rsid w:val="003F638A"/>
    <w:rsid w:val="003F6DDB"/>
    <w:rsid w:val="003F6FF0"/>
    <w:rsid w:val="003F71A6"/>
    <w:rsid w:val="003F72F2"/>
    <w:rsid w:val="003F7332"/>
    <w:rsid w:val="003F741B"/>
    <w:rsid w:val="003F7564"/>
    <w:rsid w:val="003F7657"/>
    <w:rsid w:val="003F7786"/>
    <w:rsid w:val="003F77AF"/>
    <w:rsid w:val="003F79E5"/>
    <w:rsid w:val="003F7A0B"/>
    <w:rsid w:val="003F7B52"/>
    <w:rsid w:val="0040029C"/>
    <w:rsid w:val="004010BE"/>
    <w:rsid w:val="004010E8"/>
    <w:rsid w:val="00401A64"/>
    <w:rsid w:val="004026C9"/>
    <w:rsid w:val="0040284F"/>
    <w:rsid w:val="0040298C"/>
    <w:rsid w:val="004029F5"/>
    <w:rsid w:val="00402A67"/>
    <w:rsid w:val="00402E74"/>
    <w:rsid w:val="00402EC4"/>
    <w:rsid w:val="00403340"/>
    <w:rsid w:val="004034C6"/>
    <w:rsid w:val="0040380D"/>
    <w:rsid w:val="00403832"/>
    <w:rsid w:val="00403852"/>
    <w:rsid w:val="00403C73"/>
    <w:rsid w:val="00403D16"/>
    <w:rsid w:val="00404285"/>
    <w:rsid w:val="00404297"/>
    <w:rsid w:val="0040462E"/>
    <w:rsid w:val="00405161"/>
    <w:rsid w:val="004051B8"/>
    <w:rsid w:val="0040526A"/>
    <w:rsid w:val="004052BC"/>
    <w:rsid w:val="00405319"/>
    <w:rsid w:val="0040575F"/>
    <w:rsid w:val="004057D8"/>
    <w:rsid w:val="00405B95"/>
    <w:rsid w:val="00405E3E"/>
    <w:rsid w:val="0040647A"/>
    <w:rsid w:val="00406690"/>
    <w:rsid w:val="004066C3"/>
    <w:rsid w:val="00406DE3"/>
    <w:rsid w:val="00406F4D"/>
    <w:rsid w:val="0040729F"/>
    <w:rsid w:val="00407491"/>
    <w:rsid w:val="0040782D"/>
    <w:rsid w:val="0041005C"/>
    <w:rsid w:val="004100EC"/>
    <w:rsid w:val="0041101C"/>
    <w:rsid w:val="00411307"/>
    <w:rsid w:val="00411BBD"/>
    <w:rsid w:val="00411D30"/>
    <w:rsid w:val="00411E88"/>
    <w:rsid w:val="00411F6D"/>
    <w:rsid w:val="00411FA1"/>
    <w:rsid w:val="004124C9"/>
    <w:rsid w:val="00412810"/>
    <w:rsid w:val="00412AEE"/>
    <w:rsid w:val="00412B8C"/>
    <w:rsid w:val="00412E82"/>
    <w:rsid w:val="00412EA0"/>
    <w:rsid w:val="004134F8"/>
    <w:rsid w:val="0041379A"/>
    <w:rsid w:val="00413870"/>
    <w:rsid w:val="004138A9"/>
    <w:rsid w:val="0041408C"/>
    <w:rsid w:val="0041435C"/>
    <w:rsid w:val="00414361"/>
    <w:rsid w:val="004143BE"/>
    <w:rsid w:val="004149CD"/>
    <w:rsid w:val="00414A04"/>
    <w:rsid w:val="00414BC3"/>
    <w:rsid w:val="00414F77"/>
    <w:rsid w:val="00415026"/>
    <w:rsid w:val="00415339"/>
    <w:rsid w:val="00415B86"/>
    <w:rsid w:val="00415C77"/>
    <w:rsid w:val="00415ED5"/>
    <w:rsid w:val="00416131"/>
    <w:rsid w:val="004168E7"/>
    <w:rsid w:val="00416CC0"/>
    <w:rsid w:val="00416D6B"/>
    <w:rsid w:val="00416D8C"/>
    <w:rsid w:val="00416EC8"/>
    <w:rsid w:val="00416EF8"/>
    <w:rsid w:val="00416FA0"/>
    <w:rsid w:val="00417033"/>
    <w:rsid w:val="00417236"/>
    <w:rsid w:val="004172A3"/>
    <w:rsid w:val="00417A8D"/>
    <w:rsid w:val="00417C30"/>
    <w:rsid w:val="00417D85"/>
    <w:rsid w:val="00417F96"/>
    <w:rsid w:val="00420371"/>
    <w:rsid w:val="0042064B"/>
    <w:rsid w:val="00420BBE"/>
    <w:rsid w:val="00420C56"/>
    <w:rsid w:val="00420D21"/>
    <w:rsid w:val="00420D77"/>
    <w:rsid w:val="0042108C"/>
    <w:rsid w:val="004212C1"/>
    <w:rsid w:val="004213EA"/>
    <w:rsid w:val="004218A3"/>
    <w:rsid w:val="00421A2D"/>
    <w:rsid w:val="00421BB4"/>
    <w:rsid w:val="00421F22"/>
    <w:rsid w:val="00422341"/>
    <w:rsid w:val="0042247E"/>
    <w:rsid w:val="004225F3"/>
    <w:rsid w:val="00422849"/>
    <w:rsid w:val="00422CAE"/>
    <w:rsid w:val="00422CEE"/>
    <w:rsid w:val="00422DCD"/>
    <w:rsid w:val="00422E70"/>
    <w:rsid w:val="00422EF5"/>
    <w:rsid w:val="00422FA0"/>
    <w:rsid w:val="00423573"/>
    <w:rsid w:val="00423747"/>
    <w:rsid w:val="004238E8"/>
    <w:rsid w:val="00423DA4"/>
    <w:rsid w:val="00423E0C"/>
    <w:rsid w:val="00423E1A"/>
    <w:rsid w:val="00423E67"/>
    <w:rsid w:val="0042478B"/>
    <w:rsid w:val="00425370"/>
    <w:rsid w:val="004254CC"/>
    <w:rsid w:val="00425714"/>
    <w:rsid w:val="00425798"/>
    <w:rsid w:val="004258A3"/>
    <w:rsid w:val="00425B2D"/>
    <w:rsid w:val="00425BFD"/>
    <w:rsid w:val="00425C30"/>
    <w:rsid w:val="00425EE1"/>
    <w:rsid w:val="004262E9"/>
    <w:rsid w:val="00426424"/>
    <w:rsid w:val="0042644B"/>
    <w:rsid w:val="00427335"/>
    <w:rsid w:val="004278AE"/>
    <w:rsid w:val="00427946"/>
    <w:rsid w:val="004279B7"/>
    <w:rsid w:val="00427B6C"/>
    <w:rsid w:val="00427C8E"/>
    <w:rsid w:val="00427CBE"/>
    <w:rsid w:val="00427CC5"/>
    <w:rsid w:val="00427E6C"/>
    <w:rsid w:val="004302F3"/>
    <w:rsid w:val="0043034A"/>
    <w:rsid w:val="004303A2"/>
    <w:rsid w:val="004303C0"/>
    <w:rsid w:val="004304C2"/>
    <w:rsid w:val="004305BE"/>
    <w:rsid w:val="00430953"/>
    <w:rsid w:val="00430FB4"/>
    <w:rsid w:val="004310AC"/>
    <w:rsid w:val="004314E1"/>
    <w:rsid w:val="00432002"/>
    <w:rsid w:val="004321E4"/>
    <w:rsid w:val="0043220D"/>
    <w:rsid w:val="0043251E"/>
    <w:rsid w:val="00432984"/>
    <w:rsid w:val="00432A5B"/>
    <w:rsid w:val="00432AA9"/>
    <w:rsid w:val="0043364A"/>
    <w:rsid w:val="00433664"/>
    <w:rsid w:val="004339AB"/>
    <w:rsid w:val="00434063"/>
    <w:rsid w:val="00434266"/>
    <w:rsid w:val="00434271"/>
    <w:rsid w:val="004345D5"/>
    <w:rsid w:val="0043476A"/>
    <w:rsid w:val="00434AA9"/>
    <w:rsid w:val="00434AD0"/>
    <w:rsid w:val="00434B7A"/>
    <w:rsid w:val="00434E68"/>
    <w:rsid w:val="004350B0"/>
    <w:rsid w:val="004352E7"/>
    <w:rsid w:val="004352EB"/>
    <w:rsid w:val="00435577"/>
    <w:rsid w:val="004359D5"/>
    <w:rsid w:val="00435A15"/>
    <w:rsid w:val="00435B95"/>
    <w:rsid w:val="00435FCF"/>
    <w:rsid w:val="00436070"/>
    <w:rsid w:val="004365B2"/>
    <w:rsid w:val="004366E9"/>
    <w:rsid w:val="004369C9"/>
    <w:rsid w:val="00436E4A"/>
    <w:rsid w:val="00437376"/>
    <w:rsid w:val="00437AFF"/>
    <w:rsid w:val="00437EE1"/>
    <w:rsid w:val="00437F27"/>
    <w:rsid w:val="004404A5"/>
    <w:rsid w:val="00440581"/>
    <w:rsid w:val="00440582"/>
    <w:rsid w:val="00440702"/>
    <w:rsid w:val="00440DEB"/>
    <w:rsid w:val="0044117C"/>
    <w:rsid w:val="004417CA"/>
    <w:rsid w:val="00441B3A"/>
    <w:rsid w:val="00442251"/>
    <w:rsid w:val="0044230B"/>
    <w:rsid w:val="004426C7"/>
    <w:rsid w:val="00442771"/>
    <w:rsid w:val="004427DE"/>
    <w:rsid w:val="004427E9"/>
    <w:rsid w:val="00442C69"/>
    <w:rsid w:val="00442D42"/>
    <w:rsid w:val="00442F84"/>
    <w:rsid w:val="0044374A"/>
    <w:rsid w:val="004437CE"/>
    <w:rsid w:val="00443C86"/>
    <w:rsid w:val="00443CB8"/>
    <w:rsid w:val="00443D6F"/>
    <w:rsid w:val="0044432A"/>
    <w:rsid w:val="00444472"/>
    <w:rsid w:val="0044474D"/>
    <w:rsid w:val="00444AD9"/>
    <w:rsid w:val="0044500B"/>
    <w:rsid w:val="00445298"/>
    <w:rsid w:val="0044558B"/>
    <w:rsid w:val="00445622"/>
    <w:rsid w:val="0044583A"/>
    <w:rsid w:val="004458AD"/>
    <w:rsid w:val="004458EC"/>
    <w:rsid w:val="00445C5B"/>
    <w:rsid w:val="00446715"/>
    <w:rsid w:val="004468A5"/>
    <w:rsid w:val="004469B3"/>
    <w:rsid w:val="00446A93"/>
    <w:rsid w:val="00446C54"/>
    <w:rsid w:val="004471D1"/>
    <w:rsid w:val="004473A9"/>
    <w:rsid w:val="0044759B"/>
    <w:rsid w:val="0044765A"/>
    <w:rsid w:val="00447B31"/>
    <w:rsid w:val="00447DFC"/>
    <w:rsid w:val="004501EE"/>
    <w:rsid w:val="00450442"/>
    <w:rsid w:val="004509E3"/>
    <w:rsid w:val="0045103F"/>
    <w:rsid w:val="004515FC"/>
    <w:rsid w:val="00451697"/>
    <w:rsid w:val="00451AD9"/>
    <w:rsid w:val="00451B7F"/>
    <w:rsid w:val="0045227D"/>
    <w:rsid w:val="004523B6"/>
    <w:rsid w:val="004524B2"/>
    <w:rsid w:val="00452BA1"/>
    <w:rsid w:val="00452BD2"/>
    <w:rsid w:val="00452F12"/>
    <w:rsid w:val="00452F21"/>
    <w:rsid w:val="00453001"/>
    <w:rsid w:val="00453063"/>
    <w:rsid w:val="004533CA"/>
    <w:rsid w:val="00453508"/>
    <w:rsid w:val="0045356F"/>
    <w:rsid w:val="00453756"/>
    <w:rsid w:val="00453825"/>
    <w:rsid w:val="00453B3A"/>
    <w:rsid w:val="0045415D"/>
    <w:rsid w:val="0045432E"/>
    <w:rsid w:val="0045442A"/>
    <w:rsid w:val="004546DD"/>
    <w:rsid w:val="00454852"/>
    <w:rsid w:val="00455F29"/>
    <w:rsid w:val="0045610E"/>
    <w:rsid w:val="0045632B"/>
    <w:rsid w:val="004565B5"/>
    <w:rsid w:val="0045662C"/>
    <w:rsid w:val="00456758"/>
    <w:rsid w:val="00456824"/>
    <w:rsid w:val="004569F1"/>
    <w:rsid w:val="00456B57"/>
    <w:rsid w:val="00456F0D"/>
    <w:rsid w:val="0045732F"/>
    <w:rsid w:val="00457600"/>
    <w:rsid w:val="00457675"/>
    <w:rsid w:val="00457938"/>
    <w:rsid w:val="0045796E"/>
    <w:rsid w:val="00457BBE"/>
    <w:rsid w:val="00457BE2"/>
    <w:rsid w:val="00460487"/>
    <w:rsid w:val="004605A0"/>
    <w:rsid w:val="00460902"/>
    <w:rsid w:val="004609F1"/>
    <w:rsid w:val="00460EA7"/>
    <w:rsid w:val="00460F7C"/>
    <w:rsid w:val="004610C8"/>
    <w:rsid w:val="00461105"/>
    <w:rsid w:val="00461322"/>
    <w:rsid w:val="00461646"/>
    <w:rsid w:val="00461EFD"/>
    <w:rsid w:val="00462542"/>
    <w:rsid w:val="0046286C"/>
    <w:rsid w:val="00462A3B"/>
    <w:rsid w:val="00462B97"/>
    <w:rsid w:val="00462E74"/>
    <w:rsid w:val="004634E3"/>
    <w:rsid w:val="004634F3"/>
    <w:rsid w:val="00463CBE"/>
    <w:rsid w:val="0046464B"/>
    <w:rsid w:val="004647EA"/>
    <w:rsid w:val="00464AD9"/>
    <w:rsid w:val="00464FD2"/>
    <w:rsid w:val="00465255"/>
    <w:rsid w:val="00465476"/>
    <w:rsid w:val="0046586A"/>
    <w:rsid w:val="00465929"/>
    <w:rsid w:val="0046593F"/>
    <w:rsid w:val="00465A18"/>
    <w:rsid w:val="00465B5F"/>
    <w:rsid w:val="00465D92"/>
    <w:rsid w:val="00465E5D"/>
    <w:rsid w:val="00466041"/>
    <w:rsid w:val="004661E4"/>
    <w:rsid w:val="00466770"/>
    <w:rsid w:val="0046680C"/>
    <w:rsid w:val="00466DCC"/>
    <w:rsid w:val="00466EF1"/>
    <w:rsid w:val="00467019"/>
    <w:rsid w:val="0046722B"/>
    <w:rsid w:val="00467414"/>
    <w:rsid w:val="0046749D"/>
    <w:rsid w:val="00467866"/>
    <w:rsid w:val="00467914"/>
    <w:rsid w:val="00467D60"/>
    <w:rsid w:val="00470255"/>
    <w:rsid w:val="00470311"/>
    <w:rsid w:val="0047055A"/>
    <w:rsid w:val="00470573"/>
    <w:rsid w:val="00470793"/>
    <w:rsid w:val="00470A2F"/>
    <w:rsid w:val="00470D74"/>
    <w:rsid w:val="004710F2"/>
    <w:rsid w:val="00471BC8"/>
    <w:rsid w:val="00471E7C"/>
    <w:rsid w:val="00471E84"/>
    <w:rsid w:val="00471FF5"/>
    <w:rsid w:val="0047214C"/>
    <w:rsid w:val="00472704"/>
    <w:rsid w:val="00472731"/>
    <w:rsid w:val="00472A29"/>
    <w:rsid w:val="00472AD1"/>
    <w:rsid w:val="004732C1"/>
    <w:rsid w:val="00473614"/>
    <w:rsid w:val="0047361E"/>
    <w:rsid w:val="00473A14"/>
    <w:rsid w:val="00473A8C"/>
    <w:rsid w:val="00473BDF"/>
    <w:rsid w:val="00473EAA"/>
    <w:rsid w:val="0047413D"/>
    <w:rsid w:val="004743C9"/>
    <w:rsid w:val="00474643"/>
    <w:rsid w:val="00474968"/>
    <w:rsid w:val="00474A4E"/>
    <w:rsid w:val="00474AD2"/>
    <w:rsid w:val="004759ED"/>
    <w:rsid w:val="00475B67"/>
    <w:rsid w:val="00475C95"/>
    <w:rsid w:val="004760B5"/>
    <w:rsid w:val="00476713"/>
    <w:rsid w:val="00476CEB"/>
    <w:rsid w:val="004772A1"/>
    <w:rsid w:val="0047773A"/>
    <w:rsid w:val="004779FA"/>
    <w:rsid w:val="00477D04"/>
    <w:rsid w:val="00477E68"/>
    <w:rsid w:val="00477FE4"/>
    <w:rsid w:val="00480163"/>
    <w:rsid w:val="004801C0"/>
    <w:rsid w:val="00480D56"/>
    <w:rsid w:val="004817A2"/>
    <w:rsid w:val="004817C4"/>
    <w:rsid w:val="00481946"/>
    <w:rsid w:val="00481987"/>
    <w:rsid w:val="00481CFE"/>
    <w:rsid w:val="00481EEC"/>
    <w:rsid w:val="00482102"/>
    <w:rsid w:val="0048251D"/>
    <w:rsid w:val="0048281B"/>
    <w:rsid w:val="004829CC"/>
    <w:rsid w:val="00483022"/>
    <w:rsid w:val="0048352C"/>
    <w:rsid w:val="0048358F"/>
    <w:rsid w:val="00483A1D"/>
    <w:rsid w:val="00483BC3"/>
    <w:rsid w:val="00483D03"/>
    <w:rsid w:val="00483D2E"/>
    <w:rsid w:val="004843D6"/>
    <w:rsid w:val="0048489E"/>
    <w:rsid w:val="004848A2"/>
    <w:rsid w:val="00484DF8"/>
    <w:rsid w:val="00485386"/>
    <w:rsid w:val="00485B99"/>
    <w:rsid w:val="00485C27"/>
    <w:rsid w:val="004860A3"/>
    <w:rsid w:val="00486166"/>
    <w:rsid w:val="004863F9"/>
    <w:rsid w:val="0048650F"/>
    <w:rsid w:val="0048668A"/>
    <w:rsid w:val="00486736"/>
    <w:rsid w:val="004869CD"/>
    <w:rsid w:val="00486C2B"/>
    <w:rsid w:val="00486CD2"/>
    <w:rsid w:val="004870C8"/>
    <w:rsid w:val="004875DA"/>
    <w:rsid w:val="0048762D"/>
    <w:rsid w:val="0048773F"/>
    <w:rsid w:val="00487E74"/>
    <w:rsid w:val="004904D2"/>
    <w:rsid w:val="0049087C"/>
    <w:rsid w:val="00490A77"/>
    <w:rsid w:val="00490ACF"/>
    <w:rsid w:val="004916C3"/>
    <w:rsid w:val="00492028"/>
    <w:rsid w:val="00492205"/>
    <w:rsid w:val="00492785"/>
    <w:rsid w:val="00493020"/>
    <w:rsid w:val="004932ED"/>
    <w:rsid w:val="004934AA"/>
    <w:rsid w:val="00493AF9"/>
    <w:rsid w:val="00493D7A"/>
    <w:rsid w:val="00493F0C"/>
    <w:rsid w:val="00493F74"/>
    <w:rsid w:val="0049469A"/>
    <w:rsid w:val="00494D2A"/>
    <w:rsid w:val="00494DC3"/>
    <w:rsid w:val="00494EC9"/>
    <w:rsid w:val="00495155"/>
    <w:rsid w:val="00495213"/>
    <w:rsid w:val="00495276"/>
    <w:rsid w:val="004956BF"/>
    <w:rsid w:val="00495A65"/>
    <w:rsid w:val="00495B6F"/>
    <w:rsid w:val="00495E2F"/>
    <w:rsid w:val="00495EAD"/>
    <w:rsid w:val="00495EEE"/>
    <w:rsid w:val="00495FAB"/>
    <w:rsid w:val="00496148"/>
    <w:rsid w:val="004961A2"/>
    <w:rsid w:val="004963A5"/>
    <w:rsid w:val="0049670E"/>
    <w:rsid w:val="00496B12"/>
    <w:rsid w:val="00496F96"/>
    <w:rsid w:val="004976FF"/>
    <w:rsid w:val="00497785"/>
    <w:rsid w:val="00497E7C"/>
    <w:rsid w:val="00497EED"/>
    <w:rsid w:val="004A00E4"/>
    <w:rsid w:val="004A029C"/>
    <w:rsid w:val="004A02CF"/>
    <w:rsid w:val="004A035F"/>
    <w:rsid w:val="004A03B4"/>
    <w:rsid w:val="004A0418"/>
    <w:rsid w:val="004A0496"/>
    <w:rsid w:val="004A0588"/>
    <w:rsid w:val="004A0742"/>
    <w:rsid w:val="004A085C"/>
    <w:rsid w:val="004A0A4D"/>
    <w:rsid w:val="004A0B67"/>
    <w:rsid w:val="004A0CE2"/>
    <w:rsid w:val="004A0DCC"/>
    <w:rsid w:val="004A0FBE"/>
    <w:rsid w:val="004A164E"/>
    <w:rsid w:val="004A166E"/>
    <w:rsid w:val="004A1897"/>
    <w:rsid w:val="004A18AE"/>
    <w:rsid w:val="004A1B60"/>
    <w:rsid w:val="004A1C5F"/>
    <w:rsid w:val="004A22E7"/>
    <w:rsid w:val="004A234D"/>
    <w:rsid w:val="004A247D"/>
    <w:rsid w:val="004A256C"/>
    <w:rsid w:val="004A29E1"/>
    <w:rsid w:val="004A2A80"/>
    <w:rsid w:val="004A3122"/>
    <w:rsid w:val="004A35AE"/>
    <w:rsid w:val="004A363C"/>
    <w:rsid w:val="004A3A47"/>
    <w:rsid w:val="004A3A85"/>
    <w:rsid w:val="004A3F4C"/>
    <w:rsid w:val="004A42C4"/>
    <w:rsid w:val="004A449A"/>
    <w:rsid w:val="004A4A41"/>
    <w:rsid w:val="004A5951"/>
    <w:rsid w:val="004A598A"/>
    <w:rsid w:val="004A5AB6"/>
    <w:rsid w:val="004A5AC6"/>
    <w:rsid w:val="004A5D31"/>
    <w:rsid w:val="004A5E04"/>
    <w:rsid w:val="004A62BB"/>
    <w:rsid w:val="004A6474"/>
    <w:rsid w:val="004A64B8"/>
    <w:rsid w:val="004A66D7"/>
    <w:rsid w:val="004A6791"/>
    <w:rsid w:val="004A6A94"/>
    <w:rsid w:val="004A6CEA"/>
    <w:rsid w:val="004A6E09"/>
    <w:rsid w:val="004A7262"/>
    <w:rsid w:val="004A7859"/>
    <w:rsid w:val="004A7AF4"/>
    <w:rsid w:val="004A7EBC"/>
    <w:rsid w:val="004A7F6B"/>
    <w:rsid w:val="004B0153"/>
    <w:rsid w:val="004B0198"/>
    <w:rsid w:val="004B05A7"/>
    <w:rsid w:val="004B065D"/>
    <w:rsid w:val="004B0757"/>
    <w:rsid w:val="004B0B32"/>
    <w:rsid w:val="004B0CF1"/>
    <w:rsid w:val="004B1032"/>
    <w:rsid w:val="004B10DC"/>
    <w:rsid w:val="004B1348"/>
    <w:rsid w:val="004B1BFF"/>
    <w:rsid w:val="004B2163"/>
    <w:rsid w:val="004B2360"/>
    <w:rsid w:val="004B23C3"/>
    <w:rsid w:val="004B2664"/>
    <w:rsid w:val="004B2676"/>
    <w:rsid w:val="004B2904"/>
    <w:rsid w:val="004B2917"/>
    <w:rsid w:val="004B2AD4"/>
    <w:rsid w:val="004B2D0B"/>
    <w:rsid w:val="004B2F7C"/>
    <w:rsid w:val="004B3116"/>
    <w:rsid w:val="004B31B0"/>
    <w:rsid w:val="004B37F7"/>
    <w:rsid w:val="004B3993"/>
    <w:rsid w:val="004B39E2"/>
    <w:rsid w:val="004B3A61"/>
    <w:rsid w:val="004B3DEC"/>
    <w:rsid w:val="004B3F04"/>
    <w:rsid w:val="004B42E3"/>
    <w:rsid w:val="004B43CB"/>
    <w:rsid w:val="004B45A0"/>
    <w:rsid w:val="004B4987"/>
    <w:rsid w:val="004B4D01"/>
    <w:rsid w:val="004B4E14"/>
    <w:rsid w:val="004B4ED0"/>
    <w:rsid w:val="004B50B4"/>
    <w:rsid w:val="004B51BF"/>
    <w:rsid w:val="004B57A2"/>
    <w:rsid w:val="004B5FBD"/>
    <w:rsid w:val="004B617B"/>
    <w:rsid w:val="004B6258"/>
    <w:rsid w:val="004B6339"/>
    <w:rsid w:val="004B63B5"/>
    <w:rsid w:val="004B670D"/>
    <w:rsid w:val="004B69C5"/>
    <w:rsid w:val="004B6EC9"/>
    <w:rsid w:val="004B76F9"/>
    <w:rsid w:val="004B7753"/>
    <w:rsid w:val="004B789A"/>
    <w:rsid w:val="004B7D8A"/>
    <w:rsid w:val="004B7EB4"/>
    <w:rsid w:val="004B7F47"/>
    <w:rsid w:val="004B7FBE"/>
    <w:rsid w:val="004B7FED"/>
    <w:rsid w:val="004C0497"/>
    <w:rsid w:val="004C0536"/>
    <w:rsid w:val="004C0DAC"/>
    <w:rsid w:val="004C0E1A"/>
    <w:rsid w:val="004C0F38"/>
    <w:rsid w:val="004C0F5F"/>
    <w:rsid w:val="004C102C"/>
    <w:rsid w:val="004C1520"/>
    <w:rsid w:val="004C1D17"/>
    <w:rsid w:val="004C21B1"/>
    <w:rsid w:val="004C2616"/>
    <w:rsid w:val="004C2637"/>
    <w:rsid w:val="004C27E0"/>
    <w:rsid w:val="004C2AC4"/>
    <w:rsid w:val="004C2F9D"/>
    <w:rsid w:val="004C2FB0"/>
    <w:rsid w:val="004C3009"/>
    <w:rsid w:val="004C33D2"/>
    <w:rsid w:val="004C352E"/>
    <w:rsid w:val="004C39F3"/>
    <w:rsid w:val="004C45BD"/>
    <w:rsid w:val="004C4AEB"/>
    <w:rsid w:val="004C4B8A"/>
    <w:rsid w:val="004C4EF8"/>
    <w:rsid w:val="004C5875"/>
    <w:rsid w:val="004C595D"/>
    <w:rsid w:val="004C5A2C"/>
    <w:rsid w:val="004C5D04"/>
    <w:rsid w:val="004C5D45"/>
    <w:rsid w:val="004C6079"/>
    <w:rsid w:val="004C6761"/>
    <w:rsid w:val="004C688C"/>
    <w:rsid w:val="004C68A2"/>
    <w:rsid w:val="004C69FB"/>
    <w:rsid w:val="004C6A2D"/>
    <w:rsid w:val="004C6CF3"/>
    <w:rsid w:val="004C6D62"/>
    <w:rsid w:val="004C6F24"/>
    <w:rsid w:val="004C6FBD"/>
    <w:rsid w:val="004C7228"/>
    <w:rsid w:val="004C76BD"/>
    <w:rsid w:val="004C7796"/>
    <w:rsid w:val="004C7910"/>
    <w:rsid w:val="004C7A34"/>
    <w:rsid w:val="004C7DDB"/>
    <w:rsid w:val="004D01B8"/>
    <w:rsid w:val="004D046F"/>
    <w:rsid w:val="004D04AB"/>
    <w:rsid w:val="004D0A95"/>
    <w:rsid w:val="004D0B0A"/>
    <w:rsid w:val="004D0B0E"/>
    <w:rsid w:val="004D0B15"/>
    <w:rsid w:val="004D0BB9"/>
    <w:rsid w:val="004D0C7A"/>
    <w:rsid w:val="004D138F"/>
    <w:rsid w:val="004D1410"/>
    <w:rsid w:val="004D1416"/>
    <w:rsid w:val="004D159E"/>
    <w:rsid w:val="004D163E"/>
    <w:rsid w:val="004D16FE"/>
    <w:rsid w:val="004D19BA"/>
    <w:rsid w:val="004D1E78"/>
    <w:rsid w:val="004D1F57"/>
    <w:rsid w:val="004D20A9"/>
    <w:rsid w:val="004D21A6"/>
    <w:rsid w:val="004D21C7"/>
    <w:rsid w:val="004D23E4"/>
    <w:rsid w:val="004D23F6"/>
    <w:rsid w:val="004D2C25"/>
    <w:rsid w:val="004D2D16"/>
    <w:rsid w:val="004D33A3"/>
    <w:rsid w:val="004D3496"/>
    <w:rsid w:val="004D34CC"/>
    <w:rsid w:val="004D34E1"/>
    <w:rsid w:val="004D3963"/>
    <w:rsid w:val="004D3E1A"/>
    <w:rsid w:val="004D4050"/>
    <w:rsid w:val="004D4199"/>
    <w:rsid w:val="004D42D8"/>
    <w:rsid w:val="004D4379"/>
    <w:rsid w:val="004D457C"/>
    <w:rsid w:val="004D4743"/>
    <w:rsid w:val="004D4927"/>
    <w:rsid w:val="004D49FC"/>
    <w:rsid w:val="004D4C06"/>
    <w:rsid w:val="004D4C0A"/>
    <w:rsid w:val="004D4F20"/>
    <w:rsid w:val="004D56E6"/>
    <w:rsid w:val="004D586B"/>
    <w:rsid w:val="004D5B02"/>
    <w:rsid w:val="004D5B1C"/>
    <w:rsid w:val="004D5D17"/>
    <w:rsid w:val="004D5FBD"/>
    <w:rsid w:val="004D6067"/>
    <w:rsid w:val="004D6398"/>
    <w:rsid w:val="004D69CE"/>
    <w:rsid w:val="004D6E06"/>
    <w:rsid w:val="004D71C3"/>
    <w:rsid w:val="004D76CB"/>
    <w:rsid w:val="004D782E"/>
    <w:rsid w:val="004D792F"/>
    <w:rsid w:val="004D7A48"/>
    <w:rsid w:val="004D7A98"/>
    <w:rsid w:val="004D7D26"/>
    <w:rsid w:val="004D7F00"/>
    <w:rsid w:val="004E02A4"/>
    <w:rsid w:val="004E06DE"/>
    <w:rsid w:val="004E097E"/>
    <w:rsid w:val="004E0C2C"/>
    <w:rsid w:val="004E0ED3"/>
    <w:rsid w:val="004E1005"/>
    <w:rsid w:val="004E10FC"/>
    <w:rsid w:val="004E11D8"/>
    <w:rsid w:val="004E1CBF"/>
    <w:rsid w:val="004E1DDF"/>
    <w:rsid w:val="004E2131"/>
    <w:rsid w:val="004E215A"/>
    <w:rsid w:val="004E32C7"/>
    <w:rsid w:val="004E334B"/>
    <w:rsid w:val="004E3892"/>
    <w:rsid w:val="004E3903"/>
    <w:rsid w:val="004E3997"/>
    <w:rsid w:val="004E4023"/>
    <w:rsid w:val="004E447E"/>
    <w:rsid w:val="004E47D7"/>
    <w:rsid w:val="004E4B87"/>
    <w:rsid w:val="004E51BB"/>
    <w:rsid w:val="004E53ED"/>
    <w:rsid w:val="004E5402"/>
    <w:rsid w:val="004E5B04"/>
    <w:rsid w:val="004E5B39"/>
    <w:rsid w:val="004E5E67"/>
    <w:rsid w:val="004E61A6"/>
    <w:rsid w:val="004E637E"/>
    <w:rsid w:val="004E6BAE"/>
    <w:rsid w:val="004E6D6E"/>
    <w:rsid w:val="004E71E5"/>
    <w:rsid w:val="004E7398"/>
    <w:rsid w:val="004F083E"/>
    <w:rsid w:val="004F0D93"/>
    <w:rsid w:val="004F0EBE"/>
    <w:rsid w:val="004F107D"/>
    <w:rsid w:val="004F188E"/>
    <w:rsid w:val="004F1C1D"/>
    <w:rsid w:val="004F1F44"/>
    <w:rsid w:val="004F2381"/>
    <w:rsid w:val="004F24E6"/>
    <w:rsid w:val="004F2877"/>
    <w:rsid w:val="004F2968"/>
    <w:rsid w:val="004F2CE6"/>
    <w:rsid w:val="004F307D"/>
    <w:rsid w:val="004F30B1"/>
    <w:rsid w:val="004F322A"/>
    <w:rsid w:val="004F343A"/>
    <w:rsid w:val="004F3559"/>
    <w:rsid w:val="004F362E"/>
    <w:rsid w:val="004F36C5"/>
    <w:rsid w:val="004F39B3"/>
    <w:rsid w:val="004F3C52"/>
    <w:rsid w:val="004F3E96"/>
    <w:rsid w:val="004F3F69"/>
    <w:rsid w:val="004F3FDC"/>
    <w:rsid w:val="004F40D9"/>
    <w:rsid w:val="004F43A2"/>
    <w:rsid w:val="004F4603"/>
    <w:rsid w:val="004F47B4"/>
    <w:rsid w:val="004F499A"/>
    <w:rsid w:val="004F4A4B"/>
    <w:rsid w:val="004F4B02"/>
    <w:rsid w:val="004F4EB1"/>
    <w:rsid w:val="004F5177"/>
    <w:rsid w:val="004F5589"/>
    <w:rsid w:val="004F58D0"/>
    <w:rsid w:val="004F5E66"/>
    <w:rsid w:val="004F66D9"/>
    <w:rsid w:val="004F6E38"/>
    <w:rsid w:val="004F6F93"/>
    <w:rsid w:val="004F752B"/>
    <w:rsid w:val="004F7593"/>
    <w:rsid w:val="004F7696"/>
    <w:rsid w:val="004F785B"/>
    <w:rsid w:val="004F78E3"/>
    <w:rsid w:val="004F7C4B"/>
    <w:rsid w:val="004F7E90"/>
    <w:rsid w:val="005000EA"/>
    <w:rsid w:val="0050043B"/>
    <w:rsid w:val="005004C0"/>
    <w:rsid w:val="0050054C"/>
    <w:rsid w:val="005006B0"/>
    <w:rsid w:val="005007C3"/>
    <w:rsid w:val="00500CCB"/>
    <w:rsid w:val="00501811"/>
    <w:rsid w:val="00501D96"/>
    <w:rsid w:val="00501DE4"/>
    <w:rsid w:val="00501EFF"/>
    <w:rsid w:val="00502587"/>
    <w:rsid w:val="005025CE"/>
    <w:rsid w:val="00502722"/>
    <w:rsid w:val="00502983"/>
    <w:rsid w:val="005036F1"/>
    <w:rsid w:val="00503889"/>
    <w:rsid w:val="00503A40"/>
    <w:rsid w:val="00504152"/>
    <w:rsid w:val="00504474"/>
    <w:rsid w:val="0050466B"/>
    <w:rsid w:val="00504713"/>
    <w:rsid w:val="00504720"/>
    <w:rsid w:val="005047B7"/>
    <w:rsid w:val="005048FE"/>
    <w:rsid w:val="00504B52"/>
    <w:rsid w:val="00504F2E"/>
    <w:rsid w:val="005050C5"/>
    <w:rsid w:val="00505BE2"/>
    <w:rsid w:val="00505EAA"/>
    <w:rsid w:val="00505EC5"/>
    <w:rsid w:val="005063A1"/>
    <w:rsid w:val="005067A3"/>
    <w:rsid w:val="0050685A"/>
    <w:rsid w:val="005068EF"/>
    <w:rsid w:val="0050696C"/>
    <w:rsid w:val="00506C23"/>
    <w:rsid w:val="00506CA0"/>
    <w:rsid w:val="00507381"/>
    <w:rsid w:val="005074BA"/>
    <w:rsid w:val="005076B2"/>
    <w:rsid w:val="0050774A"/>
    <w:rsid w:val="00507D6E"/>
    <w:rsid w:val="005100EA"/>
    <w:rsid w:val="005106A9"/>
    <w:rsid w:val="00510DD1"/>
    <w:rsid w:val="005114E2"/>
    <w:rsid w:val="0051157A"/>
    <w:rsid w:val="0051190A"/>
    <w:rsid w:val="00511EA6"/>
    <w:rsid w:val="0051242E"/>
    <w:rsid w:val="00512488"/>
    <w:rsid w:val="0051254E"/>
    <w:rsid w:val="0051271D"/>
    <w:rsid w:val="005128FA"/>
    <w:rsid w:val="00512BBE"/>
    <w:rsid w:val="00512C91"/>
    <w:rsid w:val="0051379D"/>
    <w:rsid w:val="00514098"/>
    <w:rsid w:val="005141A6"/>
    <w:rsid w:val="00514373"/>
    <w:rsid w:val="00514519"/>
    <w:rsid w:val="0051479D"/>
    <w:rsid w:val="00514DBB"/>
    <w:rsid w:val="00514EB7"/>
    <w:rsid w:val="00514EFA"/>
    <w:rsid w:val="00515921"/>
    <w:rsid w:val="00516190"/>
    <w:rsid w:val="005162F1"/>
    <w:rsid w:val="00516340"/>
    <w:rsid w:val="005166E0"/>
    <w:rsid w:val="00516A29"/>
    <w:rsid w:val="00516A6A"/>
    <w:rsid w:val="00516C79"/>
    <w:rsid w:val="00516DAE"/>
    <w:rsid w:val="00516F70"/>
    <w:rsid w:val="00516F75"/>
    <w:rsid w:val="00517027"/>
    <w:rsid w:val="005171D1"/>
    <w:rsid w:val="005174B8"/>
    <w:rsid w:val="00517674"/>
    <w:rsid w:val="00517996"/>
    <w:rsid w:val="00520018"/>
    <w:rsid w:val="005202A5"/>
    <w:rsid w:val="005207B6"/>
    <w:rsid w:val="00521141"/>
    <w:rsid w:val="005215D1"/>
    <w:rsid w:val="0052169B"/>
    <w:rsid w:val="00521AE9"/>
    <w:rsid w:val="00521D8C"/>
    <w:rsid w:val="00521D9F"/>
    <w:rsid w:val="005221BB"/>
    <w:rsid w:val="005222EA"/>
    <w:rsid w:val="005222EF"/>
    <w:rsid w:val="00522A01"/>
    <w:rsid w:val="00522BF5"/>
    <w:rsid w:val="00522DFB"/>
    <w:rsid w:val="0052316A"/>
    <w:rsid w:val="005231B0"/>
    <w:rsid w:val="00523346"/>
    <w:rsid w:val="00523A8A"/>
    <w:rsid w:val="00523DBB"/>
    <w:rsid w:val="00523F57"/>
    <w:rsid w:val="005240D1"/>
    <w:rsid w:val="0052417C"/>
    <w:rsid w:val="005248B7"/>
    <w:rsid w:val="00524DCD"/>
    <w:rsid w:val="00524DD0"/>
    <w:rsid w:val="00524E5E"/>
    <w:rsid w:val="00525307"/>
    <w:rsid w:val="00525BD8"/>
    <w:rsid w:val="00525D1C"/>
    <w:rsid w:val="00525F73"/>
    <w:rsid w:val="00526037"/>
    <w:rsid w:val="0052663A"/>
    <w:rsid w:val="005267AD"/>
    <w:rsid w:val="005267CA"/>
    <w:rsid w:val="00526863"/>
    <w:rsid w:val="00526A4F"/>
    <w:rsid w:val="00526B26"/>
    <w:rsid w:val="00526BCF"/>
    <w:rsid w:val="00526CD1"/>
    <w:rsid w:val="00526D31"/>
    <w:rsid w:val="00526DEC"/>
    <w:rsid w:val="00526E44"/>
    <w:rsid w:val="005270F9"/>
    <w:rsid w:val="00527D53"/>
    <w:rsid w:val="005303BB"/>
    <w:rsid w:val="0053040D"/>
    <w:rsid w:val="0053051E"/>
    <w:rsid w:val="0053052E"/>
    <w:rsid w:val="005306F8"/>
    <w:rsid w:val="005308B6"/>
    <w:rsid w:val="00530A4D"/>
    <w:rsid w:val="00530CA4"/>
    <w:rsid w:val="00530D82"/>
    <w:rsid w:val="00530E2F"/>
    <w:rsid w:val="00530EFF"/>
    <w:rsid w:val="00530F64"/>
    <w:rsid w:val="00531061"/>
    <w:rsid w:val="0053112A"/>
    <w:rsid w:val="00531EE8"/>
    <w:rsid w:val="00532346"/>
    <w:rsid w:val="00532A39"/>
    <w:rsid w:val="00532D2B"/>
    <w:rsid w:val="0053322A"/>
    <w:rsid w:val="00533FCD"/>
    <w:rsid w:val="00533FCE"/>
    <w:rsid w:val="00534034"/>
    <w:rsid w:val="00534447"/>
    <w:rsid w:val="0053478A"/>
    <w:rsid w:val="005347DF"/>
    <w:rsid w:val="005349D0"/>
    <w:rsid w:val="00534A79"/>
    <w:rsid w:val="0053540C"/>
    <w:rsid w:val="0053582F"/>
    <w:rsid w:val="00535DBD"/>
    <w:rsid w:val="005363ED"/>
    <w:rsid w:val="005369C0"/>
    <w:rsid w:val="00536AB8"/>
    <w:rsid w:val="00536BF6"/>
    <w:rsid w:val="00536CE0"/>
    <w:rsid w:val="005373FE"/>
    <w:rsid w:val="00537763"/>
    <w:rsid w:val="00537973"/>
    <w:rsid w:val="00537A02"/>
    <w:rsid w:val="00537C00"/>
    <w:rsid w:val="00540049"/>
    <w:rsid w:val="0054039C"/>
    <w:rsid w:val="00540678"/>
    <w:rsid w:val="005406FC"/>
    <w:rsid w:val="005407F2"/>
    <w:rsid w:val="00540B26"/>
    <w:rsid w:val="00540C09"/>
    <w:rsid w:val="00541348"/>
    <w:rsid w:val="00541916"/>
    <w:rsid w:val="00541B3C"/>
    <w:rsid w:val="00541F24"/>
    <w:rsid w:val="00541F72"/>
    <w:rsid w:val="00542355"/>
    <w:rsid w:val="00542505"/>
    <w:rsid w:val="005426ED"/>
    <w:rsid w:val="00542899"/>
    <w:rsid w:val="005428EF"/>
    <w:rsid w:val="00542910"/>
    <w:rsid w:val="00542A06"/>
    <w:rsid w:val="00542E9F"/>
    <w:rsid w:val="00542F80"/>
    <w:rsid w:val="00543039"/>
    <w:rsid w:val="0054331B"/>
    <w:rsid w:val="005436B3"/>
    <w:rsid w:val="0054371E"/>
    <w:rsid w:val="005437E1"/>
    <w:rsid w:val="00543A94"/>
    <w:rsid w:val="00543AFB"/>
    <w:rsid w:val="00543BA8"/>
    <w:rsid w:val="00543DDF"/>
    <w:rsid w:val="005442EB"/>
    <w:rsid w:val="0054430F"/>
    <w:rsid w:val="00544A95"/>
    <w:rsid w:val="00544D87"/>
    <w:rsid w:val="00545118"/>
    <w:rsid w:val="0054516D"/>
    <w:rsid w:val="00545196"/>
    <w:rsid w:val="00545796"/>
    <w:rsid w:val="00545BCA"/>
    <w:rsid w:val="00545D94"/>
    <w:rsid w:val="00545EAF"/>
    <w:rsid w:val="0054622D"/>
    <w:rsid w:val="0054666A"/>
    <w:rsid w:val="00546BE9"/>
    <w:rsid w:val="00546FA7"/>
    <w:rsid w:val="0054705B"/>
    <w:rsid w:val="005471ED"/>
    <w:rsid w:val="005474DE"/>
    <w:rsid w:val="0054753D"/>
    <w:rsid w:val="00547784"/>
    <w:rsid w:val="005477C4"/>
    <w:rsid w:val="0054788C"/>
    <w:rsid w:val="005479A0"/>
    <w:rsid w:val="00547AD8"/>
    <w:rsid w:val="00547AE3"/>
    <w:rsid w:val="00547C63"/>
    <w:rsid w:val="00547E30"/>
    <w:rsid w:val="00547EB3"/>
    <w:rsid w:val="00547EE1"/>
    <w:rsid w:val="00550303"/>
    <w:rsid w:val="005504A6"/>
    <w:rsid w:val="00550941"/>
    <w:rsid w:val="005509F2"/>
    <w:rsid w:val="00550A45"/>
    <w:rsid w:val="00550D17"/>
    <w:rsid w:val="00550D25"/>
    <w:rsid w:val="005510CC"/>
    <w:rsid w:val="005511B1"/>
    <w:rsid w:val="005512E2"/>
    <w:rsid w:val="0055134A"/>
    <w:rsid w:val="00551700"/>
    <w:rsid w:val="00551849"/>
    <w:rsid w:val="005519A0"/>
    <w:rsid w:val="00551AB2"/>
    <w:rsid w:val="00551C51"/>
    <w:rsid w:val="00551DFD"/>
    <w:rsid w:val="0055202C"/>
    <w:rsid w:val="0055242B"/>
    <w:rsid w:val="00552920"/>
    <w:rsid w:val="0055297D"/>
    <w:rsid w:val="00552D82"/>
    <w:rsid w:val="00552F5E"/>
    <w:rsid w:val="005531B7"/>
    <w:rsid w:val="005533F0"/>
    <w:rsid w:val="005538E9"/>
    <w:rsid w:val="0055399F"/>
    <w:rsid w:val="00553ABD"/>
    <w:rsid w:val="00553F12"/>
    <w:rsid w:val="00554371"/>
    <w:rsid w:val="0055480B"/>
    <w:rsid w:val="00554922"/>
    <w:rsid w:val="00554A0B"/>
    <w:rsid w:val="00554A5F"/>
    <w:rsid w:val="00554F05"/>
    <w:rsid w:val="00555198"/>
    <w:rsid w:val="00556469"/>
    <w:rsid w:val="00556598"/>
    <w:rsid w:val="0055664A"/>
    <w:rsid w:val="0055679E"/>
    <w:rsid w:val="00556A90"/>
    <w:rsid w:val="00556C33"/>
    <w:rsid w:val="00556D06"/>
    <w:rsid w:val="00556F40"/>
    <w:rsid w:val="005576A3"/>
    <w:rsid w:val="00557AE0"/>
    <w:rsid w:val="00557B23"/>
    <w:rsid w:val="00557F0C"/>
    <w:rsid w:val="0056013D"/>
    <w:rsid w:val="0056021E"/>
    <w:rsid w:val="0056065D"/>
    <w:rsid w:val="00560A4C"/>
    <w:rsid w:val="00560A63"/>
    <w:rsid w:val="00561030"/>
    <w:rsid w:val="005610FF"/>
    <w:rsid w:val="005615EA"/>
    <w:rsid w:val="00561739"/>
    <w:rsid w:val="005618FF"/>
    <w:rsid w:val="005619A5"/>
    <w:rsid w:val="00561A18"/>
    <w:rsid w:val="00561F6E"/>
    <w:rsid w:val="0056222F"/>
    <w:rsid w:val="00562238"/>
    <w:rsid w:val="00562540"/>
    <w:rsid w:val="005625AC"/>
    <w:rsid w:val="00562C16"/>
    <w:rsid w:val="00562EE2"/>
    <w:rsid w:val="00562F57"/>
    <w:rsid w:val="00563115"/>
    <w:rsid w:val="00563135"/>
    <w:rsid w:val="005634C6"/>
    <w:rsid w:val="00563BB8"/>
    <w:rsid w:val="00563BFE"/>
    <w:rsid w:val="00563C6F"/>
    <w:rsid w:val="00563F24"/>
    <w:rsid w:val="00564503"/>
    <w:rsid w:val="00564F21"/>
    <w:rsid w:val="00564F32"/>
    <w:rsid w:val="00565031"/>
    <w:rsid w:val="005653E1"/>
    <w:rsid w:val="00565856"/>
    <w:rsid w:val="00565AAD"/>
    <w:rsid w:val="00565C8A"/>
    <w:rsid w:val="005660DA"/>
    <w:rsid w:val="00566354"/>
    <w:rsid w:val="0056654A"/>
    <w:rsid w:val="00566561"/>
    <w:rsid w:val="00566721"/>
    <w:rsid w:val="00566857"/>
    <w:rsid w:val="0056691A"/>
    <w:rsid w:val="00566BE8"/>
    <w:rsid w:val="00566BEB"/>
    <w:rsid w:val="00567014"/>
    <w:rsid w:val="0056730C"/>
    <w:rsid w:val="00567755"/>
    <w:rsid w:val="005679A2"/>
    <w:rsid w:val="00567C9E"/>
    <w:rsid w:val="0057038B"/>
    <w:rsid w:val="00570486"/>
    <w:rsid w:val="00570A3E"/>
    <w:rsid w:val="00570B1E"/>
    <w:rsid w:val="00570B31"/>
    <w:rsid w:val="00570B80"/>
    <w:rsid w:val="00570D74"/>
    <w:rsid w:val="00570FB1"/>
    <w:rsid w:val="005710C3"/>
    <w:rsid w:val="00571552"/>
    <w:rsid w:val="00571700"/>
    <w:rsid w:val="005719A7"/>
    <w:rsid w:val="00571E00"/>
    <w:rsid w:val="00572208"/>
    <w:rsid w:val="00572272"/>
    <w:rsid w:val="00572394"/>
    <w:rsid w:val="005725E1"/>
    <w:rsid w:val="005726F6"/>
    <w:rsid w:val="0057278C"/>
    <w:rsid w:val="005729B0"/>
    <w:rsid w:val="00572CD2"/>
    <w:rsid w:val="00572E16"/>
    <w:rsid w:val="00573556"/>
    <w:rsid w:val="0057366B"/>
    <w:rsid w:val="005739C1"/>
    <w:rsid w:val="00573D17"/>
    <w:rsid w:val="00573D2F"/>
    <w:rsid w:val="005742B2"/>
    <w:rsid w:val="0057441A"/>
    <w:rsid w:val="0057456B"/>
    <w:rsid w:val="00574866"/>
    <w:rsid w:val="00574BCC"/>
    <w:rsid w:val="00574C2E"/>
    <w:rsid w:val="00574DBA"/>
    <w:rsid w:val="00574FF2"/>
    <w:rsid w:val="005757C4"/>
    <w:rsid w:val="005760A3"/>
    <w:rsid w:val="00576245"/>
    <w:rsid w:val="005762D0"/>
    <w:rsid w:val="00576468"/>
    <w:rsid w:val="005767A2"/>
    <w:rsid w:val="0057719F"/>
    <w:rsid w:val="00577459"/>
    <w:rsid w:val="00577598"/>
    <w:rsid w:val="0057794B"/>
    <w:rsid w:val="00577D34"/>
    <w:rsid w:val="00580135"/>
    <w:rsid w:val="005805CF"/>
    <w:rsid w:val="0058063D"/>
    <w:rsid w:val="0058067B"/>
    <w:rsid w:val="00580801"/>
    <w:rsid w:val="0058081F"/>
    <w:rsid w:val="005808F2"/>
    <w:rsid w:val="00581423"/>
    <w:rsid w:val="005814B8"/>
    <w:rsid w:val="00581502"/>
    <w:rsid w:val="005815BB"/>
    <w:rsid w:val="00581CC5"/>
    <w:rsid w:val="00581F52"/>
    <w:rsid w:val="00581F7B"/>
    <w:rsid w:val="005825F1"/>
    <w:rsid w:val="005828F2"/>
    <w:rsid w:val="00582A97"/>
    <w:rsid w:val="00582AB5"/>
    <w:rsid w:val="0058304A"/>
    <w:rsid w:val="0058313A"/>
    <w:rsid w:val="005834A8"/>
    <w:rsid w:val="005838C1"/>
    <w:rsid w:val="0058398C"/>
    <w:rsid w:val="00583BED"/>
    <w:rsid w:val="00583EE0"/>
    <w:rsid w:val="005843DE"/>
    <w:rsid w:val="00584454"/>
    <w:rsid w:val="0058499B"/>
    <w:rsid w:val="00584A18"/>
    <w:rsid w:val="00584B1E"/>
    <w:rsid w:val="00584D9B"/>
    <w:rsid w:val="005852E9"/>
    <w:rsid w:val="005853EA"/>
    <w:rsid w:val="00585ADC"/>
    <w:rsid w:val="00585B43"/>
    <w:rsid w:val="00585D1A"/>
    <w:rsid w:val="00585D5C"/>
    <w:rsid w:val="005860C9"/>
    <w:rsid w:val="005860CC"/>
    <w:rsid w:val="0058625E"/>
    <w:rsid w:val="005862E7"/>
    <w:rsid w:val="005862EB"/>
    <w:rsid w:val="005869F2"/>
    <w:rsid w:val="00586C10"/>
    <w:rsid w:val="00586E9F"/>
    <w:rsid w:val="00586EA7"/>
    <w:rsid w:val="005873CA"/>
    <w:rsid w:val="005906B0"/>
    <w:rsid w:val="00590896"/>
    <w:rsid w:val="00590B22"/>
    <w:rsid w:val="00590BC1"/>
    <w:rsid w:val="00590CEB"/>
    <w:rsid w:val="00591075"/>
    <w:rsid w:val="005911E9"/>
    <w:rsid w:val="005911F1"/>
    <w:rsid w:val="00591C13"/>
    <w:rsid w:val="0059216D"/>
    <w:rsid w:val="005921C0"/>
    <w:rsid w:val="005927C4"/>
    <w:rsid w:val="005927DC"/>
    <w:rsid w:val="00592BF2"/>
    <w:rsid w:val="00592E6C"/>
    <w:rsid w:val="0059311F"/>
    <w:rsid w:val="00593412"/>
    <w:rsid w:val="00593627"/>
    <w:rsid w:val="0059398B"/>
    <w:rsid w:val="00593AA1"/>
    <w:rsid w:val="00593BF7"/>
    <w:rsid w:val="00594275"/>
    <w:rsid w:val="005942E3"/>
    <w:rsid w:val="005944D2"/>
    <w:rsid w:val="00594585"/>
    <w:rsid w:val="00594E6C"/>
    <w:rsid w:val="0059535E"/>
    <w:rsid w:val="00595664"/>
    <w:rsid w:val="005958A8"/>
    <w:rsid w:val="00596663"/>
    <w:rsid w:val="005967D7"/>
    <w:rsid w:val="0059682F"/>
    <w:rsid w:val="005969FB"/>
    <w:rsid w:val="00596AB0"/>
    <w:rsid w:val="00596AE3"/>
    <w:rsid w:val="00596B9D"/>
    <w:rsid w:val="005971CA"/>
    <w:rsid w:val="00597277"/>
    <w:rsid w:val="00597423"/>
    <w:rsid w:val="0059755A"/>
    <w:rsid w:val="005975E8"/>
    <w:rsid w:val="00597813"/>
    <w:rsid w:val="00597E7F"/>
    <w:rsid w:val="00597FA4"/>
    <w:rsid w:val="005A02D5"/>
    <w:rsid w:val="005A04B2"/>
    <w:rsid w:val="005A055A"/>
    <w:rsid w:val="005A08B1"/>
    <w:rsid w:val="005A0EEF"/>
    <w:rsid w:val="005A0F9B"/>
    <w:rsid w:val="005A1291"/>
    <w:rsid w:val="005A172A"/>
    <w:rsid w:val="005A1745"/>
    <w:rsid w:val="005A175C"/>
    <w:rsid w:val="005A1794"/>
    <w:rsid w:val="005A1852"/>
    <w:rsid w:val="005A1AE9"/>
    <w:rsid w:val="005A219E"/>
    <w:rsid w:val="005A22FC"/>
    <w:rsid w:val="005A28DA"/>
    <w:rsid w:val="005A2977"/>
    <w:rsid w:val="005A2985"/>
    <w:rsid w:val="005A2F73"/>
    <w:rsid w:val="005A2FDF"/>
    <w:rsid w:val="005A3396"/>
    <w:rsid w:val="005A3506"/>
    <w:rsid w:val="005A3B1A"/>
    <w:rsid w:val="005A3C74"/>
    <w:rsid w:val="005A3D20"/>
    <w:rsid w:val="005A3D79"/>
    <w:rsid w:val="005A3E77"/>
    <w:rsid w:val="005A4417"/>
    <w:rsid w:val="005A44AF"/>
    <w:rsid w:val="005A44CE"/>
    <w:rsid w:val="005A44FF"/>
    <w:rsid w:val="005A4705"/>
    <w:rsid w:val="005A47E2"/>
    <w:rsid w:val="005A49E1"/>
    <w:rsid w:val="005A4E32"/>
    <w:rsid w:val="005A4FDE"/>
    <w:rsid w:val="005A50A3"/>
    <w:rsid w:val="005A55FE"/>
    <w:rsid w:val="005A5935"/>
    <w:rsid w:val="005A5A1C"/>
    <w:rsid w:val="005A5F3E"/>
    <w:rsid w:val="005A631C"/>
    <w:rsid w:val="005A65F7"/>
    <w:rsid w:val="005A66CF"/>
    <w:rsid w:val="005A66E4"/>
    <w:rsid w:val="005A6876"/>
    <w:rsid w:val="005A69B0"/>
    <w:rsid w:val="005A69E6"/>
    <w:rsid w:val="005A7020"/>
    <w:rsid w:val="005A7E74"/>
    <w:rsid w:val="005A7F4C"/>
    <w:rsid w:val="005B00B8"/>
    <w:rsid w:val="005B024F"/>
    <w:rsid w:val="005B0330"/>
    <w:rsid w:val="005B047E"/>
    <w:rsid w:val="005B067F"/>
    <w:rsid w:val="005B06A4"/>
    <w:rsid w:val="005B07F5"/>
    <w:rsid w:val="005B0839"/>
    <w:rsid w:val="005B100B"/>
    <w:rsid w:val="005B1186"/>
    <w:rsid w:val="005B136C"/>
    <w:rsid w:val="005B1416"/>
    <w:rsid w:val="005B14D4"/>
    <w:rsid w:val="005B16EE"/>
    <w:rsid w:val="005B179A"/>
    <w:rsid w:val="005B1B2E"/>
    <w:rsid w:val="005B1C69"/>
    <w:rsid w:val="005B2289"/>
    <w:rsid w:val="005B22DA"/>
    <w:rsid w:val="005B26A2"/>
    <w:rsid w:val="005B2B9B"/>
    <w:rsid w:val="005B2BD1"/>
    <w:rsid w:val="005B3184"/>
    <w:rsid w:val="005B34F1"/>
    <w:rsid w:val="005B3798"/>
    <w:rsid w:val="005B382B"/>
    <w:rsid w:val="005B3B05"/>
    <w:rsid w:val="005B3D2C"/>
    <w:rsid w:val="005B41F3"/>
    <w:rsid w:val="005B4799"/>
    <w:rsid w:val="005B4A1F"/>
    <w:rsid w:val="005B4C61"/>
    <w:rsid w:val="005B4D3E"/>
    <w:rsid w:val="005B4DA6"/>
    <w:rsid w:val="005B5260"/>
    <w:rsid w:val="005B585F"/>
    <w:rsid w:val="005B5A08"/>
    <w:rsid w:val="005B5BB4"/>
    <w:rsid w:val="005B631F"/>
    <w:rsid w:val="005B667B"/>
    <w:rsid w:val="005B675C"/>
    <w:rsid w:val="005B6B53"/>
    <w:rsid w:val="005B6C0E"/>
    <w:rsid w:val="005B7131"/>
    <w:rsid w:val="005B7563"/>
    <w:rsid w:val="005B761A"/>
    <w:rsid w:val="005B768B"/>
    <w:rsid w:val="005B7EA0"/>
    <w:rsid w:val="005B7FE4"/>
    <w:rsid w:val="005C0073"/>
    <w:rsid w:val="005C0451"/>
    <w:rsid w:val="005C048E"/>
    <w:rsid w:val="005C04A6"/>
    <w:rsid w:val="005C04DE"/>
    <w:rsid w:val="005C06D6"/>
    <w:rsid w:val="005C0AE6"/>
    <w:rsid w:val="005C0B94"/>
    <w:rsid w:val="005C0BE1"/>
    <w:rsid w:val="005C0ED8"/>
    <w:rsid w:val="005C125A"/>
    <w:rsid w:val="005C12B2"/>
    <w:rsid w:val="005C14FC"/>
    <w:rsid w:val="005C15B2"/>
    <w:rsid w:val="005C182D"/>
    <w:rsid w:val="005C206B"/>
    <w:rsid w:val="005C209A"/>
    <w:rsid w:val="005C2497"/>
    <w:rsid w:val="005C29A2"/>
    <w:rsid w:val="005C2AED"/>
    <w:rsid w:val="005C2C43"/>
    <w:rsid w:val="005C3256"/>
    <w:rsid w:val="005C32C9"/>
    <w:rsid w:val="005C3777"/>
    <w:rsid w:val="005C3902"/>
    <w:rsid w:val="005C4143"/>
    <w:rsid w:val="005C41E8"/>
    <w:rsid w:val="005C444C"/>
    <w:rsid w:val="005C44F1"/>
    <w:rsid w:val="005C4763"/>
    <w:rsid w:val="005C48B1"/>
    <w:rsid w:val="005C4906"/>
    <w:rsid w:val="005C49DE"/>
    <w:rsid w:val="005C5C8F"/>
    <w:rsid w:val="005C5D76"/>
    <w:rsid w:val="005C60BE"/>
    <w:rsid w:val="005C6329"/>
    <w:rsid w:val="005C69F8"/>
    <w:rsid w:val="005C7688"/>
    <w:rsid w:val="005C7844"/>
    <w:rsid w:val="005C79FC"/>
    <w:rsid w:val="005C7C10"/>
    <w:rsid w:val="005C7D32"/>
    <w:rsid w:val="005C7E6B"/>
    <w:rsid w:val="005C7F85"/>
    <w:rsid w:val="005C7FD0"/>
    <w:rsid w:val="005D03AF"/>
    <w:rsid w:val="005D06F6"/>
    <w:rsid w:val="005D0977"/>
    <w:rsid w:val="005D0C0E"/>
    <w:rsid w:val="005D0C3C"/>
    <w:rsid w:val="005D0E81"/>
    <w:rsid w:val="005D130B"/>
    <w:rsid w:val="005D13B5"/>
    <w:rsid w:val="005D16AA"/>
    <w:rsid w:val="005D1925"/>
    <w:rsid w:val="005D1AD8"/>
    <w:rsid w:val="005D1EF6"/>
    <w:rsid w:val="005D1F7A"/>
    <w:rsid w:val="005D2690"/>
    <w:rsid w:val="005D272D"/>
    <w:rsid w:val="005D2769"/>
    <w:rsid w:val="005D2827"/>
    <w:rsid w:val="005D2DDE"/>
    <w:rsid w:val="005D2EE9"/>
    <w:rsid w:val="005D31FF"/>
    <w:rsid w:val="005D335E"/>
    <w:rsid w:val="005D3384"/>
    <w:rsid w:val="005D34EE"/>
    <w:rsid w:val="005D359E"/>
    <w:rsid w:val="005D35FF"/>
    <w:rsid w:val="005D376B"/>
    <w:rsid w:val="005D38BA"/>
    <w:rsid w:val="005D39CD"/>
    <w:rsid w:val="005D3B35"/>
    <w:rsid w:val="005D3CA2"/>
    <w:rsid w:val="005D3D02"/>
    <w:rsid w:val="005D4035"/>
    <w:rsid w:val="005D43D7"/>
    <w:rsid w:val="005D4CA4"/>
    <w:rsid w:val="005D4D34"/>
    <w:rsid w:val="005D4F42"/>
    <w:rsid w:val="005D4FB6"/>
    <w:rsid w:val="005D50D1"/>
    <w:rsid w:val="005D5247"/>
    <w:rsid w:val="005D550E"/>
    <w:rsid w:val="005D5512"/>
    <w:rsid w:val="005D6625"/>
    <w:rsid w:val="005D6648"/>
    <w:rsid w:val="005D6A59"/>
    <w:rsid w:val="005D6BC4"/>
    <w:rsid w:val="005D6EB4"/>
    <w:rsid w:val="005D6FAD"/>
    <w:rsid w:val="005D71C3"/>
    <w:rsid w:val="005D751C"/>
    <w:rsid w:val="005D7734"/>
    <w:rsid w:val="005D77DA"/>
    <w:rsid w:val="005D7830"/>
    <w:rsid w:val="005D7EB4"/>
    <w:rsid w:val="005D7FC7"/>
    <w:rsid w:val="005E0155"/>
    <w:rsid w:val="005E0B3B"/>
    <w:rsid w:val="005E0D32"/>
    <w:rsid w:val="005E0EEE"/>
    <w:rsid w:val="005E12F6"/>
    <w:rsid w:val="005E13FD"/>
    <w:rsid w:val="005E17C7"/>
    <w:rsid w:val="005E1ACD"/>
    <w:rsid w:val="005E20B4"/>
    <w:rsid w:val="005E25FB"/>
    <w:rsid w:val="005E27F9"/>
    <w:rsid w:val="005E2FFF"/>
    <w:rsid w:val="005E3501"/>
    <w:rsid w:val="005E3784"/>
    <w:rsid w:val="005E38D4"/>
    <w:rsid w:val="005E3B16"/>
    <w:rsid w:val="005E3C11"/>
    <w:rsid w:val="005E4533"/>
    <w:rsid w:val="005E479F"/>
    <w:rsid w:val="005E48FD"/>
    <w:rsid w:val="005E4C54"/>
    <w:rsid w:val="005E4F6E"/>
    <w:rsid w:val="005E5001"/>
    <w:rsid w:val="005E537B"/>
    <w:rsid w:val="005E5A0A"/>
    <w:rsid w:val="005E5BA3"/>
    <w:rsid w:val="005E5EA9"/>
    <w:rsid w:val="005E618E"/>
    <w:rsid w:val="005E65A8"/>
    <w:rsid w:val="005E6713"/>
    <w:rsid w:val="005E6B15"/>
    <w:rsid w:val="005E6C29"/>
    <w:rsid w:val="005E7677"/>
    <w:rsid w:val="005E7D79"/>
    <w:rsid w:val="005F00D6"/>
    <w:rsid w:val="005F016F"/>
    <w:rsid w:val="005F0234"/>
    <w:rsid w:val="005F064E"/>
    <w:rsid w:val="005F085D"/>
    <w:rsid w:val="005F08AB"/>
    <w:rsid w:val="005F0B8E"/>
    <w:rsid w:val="005F0D0D"/>
    <w:rsid w:val="005F0E74"/>
    <w:rsid w:val="005F0E80"/>
    <w:rsid w:val="005F0EE6"/>
    <w:rsid w:val="005F1260"/>
    <w:rsid w:val="005F15A2"/>
    <w:rsid w:val="005F16F6"/>
    <w:rsid w:val="005F19AF"/>
    <w:rsid w:val="005F2226"/>
    <w:rsid w:val="005F257D"/>
    <w:rsid w:val="005F2AD2"/>
    <w:rsid w:val="005F33B3"/>
    <w:rsid w:val="005F33EB"/>
    <w:rsid w:val="005F36D5"/>
    <w:rsid w:val="005F3BE6"/>
    <w:rsid w:val="005F3D7B"/>
    <w:rsid w:val="005F40C7"/>
    <w:rsid w:val="005F40CD"/>
    <w:rsid w:val="005F4191"/>
    <w:rsid w:val="005F4207"/>
    <w:rsid w:val="005F47D4"/>
    <w:rsid w:val="005F4CC8"/>
    <w:rsid w:val="005F4DB3"/>
    <w:rsid w:val="005F504D"/>
    <w:rsid w:val="005F525A"/>
    <w:rsid w:val="005F54F5"/>
    <w:rsid w:val="005F5625"/>
    <w:rsid w:val="005F57A0"/>
    <w:rsid w:val="005F5925"/>
    <w:rsid w:val="005F5AF5"/>
    <w:rsid w:val="005F5B39"/>
    <w:rsid w:val="005F5FB1"/>
    <w:rsid w:val="005F6062"/>
    <w:rsid w:val="005F634D"/>
    <w:rsid w:val="005F65CD"/>
    <w:rsid w:val="005F6642"/>
    <w:rsid w:val="005F68FD"/>
    <w:rsid w:val="005F6FDC"/>
    <w:rsid w:val="005F710D"/>
    <w:rsid w:val="005F71C1"/>
    <w:rsid w:val="005F7377"/>
    <w:rsid w:val="005F73E5"/>
    <w:rsid w:val="005F74C0"/>
    <w:rsid w:val="005F7628"/>
    <w:rsid w:val="005F79E9"/>
    <w:rsid w:val="005F7F75"/>
    <w:rsid w:val="00600260"/>
    <w:rsid w:val="00600531"/>
    <w:rsid w:val="00600555"/>
    <w:rsid w:val="0060057B"/>
    <w:rsid w:val="006007A7"/>
    <w:rsid w:val="00600B90"/>
    <w:rsid w:val="00600EB1"/>
    <w:rsid w:val="00601792"/>
    <w:rsid w:val="00601B1A"/>
    <w:rsid w:val="00602349"/>
    <w:rsid w:val="006023E2"/>
    <w:rsid w:val="00602443"/>
    <w:rsid w:val="00602455"/>
    <w:rsid w:val="00602527"/>
    <w:rsid w:val="00602FE4"/>
    <w:rsid w:val="00603003"/>
    <w:rsid w:val="0060320D"/>
    <w:rsid w:val="0060346F"/>
    <w:rsid w:val="006034A2"/>
    <w:rsid w:val="00603655"/>
    <w:rsid w:val="0060378B"/>
    <w:rsid w:val="00603FE7"/>
    <w:rsid w:val="0060405E"/>
    <w:rsid w:val="00604461"/>
    <w:rsid w:val="0060459B"/>
    <w:rsid w:val="00604792"/>
    <w:rsid w:val="00604891"/>
    <w:rsid w:val="00604ABC"/>
    <w:rsid w:val="00604F10"/>
    <w:rsid w:val="00604F9D"/>
    <w:rsid w:val="00604FF3"/>
    <w:rsid w:val="0060513A"/>
    <w:rsid w:val="00605199"/>
    <w:rsid w:val="00605353"/>
    <w:rsid w:val="00605443"/>
    <w:rsid w:val="006054BF"/>
    <w:rsid w:val="00605623"/>
    <w:rsid w:val="00605783"/>
    <w:rsid w:val="00605B4C"/>
    <w:rsid w:val="00605D2C"/>
    <w:rsid w:val="00605FA5"/>
    <w:rsid w:val="006069E9"/>
    <w:rsid w:val="00606A90"/>
    <w:rsid w:val="006074A1"/>
    <w:rsid w:val="006074A3"/>
    <w:rsid w:val="006075B9"/>
    <w:rsid w:val="0060775B"/>
    <w:rsid w:val="00607892"/>
    <w:rsid w:val="00610347"/>
    <w:rsid w:val="0061056A"/>
    <w:rsid w:val="0061067C"/>
    <w:rsid w:val="00610A9A"/>
    <w:rsid w:val="00610E92"/>
    <w:rsid w:val="00611314"/>
    <w:rsid w:val="006118C2"/>
    <w:rsid w:val="00611B6A"/>
    <w:rsid w:val="0061261A"/>
    <w:rsid w:val="006126B6"/>
    <w:rsid w:val="006128FA"/>
    <w:rsid w:val="00612990"/>
    <w:rsid w:val="00612B91"/>
    <w:rsid w:val="00612FB3"/>
    <w:rsid w:val="00612FCE"/>
    <w:rsid w:val="0061390D"/>
    <w:rsid w:val="00613D28"/>
    <w:rsid w:val="00613DBE"/>
    <w:rsid w:val="00613F11"/>
    <w:rsid w:val="006141E6"/>
    <w:rsid w:val="0061426C"/>
    <w:rsid w:val="00614276"/>
    <w:rsid w:val="00614349"/>
    <w:rsid w:val="0061447E"/>
    <w:rsid w:val="0061477D"/>
    <w:rsid w:val="00615123"/>
    <w:rsid w:val="0061535A"/>
    <w:rsid w:val="006155C9"/>
    <w:rsid w:val="00615D4E"/>
    <w:rsid w:val="00615FCA"/>
    <w:rsid w:val="0061635F"/>
    <w:rsid w:val="006163FA"/>
    <w:rsid w:val="00616898"/>
    <w:rsid w:val="00616965"/>
    <w:rsid w:val="006169B4"/>
    <w:rsid w:val="00616D30"/>
    <w:rsid w:val="00616DF4"/>
    <w:rsid w:val="00616EB3"/>
    <w:rsid w:val="00616F79"/>
    <w:rsid w:val="0061743D"/>
    <w:rsid w:val="006177DF"/>
    <w:rsid w:val="00617ABD"/>
    <w:rsid w:val="00620244"/>
    <w:rsid w:val="00620BD3"/>
    <w:rsid w:val="00620E19"/>
    <w:rsid w:val="0062165F"/>
    <w:rsid w:val="006216BC"/>
    <w:rsid w:val="00621EDA"/>
    <w:rsid w:val="00621F7A"/>
    <w:rsid w:val="006221AF"/>
    <w:rsid w:val="006228C4"/>
    <w:rsid w:val="00622929"/>
    <w:rsid w:val="00622C4E"/>
    <w:rsid w:val="00622C71"/>
    <w:rsid w:val="0062343B"/>
    <w:rsid w:val="00623C26"/>
    <w:rsid w:val="00624134"/>
    <w:rsid w:val="00624155"/>
    <w:rsid w:val="0062472C"/>
    <w:rsid w:val="0062481A"/>
    <w:rsid w:val="00624C5E"/>
    <w:rsid w:val="00624D4F"/>
    <w:rsid w:val="0062506F"/>
    <w:rsid w:val="00625666"/>
    <w:rsid w:val="006258CA"/>
    <w:rsid w:val="006259F0"/>
    <w:rsid w:val="00626168"/>
    <w:rsid w:val="00626262"/>
    <w:rsid w:val="006269BE"/>
    <w:rsid w:val="00626F2D"/>
    <w:rsid w:val="00626FD8"/>
    <w:rsid w:val="00627351"/>
    <w:rsid w:val="0062759D"/>
    <w:rsid w:val="006276E9"/>
    <w:rsid w:val="0062779D"/>
    <w:rsid w:val="00627CD9"/>
    <w:rsid w:val="006307E8"/>
    <w:rsid w:val="00630914"/>
    <w:rsid w:val="00630D01"/>
    <w:rsid w:val="00630F41"/>
    <w:rsid w:val="006310D8"/>
    <w:rsid w:val="00631758"/>
    <w:rsid w:val="00631825"/>
    <w:rsid w:val="0063197B"/>
    <w:rsid w:val="00631B48"/>
    <w:rsid w:val="00631D10"/>
    <w:rsid w:val="0063208A"/>
    <w:rsid w:val="00632424"/>
    <w:rsid w:val="00632784"/>
    <w:rsid w:val="00633096"/>
    <w:rsid w:val="00633300"/>
    <w:rsid w:val="0063378D"/>
    <w:rsid w:val="00633974"/>
    <w:rsid w:val="00634136"/>
    <w:rsid w:val="006342EB"/>
    <w:rsid w:val="00634782"/>
    <w:rsid w:val="006348A1"/>
    <w:rsid w:val="00634BA1"/>
    <w:rsid w:val="00634C65"/>
    <w:rsid w:val="00634F0B"/>
    <w:rsid w:val="00635538"/>
    <w:rsid w:val="00635649"/>
    <w:rsid w:val="0063576A"/>
    <w:rsid w:val="0063577D"/>
    <w:rsid w:val="006359B0"/>
    <w:rsid w:val="00635DB5"/>
    <w:rsid w:val="00635E21"/>
    <w:rsid w:val="006361C0"/>
    <w:rsid w:val="00636426"/>
    <w:rsid w:val="006368C1"/>
    <w:rsid w:val="00636EF9"/>
    <w:rsid w:val="00636F68"/>
    <w:rsid w:val="006370B7"/>
    <w:rsid w:val="00637288"/>
    <w:rsid w:val="006378D1"/>
    <w:rsid w:val="00637BD3"/>
    <w:rsid w:val="00640238"/>
    <w:rsid w:val="0064038C"/>
    <w:rsid w:val="006403C6"/>
    <w:rsid w:val="00640879"/>
    <w:rsid w:val="00640D0C"/>
    <w:rsid w:val="00640D46"/>
    <w:rsid w:val="00640DEA"/>
    <w:rsid w:val="00641605"/>
    <w:rsid w:val="006418A6"/>
    <w:rsid w:val="00641E10"/>
    <w:rsid w:val="00642338"/>
    <w:rsid w:val="0064293C"/>
    <w:rsid w:val="0064364C"/>
    <w:rsid w:val="00643826"/>
    <w:rsid w:val="006439A1"/>
    <w:rsid w:val="006439A8"/>
    <w:rsid w:val="00643C10"/>
    <w:rsid w:val="00644640"/>
    <w:rsid w:val="00644B20"/>
    <w:rsid w:val="00644CCD"/>
    <w:rsid w:val="006456D9"/>
    <w:rsid w:val="00645A8A"/>
    <w:rsid w:val="00645B53"/>
    <w:rsid w:val="00645D27"/>
    <w:rsid w:val="006463BD"/>
    <w:rsid w:val="006464CD"/>
    <w:rsid w:val="0064656C"/>
    <w:rsid w:val="0064658A"/>
    <w:rsid w:val="00646B77"/>
    <w:rsid w:val="00647186"/>
    <w:rsid w:val="006471EB"/>
    <w:rsid w:val="006476AC"/>
    <w:rsid w:val="006478CD"/>
    <w:rsid w:val="00647A72"/>
    <w:rsid w:val="00647A99"/>
    <w:rsid w:val="00647EDF"/>
    <w:rsid w:val="006503E7"/>
    <w:rsid w:val="006504A9"/>
    <w:rsid w:val="006504C5"/>
    <w:rsid w:val="006505DC"/>
    <w:rsid w:val="00650BBB"/>
    <w:rsid w:val="00650D85"/>
    <w:rsid w:val="00650E88"/>
    <w:rsid w:val="00650F6C"/>
    <w:rsid w:val="00651429"/>
    <w:rsid w:val="00651537"/>
    <w:rsid w:val="00651D08"/>
    <w:rsid w:val="0065213C"/>
    <w:rsid w:val="006522F1"/>
    <w:rsid w:val="00652320"/>
    <w:rsid w:val="00652533"/>
    <w:rsid w:val="00652539"/>
    <w:rsid w:val="0065264D"/>
    <w:rsid w:val="006526B8"/>
    <w:rsid w:val="006527E3"/>
    <w:rsid w:val="006528C9"/>
    <w:rsid w:val="0065299F"/>
    <w:rsid w:val="00652B6E"/>
    <w:rsid w:val="00652CF5"/>
    <w:rsid w:val="00652DCE"/>
    <w:rsid w:val="00652F41"/>
    <w:rsid w:val="00652F9F"/>
    <w:rsid w:val="00652FB8"/>
    <w:rsid w:val="00653688"/>
    <w:rsid w:val="00653C8D"/>
    <w:rsid w:val="00653F49"/>
    <w:rsid w:val="00653FA4"/>
    <w:rsid w:val="00654079"/>
    <w:rsid w:val="006542F2"/>
    <w:rsid w:val="00654422"/>
    <w:rsid w:val="00654580"/>
    <w:rsid w:val="0065480E"/>
    <w:rsid w:val="00654834"/>
    <w:rsid w:val="00654AC1"/>
    <w:rsid w:val="00654D22"/>
    <w:rsid w:val="00655147"/>
    <w:rsid w:val="00655B61"/>
    <w:rsid w:val="00655E90"/>
    <w:rsid w:val="0065617F"/>
    <w:rsid w:val="00656567"/>
    <w:rsid w:val="0065656F"/>
    <w:rsid w:val="00656B81"/>
    <w:rsid w:val="00656CBC"/>
    <w:rsid w:val="00656DB5"/>
    <w:rsid w:val="0066018D"/>
    <w:rsid w:val="0066063F"/>
    <w:rsid w:val="00660BD9"/>
    <w:rsid w:val="00660F7F"/>
    <w:rsid w:val="0066113D"/>
    <w:rsid w:val="00661815"/>
    <w:rsid w:val="00661AC8"/>
    <w:rsid w:val="00661B98"/>
    <w:rsid w:val="00661F35"/>
    <w:rsid w:val="00662434"/>
    <w:rsid w:val="00662C23"/>
    <w:rsid w:val="00662DC2"/>
    <w:rsid w:val="0066319A"/>
    <w:rsid w:val="006631B1"/>
    <w:rsid w:val="006632D2"/>
    <w:rsid w:val="00663DC2"/>
    <w:rsid w:val="0066438D"/>
    <w:rsid w:val="006644DD"/>
    <w:rsid w:val="006650EE"/>
    <w:rsid w:val="006651BD"/>
    <w:rsid w:val="006653F7"/>
    <w:rsid w:val="0066592F"/>
    <w:rsid w:val="00665BF5"/>
    <w:rsid w:val="00665F18"/>
    <w:rsid w:val="00666471"/>
    <w:rsid w:val="00666919"/>
    <w:rsid w:val="00666B1C"/>
    <w:rsid w:val="00666E44"/>
    <w:rsid w:val="00667001"/>
    <w:rsid w:val="00667380"/>
    <w:rsid w:val="006673E8"/>
    <w:rsid w:val="00667EBA"/>
    <w:rsid w:val="00670271"/>
    <w:rsid w:val="00670869"/>
    <w:rsid w:val="00670ADF"/>
    <w:rsid w:val="00670DD6"/>
    <w:rsid w:val="0067109B"/>
    <w:rsid w:val="006711BC"/>
    <w:rsid w:val="006712AA"/>
    <w:rsid w:val="006712D0"/>
    <w:rsid w:val="00671424"/>
    <w:rsid w:val="00671551"/>
    <w:rsid w:val="00671980"/>
    <w:rsid w:val="006719CA"/>
    <w:rsid w:val="00671DEE"/>
    <w:rsid w:val="00671EC0"/>
    <w:rsid w:val="00671ECC"/>
    <w:rsid w:val="0067217F"/>
    <w:rsid w:val="00672202"/>
    <w:rsid w:val="00672300"/>
    <w:rsid w:val="006723D3"/>
    <w:rsid w:val="0067248C"/>
    <w:rsid w:val="006724CC"/>
    <w:rsid w:val="0067298B"/>
    <w:rsid w:val="0067325A"/>
    <w:rsid w:val="0067339C"/>
    <w:rsid w:val="006739DA"/>
    <w:rsid w:val="00673EAA"/>
    <w:rsid w:val="00673EC7"/>
    <w:rsid w:val="00673FD8"/>
    <w:rsid w:val="00673FF2"/>
    <w:rsid w:val="006741D6"/>
    <w:rsid w:val="006741FC"/>
    <w:rsid w:val="006743A3"/>
    <w:rsid w:val="00674946"/>
    <w:rsid w:val="0067498B"/>
    <w:rsid w:val="00674ACE"/>
    <w:rsid w:val="00674BCE"/>
    <w:rsid w:val="00674C0B"/>
    <w:rsid w:val="00674F2B"/>
    <w:rsid w:val="00675106"/>
    <w:rsid w:val="0067536A"/>
    <w:rsid w:val="00675640"/>
    <w:rsid w:val="00676272"/>
    <w:rsid w:val="0067694A"/>
    <w:rsid w:val="00676951"/>
    <w:rsid w:val="00676F48"/>
    <w:rsid w:val="00677124"/>
    <w:rsid w:val="006771EE"/>
    <w:rsid w:val="00677455"/>
    <w:rsid w:val="006775CB"/>
    <w:rsid w:val="006776D0"/>
    <w:rsid w:val="0067770B"/>
    <w:rsid w:val="00677C2B"/>
    <w:rsid w:val="006803BB"/>
    <w:rsid w:val="006804EA"/>
    <w:rsid w:val="0068056A"/>
    <w:rsid w:val="00680C9C"/>
    <w:rsid w:val="00680CEC"/>
    <w:rsid w:val="006811DF"/>
    <w:rsid w:val="006812A9"/>
    <w:rsid w:val="00681C04"/>
    <w:rsid w:val="00681E94"/>
    <w:rsid w:val="00681FA7"/>
    <w:rsid w:val="00681FEB"/>
    <w:rsid w:val="0068261B"/>
    <w:rsid w:val="006829F4"/>
    <w:rsid w:val="00682AD1"/>
    <w:rsid w:val="00682DBB"/>
    <w:rsid w:val="0068329E"/>
    <w:rsid w:val="006832AB"/>
    <w:rsid w:val="006832EA"/>
    <w:rsid w:val="00683968"/>
    <w:rsid w:val="00683C16"/>
    <w:rsid w:val="00683D14"/>
    <w:rsid w:val="00683E18"/>
    <w:rsid w:val="006841E1"/>
    <w:rsid w:val="0068447D"/>
    <w:rsid w:val="00684F82"/>
    <w:rsid w:val="00685419"/>
    <w:rsid w:val="0068570E"/>
    <w:rsid w:val="006859BD"/>
    <w:rsid w:val="00685B4D"/>
    <w:rsid w:val="00685D74"/>
    <w:rsid w:val="00685D95"/>
    <w:rsid w:val="00685DC9"/>
    <w:rsid w:val="00685E4E"/>
    <w:rsid w:val="00686056"/>
    <w:rsid w:val="00686068"/>
    <w:rsid w:val="0068606A"/>
    <w:rsid w:val="0068615F"/>
    <w:rsid w:val="0068698B"/>
    <w:rsid w:val="00686B00"/>
    <w:rsid w:val="00686EE2"/>
    <w:rsid w:val="00687024"/>
    <w:rsid w:val="0068720E"/>
    <w:rsid w:val="0068753A"/>
    <w:rsid w:val="0068767F"/>
    <w:rsid w:val="00690520"/>
    <w:rsid w:val="00690A6B"/>
    <w:rsid w:val="00690B48"/>
    <w:rsid w:val="0069102C"/>
    <w:rsid w:val="0069115A"/>
    <w:rsid w:val="00691355"/>
    <w:rsid w:val="006913C8"/>
    <w:rsid w:val="00691486"/>
    <w:rsid w:val="006917D0"/>
    <w:rsid w:val="00691956"/>
    <w:rsid w:val="006919F4"/>
    <w:rsid w:val="00691A25"/>
    <w:rsid w:val="00691B65"/>
    <w:rsid w:val="00691C32"/>
    <w:rsid w:val="00691E61"/>
    <w:rsid w:val="006925E6"/>
    <w:rsid w:val="0069268A"/>
    <w:rsid w:val="00692974"/>
    <w:rsid w:val="006929CA"/>
    <w:rsid w:val="00692D1D"/>
    <w:rsid w:val="00693249"/>
    <w:rsid w:val="006933CF"/>
    <w:rsid w:val="006934B0"/>
    <w:rsid w:val="006938AC"/>
    <w:rsid w:val="00693A8E"/>
    <w:rsid w:val="00693D57"/>
    <w:rsid w:val="00694154"/>
    <w:rsid w:val="0069418A"/>
    <w:rsid w:val="00694280"/>
    <w:rsid w:val="00695207"/>
    <w:rsid w:val="00695628"/>
    <w:rsid w:val="0069581A"/>
    <w:rsid w:val="0069590B"/>
    <w:rsid w:val="00695B0D"/>
    <w:rsid w:val="00695C3E"/>
    <w:rsid w:val="00695FD5"/>
    <w:rsid w:val="00696075"/>
    <w:rsid w:val="0069612C"/>
    <w:rsid w:val="00696193"/>
    <w:rsid w:val="006963B4"/>
    <w:rsid w:val="0069650E"/>
    <w:rsid w:val="006965D6"/>
    <w:rsid w:val="00696717"/>
    <w:rsid w:val="00696857"/>
    <w:rsid w:val="00696F04"/>
    <w:rsid w:val="00696F57"/>
    <w:rsid w:val="00697261"/>
    <w:rsid w:val="00697635"/>
    <w:rsid w:val="00697747"/>
    <w:rsid w:val="00697754"/>
    <w:rsid w:val="00697C60"/>
    <w:rsid w:val="006A04CD"/>
    <w:rsid w:val="006A0626"/>
    <w:rsid w:val="006A08A6"/>
    <w:rsid w:val="006A0A9F"/>
    <w:rsid w:val="006A115D"/>
    <w:rsid w:val="006A1218"/>
    <w:rsid w:val="006A12EC"/>
    <w:rsid w:val="006A1618"/>
    <w:rsid w:val="006A19E2"/>
    <w:rsid w:val="006A19F5"/>
    <w:rsid w:val="006A1EAE"/>
    <w:rsid w:val="006A2060"/>
    <w:rsid w:val="006A22B4"/>
    <w:rsid w:val="006A2771"/>
    <w:rsid w:val="006A278C"/>
    <w:rsid w:val="006A2915"/>
    <w:rsid w:val="006A29E3"/>
    <w:rsid w:val="006A2DE6"/>
    <w:rsid w:val="006A2F1B"/>
    <w:rsid w:val="006A311B"/>
    <w:rsid w:val="006A32B9"/>
    <w:rsid w:val="006A3308"/>
    <w:rsid w:val="006A3449"/>
    <w:rsid w:val="006A3463"/>
    <w:rsid w:val="006A3500"/>
    <w:rsid w:val="006A3550"/>
    <w:rsid w:val="006A3559"/>
    <w:rsid w:val="006A3729"/>
    <w:rsid w:val="006A37EE"/>
    <w:rsid w:val="006A39D8"/>
    <w:rsid w:val="006A3E3C"/>
    <w:rsid w:val="006A471E"/>
    <w:rsid w:val="006A473D"/>
    <w:rsid w:val="006A47F9"/>
    <w:rsid w:val="006A4831"/>
    <w:rsid w:val="006A49FD"/>
    <w:rsid w:val="006A4ED7"/>
    <w:rsid w:val="006A5490"/>
    <w:rsid w:val="006A56B9"/>
    <w:rsid w:val="006A59B5"/>
    <w:rsid w:val="006A5AE3"/>
    <w:rsid w:val="006A5C33"/>
    <w:rsid w:val="006A5D72"/>
    <w:rsid w:val="006A5E02"/>
    <w:rsid w:val="006A6661"/>
    <w:rsid w:val="006A6679"/>
    <w:rsid w:val="006A6AFF"/>
    <w:rsid w:val="006A71C3"/>
    <w:rsid w:val="006A7358"/>
    <w:rsid w:val="006A73C6"/>
    <w:rsid w:val="006A7642"/>
    <w:rsid w:val="006A7720"/>
    <w:rsid w:val="006A7F8D"/>
    <w:rsid w:val="006B04FD"/>
    <w:rsid w:val="006B0513"/>
    <w:rsid w:val="006B085F"/>
    <w:rsid w:val="006B115E"/>
    <w:rsid w:val="006B16E0"/>
    <w:rsid w:val="006B19D2"/>
    <w:rsid w:val="006B1B4A"/>
    <w:rsid w:val="006B1C4F"/>
    <w:rsid w:val="006B1C86"/>
    <w:rsid w:val="006B1EE9"/>
    <w:rsid w:val="006B24BB"/>
    <w:rsid w:val="006B30D1"/>
    <w:rsid w:val="006B3199"/>
    <w:rsid w:val="006B31DE"/>
    <w:rsid w:val="006B31F0"/>
    <w:rsid w:val="006B3322"/>
    <w:rsid w:val="006B357B"/>
    <w:rsid w:val="006B3925"/>
    <w:rsid w:val="006B4081"/>
    <w:rsid w:val="006B40C4"/>
    <w:rsid w:val="006B4331"/>
    <w:rsid w:val="006B45C9"/>
    <w:rsid w:val="006B4625"/>
    <w:rsid w:val="006B47D2"/>
    <w:rsid w:val="006B4816"/>
    <w:rsid w:val="006B4A43"/>
    <w:rsid w:val="006B577E"/>
    <w:rsid w:val="006B5962"/>
    <w:rsid w:val="006B5FB2"/>
    <w:rsid w:val="006B60AC"/>
    <w:rsid w:val="006B63EE"/>
    <w:rsid w:val="006B6628"/>
    <w:rsid w:val="006B6BE6"/>
    <w:rsid w:val="006B7508"/>
    <w:rsid w:val="006B7569"/>
    <w:rsid w:val="006B78B9"/>
    <w:rsid w:val="006B78E8"/>
    <w:rsid w:val="006B7A3B"/>
    <w:rsid w:val="006B7B8F"/>
    <w:rsid w:val="006C01F0"/>
    <w:rsid w:val="006C02E4"/>
    <w:rsid w:val="006C04AD"/>
    <w:rsid w:val="006C0A73"/>
    <w:rsid w:val="006C0E73"/>
    <w:rsid w:val="006C1A9C"/>
    <w:rsid w:val="006C1B91"/>
    <w:rsid w:val="006C1C39"/>
    <w:rsid w:val="006C1DFE"/>
    <w:rsid w:val="006C24BE"/>
    <w:rsid w:val="006C2879"/>
    <w:rsid w:val="006C2D71"/>
    <w:rsid w:val="006C3226"/>
    <w:rsid w:val="006C356D"/>
    <w:rsid w:val="006C3C63"/>
    <w:rsid w:val="006C4527"/>
    <w:rsid w:val="006C4918"/>
    <w:rsid w:val="006C5414"/>
    <w:rsid w:val="006C5675"/>
    <w:rsid w:val="006C5AD3"/>
    <w:rsid w:val="006C5B84"/>
    <w:rsid w:val="006C5F91"/>
    <w:rsid w:val="006C60FE"/>
    <w:rsid w:val="006C617F"/>
    <w:rsid w:val="006C6191"/>
    <w:rsid w:val="006C63ED"/>
    <w:rsid w:val="006C67CF"/>
    <w:rsid w:val="006C6942"/>
    <w:rsid w:val="006C69FE"/>
    <w:rsid w:val="006C74B8"/>
    <w:rsid w:val="006C7A17"/>
    <w:rsid w:val="006C7C5E"/>
    <w:rsid w:val="006C7C83"/>
    <w:rsid w:val="006C7DFF"/>
    <w:rsid w:val="006D063D"/>
    <w:rsid w:val="006D09C5"/>
    <w:rsid w:val="006D0A4D"/>
    <w:rsid w:val="006D0A5B"/>
    <w:rsid w:val="006D0CF4"/>
    <w:rsid w:val="006D0D2A"/>
    <w:rsid w:val="006D0FC0"/>
    <w:rsid w:val="006D1220"/>
    <w:rsid w:val="006D141C"/>
    <w:rsid w:val="006D17F8"/>
    <w:rsid w:val="006D19A5"/>
    <w:rsid w:val="006D1A1D"/>
    <w:rsid w:val="006D1F49"/>
    <w:rsid w:val="006D1FF1"/>
    <w:rsid w:val="006D21C8"/>
    <w:rsid w:val="006D2345"/>
    <w:rsid w:val="006D2666"/>
    <w:rsid w:val="006D287E"/>
    <w:rsid w:val="006D2BF2"/>
    <w:rsid w:val="006D2C92"/>
    <w:rsid w:val="006D2D8C"/>
    <w:rsid w:val="006D303A"/>
    <w:rsid w:val="006D330A"/>
    <w:rsid w:val="006D345A"/>
    <w:rsid w:val="006D34C0"/>
    <w:rsid w:val="006D35D7"/>
    <w:rsid w:val="006D369C"/>
    <w:rsid w:val="006D3D69"/>
    <w:rsid w:val="006D413B"/>
    <w:rsid w:val="006D46F8"/>
    <w:rsid w:val="006D4703"/>
    <w:rsid w:val="006D480B"/>
    <w:rsid w:val="006D4D82"/>
    <w:rsid w:val="006D5051"/>
    <w:rsid w:val="006D5238"/>
    <w:rsid w:val="006D525A"/>
    <w:rsid w:val="006D53D5"/>
    <w:rsid w:val="006D57A0"/>
    <w:rsid w:val="006D57D6"/>
    <w:rsid w:val="006D5B75"/>
    <w:rsid w:val="006D6829"/>
    <w:rsid w:val="006D6A17"/>
    <w:rsid w:val="006D6B4D"/>
    <w:rsid w:val="006D6F92"/>
    <w:rsid w:val="006D71A6"/>
    <w:rsid w:val="006D73E8"/>
    <w:rsid w:val="006D744C"/>
    <w:rsid w:val="006D7467"/>
    <w:rsid w:val="006D7672"/>
    <w:rsid w:val="006D7C2D"/>
    <w:rsid w:val="006D7E78"/>
    <w:rsid w:val="006E0318"/>
    <w:rsid w:val="006E0359"/>
    <w:rsid w:val="006E0442"/>
    <w:rsid w:val="006E04CD"/>
    <w:rsid w:val="006E0972"/>
    <w:rsid w:val="006E0B68"/>
    <w:rsid w:val="006E0D43"/>
    <w:rsid w:val="006E1081"/>
    <w:rsid w:val="006E15E1"/>
    <w:rsid w:val="006E16BB"/>
    <w:rsid w:val="006E17C8"/>
    <w:rsid w:val="006E1935"/>
    <w:rsid w:val="006E193F"/>
    <w:rsid w:val="006E1B32"/>
    <w:rsid w:val="006E1D5B"/>
    <w:rsid w:val="006E2066"/>
    <w:rsid w:val="006E2671"/>
    <w:rsid w:val="006E302F"/>
    <w:rsid w:val="006E37E7"/>
    <w:rsid w:val="006E3878"/>
    <w:rsid w:val="006E3B0E"/>
    <w:rsid w:val="006E3D2E"/>
    <w:rsid w:val="006E3EA4"/>
    <w:rsid w:val="006E441E"/>
    <w:rsid w:val="006E4463"/>
    <w:rsid w:val="006E495A"/>
    <w:rsid w:val="006E4CA9"/>
    <w:rsid w:val="006E567C"/>
    <w:rsid w:val="006E60AC"/>
    <w:rsid w:val="006E6AC7"/>
    <w:rsid w:val="006E6D30"/>
    <w:rsid w:val="006E6FDB"/>
    <w:rsid w:val="006E7217"/>
    <w:rsid w:val="006E73FE"/>
    <w:rsid w:val="006E75BD"/>
    <w:rsid w:val="006E7A8B"/>
    <w:rsid w:val="006E7F38"/>
    <w:rsid w:val="006F0090"/>
    <w:rsid w:val="006F047A"/>
    <w:rsid w:val="006F0814"/>
    <w:rsid w:val="006F103E"/>
    <w:rsid w:val="006F13EE"/>
    <w:rsid w:val="006F1A7B"/>
    <w:rsid w:val="006F1BA0"/>
    <w:rsid w:val="006F1BEC"/>
    <w:rsid w:val="006F1D57"/>
    <w:rsid w:val="006F23B8"/>
    <w:rsid w:val="006F24BD"/>
    <w:rsid w:val="006F27CF"/>
    <w:rsid w:val="006F2876"/>
    <w:rsid w:val="006F2946"/>
    <w:rsid w:val="006F2F2A"/>
    <w:rsid w:val="006F3075"/>
    <w:rsid w:val="006F3196"/>
    <w:rsid w:val="006F3573"/>
    <w:rsid w:val="006F3671"/>
    <w:rsid w:val="006F3738"/>
    <w:rsid w:val="006F3800"/>
    <w:rsid w:val="006F3849"/>
    <w:rsid w:val="006F3E7F"/>
    <w:rsid w:val="006F3F59"/>
    <w:rsid w:val="006F3FFB"/>
    <w:rsid w:val="006F4236"/>
    <w:rsid w:val="006F433B"/>
    <w:rsid w:val="006F4397"/>
    <w:rsid w:val="006F44C8"/>
    <w:rsid w:val="006F4B0E"/>
    <w:rsid w:val="006F50B2"/>
    <w:rsid w:val="006F51C8"/>
    <w:rsid w:val="006F5340"/>
    <w:rsid w:val="006F55E1"/>
    <w:rsid w:val="006F5B77"/>
    <w:rsid w:val="006F608F"/>
    <w:rsid w:val="006F6B08"/>
    <w:rsid w:val="006F6B65"/>
    <w:rsid w:val="006F6F6B"/>
    <w:rsid w:val="006F76B1"/>
    <w:rsid w:val="0070025A"/>
    <w:rsid w:val="0070058C"/>
    <w:rsid w:val="00700815"/>
    <w:rsid w:val="0070084E"/>
    <w:rsid w:val="00700937"/>
    <w:rsid w:val="00700BA1"/>
    <w:rsid w:val="00700D5E"/>
    <w:rsid w:val="007010D2"/>
    <w:rsid w:val="0070128F"/>
    <w:rsid w:val="0070143D"/>
    <w:rsid w:val="007017C5"/>
    <w:rsid w:val="00701D1F"/>
    <w:rsid w:val="00701DAF"/>
    <w:rsid w:val="00701DD4"/>
    <w:rsid w:val="00701E46"/>
    <w:rsid w:val="0070225B"/>
    <w:rsid w:val="007023E0"/>
    <w:rsid w:val="007027D4"/>
    <w:rsid w:val="00702CF3"/>
    <w:rsid w:val="007035D5"/>
    <w:rsid w:val="00704B1E"/>
    <w:rsid w:val="00705116"/>
    <w:rsid w:val="00705307"/>
    <w:rsid w:val="00705313"/>
    <w:rsid w:val="0070549D"/>
    <w:rsid w:val="00705766"/>
    <w:rsid w:val="00705CF1"/>
    <w:rsid w:val="00706238"/>
    <w:rsid w:val="00706346"/>
    <w:rsid w:val="00706640"/>
    <w:rsid w:val="00706877"/>
    <w:rsid w:val="00706899"/>
    <w:rsid w:val="00706908"/>
    <w:rsid w:val="00706DED"/>
    <w:rsid w:val="00706E16"/>
    <w:rsid w:val="007072D7"/>
    <w:rsid w:val="00707355"/>
    <w:rsid w:val="007073BD"/>
    <w:rsid w:val="00707656"/>
    <w:rsid w:val="00707781"/>
    <w:rsid w:val="00710109"/>
    <w:rsid w:val="007101FA"/>
    <w:rsid w:val="007106C2"/>
    <w:rsid w:val="007106EB"/>
    <w:rsid w:val="007108C2"/>
    <w:rsid w:val="00710930"/>
    <w:rsid w:val="007109C5"/>
    <w:rsid w:val="00710A47"/>
    <w:rsid w:val="00710AA0"/>
    <w:rsid w:val="00710D9C"/>
    <w:rsid w:val="00710EBD"/>
    <w:rsid w:val="007111A0"/>
    <w:rsid w:val="007117CF"/>
    <w:rsid w:val="007118BE"/>
    <w:rsid w:val="007118F7"/>
    <w:rsid w:val="0071190A"/>
    <w:rsid w:val="00711A84"/>
    <w:rsid w:val="007120D0"/>
    <w:rsid w:val="007122B2"/>
    <w:rsid w:val="007127F9"/>
    <w:rsid w:val="00712888"/>
    <w:rsid w:val="007129B6"/>
    <w:rsid w:val="00712A42"/>
    <w:rsid w:val="00712B23"/>
    <w:rsid w:val="00713AB6"/>
    <w:rsid w:val="00713F21"/>
    <w:rsid w:val="00713F5E"/>
    <w:rsid w:val="0071415E"/>
    <w:rsid w:val="007145F3"/>
    <w:rsid w:val="00714778"/>
    <w:rsid w:val="00714788"/>
    <w:rsid w:val="00714BE9"/>
    <w:rsid w:val="007152ED"/>
    <w:rsid w:val="00715391"/>
    <w:rsid w:val="0071544B"/>
    <w:rsid w:val="00715707"/>
    <w:rsid w:val="0071573F"/>
    <w:rsid w:val="00715AC6"/>
    <w:rsid w:val="00715CF1"/>
    <w:rsid w:val="00715D2D"/>
    <w:rsid w:val="00715DD9"/>
    <w:rsid w:val="007161EA"/>
    <w:rsid w:val="007162C7"/>
    <w:rsid w:val="007166A5"/>
    <w:rsid w:val="00716DD2"/>
    <w:rsid w:val="00716E1F"/>
    <w:rsid w:val="00716F4E"/>
    <w:rsid w:val="0071720C"/>
    <w:rsid w:val="007172D9"/>
    <w:rsid w:val="00717472"/>
    <w:rsid w:val="0071777C"/>
    <w:rsid w:val="00717B06"/>
    <w:rsid w:val="00717E9F"/>
    <w:rsid w:val="00717FD1"/>
    <w:rsid w:val="007204A6"/>
    <w:rsid w:val="0072072D"/>
    <w:rsid w:val="00720888"/>
    <w:rsid w:val="00720A2A"/>
    <w:rsid w:val="0072138D"/>
    <w:rsid w:val="007213CD"/>
    <w:rsid w:val="0072157F"/>
    <w:rsid w:val="00721A49"/>
    <w:rsid w:val="00721AA5"/>
    <w:rsid w:val="00721ADD"/>
    <w:rsid w:val="00721DF3"/>
    <w:rsid w:val="0072241E"/>
    <w:rsid w:val="0072252F"/>
    <w:rsid w:val="00722AAC"/>
    <w:rsid w:val="00722B67"/>
    <w:rsid w:val="00722DB3"/>
    <w:rsid w:val="00723652"/>
    <w:rsid w:val="0072397D"/>
    <w:rsid w:val="00723B56"/>
    <w:rsid w:val="00723EA5"/>
    <w:rsid w:val="007242F2"/>
    <w:rsid w:val="00724A23"/>
    <w:rsid w:val="00724A64"/>
    <w:rsid w:val="00725128"/>
    <w:rsid w:val="00725429"/>
    <w:rsid w:val="00725553"/>
    <w:rsid w:val="00725A4F"/>
    <w:rsid w:val="00725B54"/>
    <w:rsid w:val="0072678D"/>
    <w:rsid w:val="007268B2"/>
    <w:rsid w:val="00726905"/>
    <w:rsid w:val="0072746D"/>
    <w:rsid w:val="00727C90"/>
    <w:rsid w:val="00727E53"/>
    <w:rsid w:val="00727EB7"/>
    <w:rsid w:val="00730039"/>
    <w:rsid w:val="00730847"/>
    <w:rsid w:val="00730C02"/>
    <w:rsid w:val="00730F63"/>
    <w:rsid w:val="007312AA"/>
    <w:rsid w:val="00731912"/>
    <w:rsid w:val="00731F0B"/>
    <w:rsid w:val="00732326"/>
    <w:rsid w:val="007325CF"/>
    <w:rsid w:val="00732C31"/>
    <w:rsid w:val="00733049"/>
    <w:rsid w:val="007332A2"/>
    <w:rsid w:val="00733723"/>
    <w:rsid w:val="00733821"/>
    <w:rsid w:val="007339C3"/>
    <w:rsid w:val="00733A7A"/>
    <w:rsid w:val="00733EEE"/>
    <w:rsid w:val="00733F58"/>
    <w:rsid w:val="007344BE"/>
    <w:rsid w:val="0073479D"/>
    <w:rsid w:val="0073497A"/>
    <w:rsid w:val="00734C1B"/>
    <w:rsid w:val="00734ED9"/>
    <w:rsid w:val="00735490"/>
    <w:rsid w:val="0073573F"/>
    <w:rsid w:val="00735766"/>
    <w:rsid w:val="007357EE"/>
    <w:rsid w:val="007358D1"/>
    <w:rsid w:val="00735C77"/>
    <w:rsid w:val="00735D49"/>
    <w:rsid w:val="0073612E"/>
    <w:rsid w:val="00736484"/>
    <w:rsid w:val="00736569"/>
    <w:rsid w:val="0073680E"/>
    <w:rsid w:val="00736989"/>
    <w:rsid w:val="00737293"/>
    <w:rsid w:val="007377FA"/>
    <w:rsid w:val="00737816"/>
    <w:rsid w:val="00737BAA"/>
    <w:rsid w:val="00740032"/>
    <w:rsid w:val="0074028A"/>
    <w:rsid w:val="00740307"/>
    <w:rsid w:val="00740560"/>
    <w:rsid w:val="007408A2"/>
    <w:rsid w:val="007410BB"/>
    <w:rsid w:val="007412C7"/>
    <w:rsid w:val="00742226"/>
    <w:rsid w:val="00742622"/>
    <w:rsid w:val="00742A29"/>
    <w:rsid w:val="00742F6D"/>
    <w:rsid w:val="00743204"/>
    <w:rsid w:val="00743551"/>
    <w:rsid w:val="007435CD"/>
    <w:rsid w:val="00743655"/>
    <w:rsid w:val="00743B69"/>
    <w:rsid w:val="0074483F"/>
    <w:rsid w:val="00744A21"/>
    <w:rsid w:val="00744A4A"/>
    <w:rsid w:val="00744ABB"/>
    <w:rsid w:val="00744BE3"/>
    <w:rsid w:val="00744FF0"/>
    <w:rsid w:val="00745028"/>
    <w:rsid w:val="0074511A"/>
    <w:rsid w:val="0074548E"/>
    <w:rsid w:val="0074570F"/>
    <w:rsid w:val="00745B10"/>
    <w:rsid w:val="00745E54"/>
    <w:rsid w:val="007460A4"/>
    <w:rsid w:val="007464ED"/>
    <w:rsid w:val="0074668E"/>
    <w:rsid w:val="00746A46"/>
    <w:rsid w:val="00746A48"/>
    <w:rsid w:val="00746D7F"/>
    <w:rsid w:val="00747107"/>
    <w:rsid w:val="00747108"/>
    <w:rsid w:val="0074764D"/>
    <w:rsid w:val="00747878"/>
    <w:rsid w:val="00747D5B"/>
    <w:rsid w:val="00750069"/>
    <w:rsid w:val="00750353"/>
    <w:rsid w:val="0075071D"/>
    <w:rsid w:val="00750B68"/>
    <w:rsid w:val="00750D3B"/>
    <w:rsid w:val="007512E2"/>
    <w:rsid w:val="00751468"/>
    <w:rsid w:val="00751532"/>
    <w:rsid w:val="007516F0"/>
    <w:rsid w:val="007519BA"/>
    <w:rsid w:val="00751B51"/>
    <w:rsid w:val="00751BA2"/>
    <w:rsid w:val="00752150"/>
    <w:rsid w:val="007521BB"/>
    <w:rsid w:val="00752486"/>
    <w:rsid w:val="007527DD"/>
    <w:rsid w:val="00752A33"/>
    <w:rsid w:val="00752C89"/>
    <w:rsid w:val="007532D8"/>
    <w:rsid w:val="00753562"/>
    <w:rsid w:val="0075388C"/>
    <w:rsid w:val="007538FE"/>
    <w:rsid w:val="00753A24"/>
    <w:rsid w:val="00753A99"/>
    <w:rsid w:val="00753CC6"/>
    <w:rsid w:val="00753E47"/>
    <w:rsid w:val="00753E9D"/>
    <w:rsid w:val="00754732"/>
    <w:rsid w:val="007548C7"/>
    <w:rsid w:val="00754FC5"/>
    <w:rsid w:val="007550AB"/>
    <w:rsid w:val="00755214"/>
    <w:rsid w:val="007555D0"/>
    <w:rsid w:val="00755895"/>
    <w:rsid w:val="00755A8C"/>
    <w:rsid w:val="00755FD3"/>
    <w:rsid w:val="0075608C"/>
    <w:rsid w:val="0075614C"/>
    <w:rsid w:val="00756969"/>
    <w:rsid w:val="0075726B"/>
    <w:rsid w:val="00757365"/>
    <w:rsid w:val="007573C8"/>
    <w:rsid w:val="007578D4"/>
    <w:rsid w:val="00757AE8"/>
    <w:rsid w:val="00757E1F"/>
    <w:rsid w:val="00760287"/>
    <w:rsid w:val="007603E9"/>
    <w:rsid w:val="007606FB"/>
    <w:rsid w:val="00760D72"/>
    <w:rsid w:val="00760E92"/>
    <w:rsid w:val="00761913"/>
    <w:rsid w:val="0076196C"/>
    <w:rsid w:val="00762450"/>
    <w:rsid w:val="0076245C"/>
    <w:rsid w:val="0076273D"/>
    <w:rsid w:val="007627DC"/>
    <w:rsid w:val="0076293C"/>
    <w:rsid w:val="007629C6"/>
    <w:rsid w:val="0076337A"/>
    <w:rsid w:val="007633D9"/>
    <w:rsid w:val="007635D3"/>
    <w:rsid w:val="007638A2"/>
    <w:rsid w:val="00763AF6"/>
    <w:rsid w:val="007641C8"/>
    <w:rsid w:val="0076439D"/>
    <w:rsid w:val="007645FC"/>
    <w:rsid w:val="00764947"/>
    <w:rsid w:val="00764DC1"/>
    <w:rsid w:val="0076511E"/>
    <w:rsid w:val="00765211"/>
    <w:rsid w:val="007653DA"/>
    <w:rsid w:val="00765408"/>
    <w:rsid w:val="00765784"/>
    <w:rsid w:val="00765DC4"/>
    <w:rsid w:val="00765E9E"/>
    <w:rsid w:val="00766092"/>
    <w:rsid w:val="0076614E"/>
    <w:rsid w:val="0076625E"/>
    <w:rsid w:val="0076659A"/>
    <w:rsid w:val="007667A3"/>
    <w:rsid w:val="007668AC"/>
    <w:rsid w:val="00766962"/>
    <w:rsid w:val="0076768F"/>
    <w:rsid w:val="00767848"/>
    <w:rsid w:val="00767B05"/>
    <w:rsid w:val="00767FA4"/>
    <w:rsid w:val="00770229"/>
    <w:rsid w:val="00770423"/>
    <w:rsid w:val="0077078E"/>
    <w:rsid w:val="00770DB6"/>
    <w:rsid w:val="00770DFD"/>
    <w:rsid w:val="007716D3"/>
    <w:rsid w:val="00771989"/>
    <w:rsid w:val="007719FE"/>
    <w:rsid w:val="00771B00"/>
    <w:rsid w:val="00771C0D"/>
    <w:rsid w:val="00771C50"/>
    <w:rsid w:val="00771EC2"/>
    <w:rsid w:val="00771F8B"/>
    <w:rsid w:val="00772025"/>
    <w:rsid w:val="00772187"/>
    <w:rsid w:val="00772279"/>
    <w:rsid w:val="00772346"/>
    <w:rsid w:val="007723E2"/>
    <w:rsid w:val="00772577"/>
    <w:rsid w:val="00772E68"/>
    <w:rsid w:val="00773059"/>
    <w:rsid w:val="007733F1"/>
    <w:rsid w:val="00773631"/>
    <w:rsid w:val="00773725"/>
    <w:rsid w:val="00773A52"/>
    <w:rsid w:val="0077403A"/>
    <w:rsid w:val="0077418D"/>
    <w:rsid w:val="00774274"/>
    <w:rsid w:val="0077453E"/>
    <w:rsid w:val="007746DB"/>
    <w:rsid w:val="00774A68"/>
    <w:rsid w:val="00774AD8"/>
    <w:rsid w:val="00774D3E"/>
    <w:rsid w:val="00774E14"/>
    <w:rsid w:val="00774E3B"/>
    <w:rsid w:val="007751D8"/>
    <w:rsid w:val="00775228"/>
    <w:rsid w:val="00775309"/>
    <w:rsid w:val="007753AB"/>
    <w:rsid w:val="0077594B"/>
    <w:rsid w:val="007759E1"/>
    <w:rsid w:val="00775AE1"/>
    <w:rsid w:val="00775AEC"/>
    <w:rsid w:val="00775B19"/>
    <w:rsid w:val="00775CAB"/>
    <w:rsid w:val="00775ED4"/>
    <w:rsid w:val="007764E3"/>
    <w:rsid w:val="00776795"/>
    <w:rsid w:val="007767B9"/>
    <w:rsid w:val="007769BD"/>
    <w:rsid w:val="00777494"/>
    <w:rsid w:val="00777923"/>
    <w:rsid w:val="007779D3"/>
    <w:rsid w:val="00777CF0"/>
    <w:rsid w:val="00777D11"/>
    <w:rsid w:val="00777D1F"/>
    <w:rsid w:val="00777FEF"/>
    <w:rsid w:val="007807E0"/>
    <w:rsid w:val="00780D3A"/>
    <w:rsid w:val="00780DB5"/>
    <w:rsid w:val="00780EB3"/>
    <w:rsid w:val="00780FB1"/>
    <w:rsid w:val="00781087"/>
    <w:rsid w:val="007812BE"/>
    <w:rsid w:val="00781414"/>
    <w:rsid w:val="007816D6"/>
    <w:rsid w:val="0078176A"/>
    <w:rsid w:val="00781C2B"/>
    <w:rsid w:val="00781F7C"/>
    <w:rsid w:val="007827FD"/>
    <w:rsid w:val="00782993"/>
    <w:rsid w:val="00782ABA"/>
    <w:rsid w:val="00782BBB"/>
    <w:rsid w:val="00782BF7"/>
    <w:rsid w:val="00782C53"/>
    <w:rsid w:val="00782DA3"/>
    <w:rsid w:val="00782DC2"/>
    <w:rsid w:val="007832A9"/>
    <w:rsid w:val="00783560"/>
    <w:rsid w:val="007836A3"/>
    <w:rsid w:val="00783760"/>
    <w:rsid w:val="0078389B"/>
    <w:rsid w:val="00783C28"/>
    <w:rsid w:val="0078432F"/>
    <w:rsid w:val="007843D7"/>
    <w:rsid w:val="007847BD"/>
    <w:rsid w:val="00784E52"/>
    <w:rsid w:val="00784E66"/>
    <w:rsid w:val="00785315"/>
    <w:rsid w:val="00785F53"/>
    <w:rsid w:val="00786144"/>
    <w:rsid w:val="00786190"/>
    <w:rsid w:val="007865B8"/>
    <w:rsid w:val="007867F8"/>
    <w:rsid w:val="00786E74"/>
    <w:rsid w:val="00786F19"/>
    <w:rsid w:val="00787003"/>
    <w:rsid w:val="0078732B"/>
    <w:rsid w:val="007873B4"/>
    <w:rsid w:val="0078749F"/>
    <w:rsid w:val="007875E9"/>
    <w:rsid w:val="00787912"/>
    <w:rsid w:val="00787AEF"/>
    <w:rsid w:val="00787C08"/>
    <w:rsid w:val="00787C49"/>
    <w:rsid w:val="00787C6E"/>
    <w:rsid w:val="00787EEC"/>
    <w:rsid w:val="00787F8C"/>
    <w:rsid w:val="00790472"/>
    <w:rsid w:val="00790517"/>
    <w:rsid w:val="00790697"/>
    <w:rsid w:val="00790E43"/>
    <w:rsid w:val="007910BE"/>
    <w:rsid w:val="007914E0"/>
    <w:rsid w:val="00791902"/>
    <w:rsid w:val="00791932"/>
    <w:rsid w:val="00791BF5"/>
    <w:rsid w:val="00792041"/>
    <w:rsid w:val="007922EA"/>
    <w:rsid w:val="007924B5"/>
    <w:rsid w:val="007929E7"/>
    <w:rsid w:val="00792D54"/>
    <w:rsid w:val="0079305A"/>
    <w:rsid w:val="0079324C"/>
    <w:rsid w:val="007932FC"/>
    <w:rsid w:val="0079358D"/>
    <w:rsid w:val="00793788"/>
    <w:rsid w:val="007938F0"/>
    <w:rsid w:val="00793C87"/>
    <w:rsid w:val="00793DA5"/>
    <w:rsid w:val="00793E31"/>
    <w:rsid w:val="00794401"/>
    <w:rsid w:val="007944FC"/>
    <w:rsid w:val="00794892"/>
    <w:rsid w:val="0079493F"/>
    <w:rsid w:val="00794ADD"/>
    <w:rsid w:val="00794FA6"/>
    <w:rsid w:val="00795236"/>
    <w:rsid w:val="007954EA"/>
    <w:rsid w:val="00795C18"/>
    <w:rsid w:val="00795D0A"/>
    <w:rsid w:val="0079652D"/>
    <w:rsid w:val="007968A4"/>
    <w:rsid w:val="007968F5"/>
    <w:rsid w:val="00796CE7"/>
    <w:rsid w:val="00796D22"/>
    <w:rsid w:val="00796ED9"/>
    <w:rsid w:val="00796FE3"/>
    <w:rsid w:val="0079741D"/>
    <w:rsid w:val="00797577"/>
    <w:rsid w:val="007975F5"/>
    <w:rsid w:val="0079765F"/>
    <w:rsid w:val="007976E0"/>
    <w:rsid w:val="00797D62"/>
    <w:rsid w:val="007A063D"/>
    <w:rsid w:val="007A06F3"/>
    <w:rsid w:val="007A1421"/>
    <w:rsid w:val="007A1450"/>
    <w:rsid w:val="007A1BB6"/>
    <w:rsid w:val="007A1C6B"/>
    <w:rsid w:val="007A22BC"/>
    <w:rsid w:val="007A2404"/>
    <w:rsid w:val="007A25EC"/>
    <w:rsid w:val="007A2696"/>
    <w:rsid w:val="007A2756"/>
    <w:rsid w:val="007A296B"/>
    <w:rsid w:val="007A2C66"/>
    <w:rsid w:val="007A3D48"/>
    <w:rsid w:val="007A3DAF"/>
    <w:rsid w:val="007A46C5"/>
    <w:rsid w:val="007A4BD1"/>
    <w:rsid w:val="007A4F90"/>
    <w:rsid w:val="007A5223"/>
    <w:rsid w:val="007A598A"/>
    <w:rsid w:val="007A5D71"/>
    <w:rsid w:val="007A5F43"/>
    <w:rsid w:val="007A617E"/>
    <w:rsid w:val="007A630D"/>
    <w:rsid w:val="007A660D"/>
    <w:rsid w:val="007A6640"/>
    <w:rsid w:val="007A681F"/>
    <w:rsid w:val="007A6C02"/>
    <w:rsid w:val="007A6E77"/>
    <w:rsid w:val="007A7141"/>
    <w:rsid w:val="007A72AB"/>
    <w:rsid w:val="007A74B1"/>
    <w:rsid w:val="007A77C6"/>
    <w:rsid w:val="007A7FDC"/>
    <w:rsid w:val="007B035D"/>
    <w:rsid w:val="007B08C4"/>
    <w:rsid w:val="007B09DB"/>
    <w:rsid w:val="007B0DC4"/>
    <w:rsid w:val="007B0E36"/>
    <w:rsid w:val="007B1279"/>
    <w:rsid w:val="007B13EA"/>
    <w:rsid w:val="007B153C"/>
    <w:rsid w:val="007B1845"/>
    <w:rsid w:val="007B19BB"/>
    <w:rsid w:val="007B19F2"/>
    <w:rsid w:val="007B1ED2"/>
    <w:rsid w:val="007B1F03"/>
    <w:rsid w:val="007B1FDA"/>
    <w:rsid w:val="007B21AC"/>
    <w:rsid w:val="007B2718"/>
    <w:rsid w:val="007B27ED"/>
    <w:rsid w:val="007B29C4"/>
    <w:rsid w:val="007B2D40"/>
    <w:rsid w:val="007B2FB1"/>
    <w:rsid w:val="007B3184"/>
    <w:rsid w:val="007B3317"/>
    <w:rsid w:val="007B362C"/>
    <w:rsid w:val="007B366D"/>
    <w:rsid w:val="007B3EEB"/>
    <w:rsid w:val="007B3EFE"/>
    <w:rsid w:val="007B419B"/>
    <w:rsid w:val="007B4261"/>
    <w:rsid w:val="007B4465"/>
    <w:rsid w:val="007B4AF8"/>
    <w:rsid w:val="007B4DA7"/>
    <w:rsid w:val="007B5024"/>
    <w:rsid w:val="007B531E"/>
    <w:rsid w:val="007B54D9"/>
    <w:rsid w:val="007B56F1"/>
    <w:rsid w:val="007B5D36"/>
    <w:rsid w:val="007B63E6"/>
    <w:rsid w:val="007B680A"/>
    <w:rsid w:val="007B6887"/>
    <w:rsid w:val="007B69CD"/>
    <w:rsid w:val="007B6AA6"/>
    <w:rsid w:val="007B6E25"/>
    <w:rsid w:val="007B70E1"/>
    <w:rsid w:val="007B7143"/>
    <w:rsid w:val="007B766D"/>
    <w:rsid w:val="007B7E2E"/>
    <w:rsid w:val="007B7FB9"/>
    <w:rsid w:val="007C008A"/>
    <w:rsid w:val="007C046A"/>
    <w:rsid w:val="007C04F2"/>
    <w:rsid w:val="007C07A1"/>
    <w:rsid w:val="007C0C20"/>
    <w:rsid w:val="007C0E79"/>
    <w:rsid w:val="007C1051"/>
    <w:rsid w:val="007C123C"/>
    <w:rsid w:val="007C143F"/>
    <w:rsid w:val="007C1475"/>
    <w:rsid w:val="007C14FD"/>
    <w:rsid w:val="007C1753"/>
    <w:rsid w:val="007C1760"/>
    <w:rsid w:val="007C1867"/>
    <w:rsid w:val="007C1A47"/>
    <w:rsid w:val="007C1A69"/>
    <w:rsid w:val="007C2416"/>
    <w:rsid w:val="007C25F3"/>
    <w:rsid w:val="007C2B0C"/>
    <w:rsid w:val="007C35D3"/>
    <w:rsid w:val="007C3968"/>
    <w:rsid w:val="007C3D29"/>
    <w:rsid w:val="007C409D"/>
    <w:rsid w:val="007C4190"/>
    <w:rsid w:val="007C41C3"/>
    <w:rsid w:val="007C4401"/>
    <w:rsid w:val="007C477B"/>
    <w:rsid w:val="007C4EC5"/>
    <w:rsid w:val="007C4EED"/>
    <w:rsid w:val="007C59A0"/>
    <w:rsid w:val="007C5AC6"/>
    <w:rsid w:val="007C5C59"/>
    <w:rsid w:val="007C5E6E"/>
    <w:rsid w:val="007C635B"/>
    <w:rsid w:val="007C6474"/>
    <w:rsid w:val="007C64D5"/>
    <w:rsid w:val="007C6C52"/>
    <w:rsid w:val="007C7130"/>
    <w:rsid w:val="007C728D"/>
    <w:rsid w:val="007C7737"/>
    <w:rsid w:val="007C783A"/>
    <w:rsid w:val="007C7944"/>
    <w:rsid w:val="007C79C7"/>
    <w:rsid w:val="007C7C55"/>
    <w:rsid w:val="007C7D30"/>
    <w:rsid w:val="007D05AF"/>
    <w:rsid w:val="007D0939"/>
    <w:rsid w:val="007D0D53"/>
    <w:rsid w:val="007D0EF1"/>
    <w:rsid w:val="007D1000"/>
    <w:rsid w:val="007D10DE"/>
    <w:rsid w:val="007D1A21"/>
    <w:rsid w:val="007D1B7E"/>
    <w:rsid w:val="007D1F3A"/>
    <w:rsid w:val="007D22BC"/>
    <w:rsid w:val="007D23E9"/>
    <w:rsid w:val="007D2761"/>
    <w:rsid w:val="007D28AA"/>
    <w:rsid w:val="007D2B9B"/>
    <w:rsid w:val="007D3167"/>
    <w:rsid w:val="007D36A0"/>
    <w:rsid w:val="007D3BEF"/>
    <w:rsid w:val="007D3D03"/>
    <w:rsid w:val="007D3EAB"/>
    <w:rsid w:val="007D4268"/>
    <w:rsid w:val="007D4312"/>
    <w:rsid w:val="007D43DC"/>
    <w:rsid w:val="007D46B4"/>
    <w:rsid w:val="007D4714"/>
    <w:rsid w:val="007D4B5E"/>
    <w:rsid w:val="007D4D31"/>
    <w:rsid w:val="007D4F6F"/>
    <w:rsid w:val="007D515C"/>
    <w:rsid w:val="007D52D9"/>
    <w:rsid w:val="007D5A1A"/>
    <w:rsid w:val="007D5F3C"/>
    <w:rsid w:val="007D61BF"/>
    <w:rsid w:val="007D643A"/>
    <w:rsid w:val="007D68CA"/>
    <w:rsid w:val="007D6B8E"/>
    <w:rsid w:val="007D6BE1"/>
    <w:rsid w:val="007D6D99"/>
    <w:rsid w:val="007D7182"/>
    <w:rsid w:val="007D737E"/>
    <w:rsid w:val="007D7584"/>
    <w:rsid w:val="007D7669"/>
    <w:rsid w:val="007D7BD9"/>
    <w:rsid w:val="007D7C2D"/>
    <w:rsid w:val="007D7CE5"/>
    <w:rsid w:val="007D7D11"/>
    <w:rsid w:val="007E03C0"/>
    <w:rsid w:val="007E0B64"/>
    <w:rsid w:val="007E0C08"/>
    <w:rsid w:val="007E0C39"/>
    <w:rsid w:val="007E11AF"/>
    <w:rsid w:val="007E1ECF"/>
    <w:rsid w:val="007E2034"/>
    <w:rsid w:val="007E2394"/>
    <w:rsid w:val="007E2836"/>
    <w:rsid w:val="007E2C25"/>
    <w:rsid w:val="007E3102"/>
    <w:rsid w:val="007E33D8"/>
    <w:rsid w:val="007E3A0C"/>
    <w:rsid w:val="007E3A93"/>
    <w:rsid w:val="007E3C3B"/>
    <w:rsid w:val="007E3DA3"/>
    <w:rsid w:val="007E4856"/>
    <w:rsid w:val="007E4C48"/>
    <w:rsid w:val="007E4C62"/>
    <w:rsid w:val="007E4C7A"/>
    <w:rsid w:val="007E50A1"/>
    <w:rsid w:val="007E5214"/>
    <w:rsid w:val="007E52F6"/>
    <w:rsid w:val="007E562B"/>
    <w:rsid w:val="007E568A"/>
    <w:rsid w:val="007E588C"/>
    <w:rsid w:val="007E5A6A"/>
    <w:rsid w:val="007E5AB1"/>
    <w:rsid w:val="007E5BB2"/>
    <w:rsid w:val="007E5BE6"/>
    <w:rsid w:val="007E5D2F"/>
    <w:rsid w:val="007E5D93"/>
    <w:rsid w:val="007E606C"/>
    <w:rsid w:val="007E60D1"/>
    <w:rsid w:val="007E63EA"/>
    <w:rsid w:val="007E6D0F"/>
    <w:rsid w:val="007E6D9C"/>
    <w:rsid w:val="007E6DF7"/>
    <w:rsid w:val="007E7000"/>
    <w:rsid w:val="007E70B1"/>
    <w:rsid w:val="007E71AE"/>
    <w:rsid w:val="007E73FA"/>
    <w:rsid w:val="007E78C8"/>
    <w:rsid w:val="007E7D93"/>
    <w:rsid w:val="007E7E26"/>
    <w:rsid w:val="007F0099"/>
    <w:rsid w:val="007F0D03"/>
    <w:rsid w:val="007F11DC"/>
    <w:rsid w:val="007F123C"/>
    <w:rsid w:val="007F1379"/>
    <w:rsid w:val="007F152E"/>
    <w:rsid w:val="007F15E2"/>
    <w:rsid w:val="007F173C"/>
    <w:rsid w:val="007F1A7D"/>
    <w:rsid w:val="007F1B11"/>
    <w:rsid w:val="007F1C38"/>
    <w:rsid w:val="007F1F99"/>
    <w:rsid w:val="007F20E4"/>
    <w:rsid w:val="007F22D8"/>
    <w:rsid w:val="007F240A"/>
    <w:rsid w:val="007F245C"/>
    <w:rsid w:val="007F27CD"/>
    <w:rsid w:val="007F2D6B"/>
    <w:rsid w:val="007F2F0B"/>
    <w:rsid w:val="007F2FF0"/>
    <w:rsid w:val="007F35AF"/>
    <w:rsid w:val="007F449A"/>
    <w:rsid w:val="007F44A3"/>
    <w:rsid w:val="007F4828"/>
    <w:rsid w:val="007F4EE8"/>
    <w:rsid w:val="007F4F51"/>
    <w:rsid w:val="007F511A"/>
    <w:rsid w:val="007F52C8"/>
    <w:rsid w:val="007F5669"/>
    <w:rsid w:val="007F615D"/>
    <w:rsid w:val="007F61E1"/>
    <w:rsid w:val="007F6B86"/>
    <w:rsid w:val="007F6E17"/>
    <w:rsid w:val="007F6E80"/>
    <w:rsid w:val="007F6FC9"/>
    <w:rsid w:val="007F7185"/>
    <w:rsid w:val="007F76F5"/>
    <w:rsid w:val="007F7A8C"/>
    <w:rsid w:val="007F7D5F"/>
    <w:rsid w:val="0080001F"/>
    <w:rsid w:val="0080039A"/>
    <w:rsid w:val="008005C8"/>
    <w:rsid w:val="00800676"/>
    <w:rsid w:val="00800682"/>
    <w:rsid w:val="008006BE"/>
    <w:rsid w:val="00800808"/>
    <w:rsid w:val="00800A9D"/>
    <w:rsid w:val="00800EA9"/>
    <w:rsid w:val="00801163"/>
    <w:rsid w:val="0080125F"/>
    <w:rsid w:val="008018E9"/>
    <w:rsid w:val="00801CBF"/>
    <w:rsid w:val="00801CC0"/>
    <w:rsid w:val="00801D78"/>
    <w:rsid w:val="00802011"/>
    <w:rsid w:val="0080210A"/>
    <w:rsid w:val="0080269D"/>
    <w:rsid w:val="00803097"/>
    <w:rsid w:val="0080362A"/>
    <w:rsid w:val="008036E9"/>
    <w:rsid w:val="0080378B"/>
    <w:rsid w:val="0080397A"/>
    <w:rsid w:val="00803DFC"/>
    <w:rsid w:val="00803EEF"/>
    <w:rsid w:val="00803FF5"/>
    <w:rsid w:val="008041B2"/>
    <w:rsid w:val="00804998"/>
    <w:rsid w:val="00804AC3"/>
    <w:rsid w:val="00804D47"/>
    <w:rsid w:val="00804DB8"/>
    <w:rsid w:val="008050A3"/>
    <w:rsid w:val="00805471"/>
    <w:rsid w:val="008054C1"/>
    <w:rsid w:val="00805748"/>
    <w:rsid w:val="008058A4"/>
    <w:rsid w:val="00805C3F"/>
    <w:rsid w:val="00805FAC"/>
    <w:rsid w:val="00806182"/>
    <w:rsid w:val="0080671D"/>
    <w:rsid w:val="0080677F"/>
    <w:rsid w:val="00806A2C"/>
    <w:rsid w:val="00806BED"/>
    <w:rsid w:val="00806F13"/>
    <w:rsid w:val="00807054"/>
    <w:rsid w:val="0080710D"/>
    <w:rsid w:val="00807119"/>
    <w:rsid w:val="0080728A"/>
    <w:rsid w:val="00807290"/>
    <w:rsid w:val="00807BFC"/>
    <w:rsid w:val="00807EA8"/>
    <w:rsid w:val="00810059"/>
    <w:rsid w:val="00810613"/>
    <w:rsid w:val="00810C85"/>
    <w:rsid w:val="00810CD0"/>
    <w:rsid w:val="00810D5A"/>
    <w:rsid w:val="00811354"/>
    <w:rsid w:val="00811618"/>
    <w:rsid w:val="0081175D"/>
    <w:rsid w:val="00811B9F"/>
    <w:rsid w:val="00811D96"/>
    <w:rsid w:val="0081246B"/>
    <w:rsid w:val="008124DD"/>
    <w:rsid w:val="0081257C"/>
    <w:rsid w:val="008126B3"/>
    <w:rsid w:val="00812E5B"/>
    <w:rsid w:val="0081368A"/>
    <w:rsid w:val="00813AF2"/>
    <w:rsid w:val="00813DBC"/>
    <w:rsid w:val="00813F14"/>
    <w:rsid w:val="00813F7A"/>
    <w:rsid w:val="00814069"/>
    <w:rsid w:val="0081458E"/>
    <w:rsid w:val="008145A1"/>
    <w:rsid w:val="00814FCB"/>
    <w:rsid w:val="00815052"/>
    <w:rsid w:val="008150CF"/>
    <w:rsid w:val="008150D6"/>
    <w:rsid w:val="00815226"/>
    <w:rsid w:val="008152B1"/>
    <w:rsid w:val="008154F6"/>
    <w:rsid w:val="008156A6"/>
    <w:rsid w:val="00815735"/>
    <w:rsid w:val="008158C9"/>
    <w:rsid w:val="008159A5"/>
    <w:rsid w:val="00815AB5"/>
    <w:rsid w:val="00815B5B"/>
    <w:rsid w:val="00816289"/>
    <w:rsid w:val="00816312"/>
    <w:rsid w:val="0081645F"/>
    <w:rsid w:val="0081649B"/>
    <w:rsid w:val="00816A50"/>
    <w:rsid w:val="00816B9E"/>
    <w:rsid w:val="00816F11"/>
    <w:rsid w:val="0081705B"/>
    <w:rsid w:val="00817146"/>
    <w:rsid w:val="00817177"/>
    <w:rsid w:val="0081720D"/>
    <w:rsid w:val="008172A8"/>
    <w:rsid w:val="0081752D"/>
    <w:rsid w:val="00817A73"/>
    <w:rsid w:val="00817CC2"/>
    <w:rsid w:val="00817E81"/>
    <w:rsid w:val="00820137"/>
    <w:rsid w:val="0082018F"/>
    <w:rsid w:val="0082025B"/>
    <w:rsid w:val="008206B7"/>
    <w:rsid w:val="008206E1"/>
    <w:rsid w:val="00820947"/>
    <w:rsid w:val="0082097C"/>
    <w:rsid w:val="008209A2"/>
    <w:rsid w:val="008209F9"/>
    <w:rsid w:val="00820C7E"/>
    <w:rsid w:val="00820F3D"/>
    <w:rsid w:val="00821CF7"/>
    <w:rsid w:val="00821DBC"/>
    <w:rsid w:val="00821F18"/>
    <w:rsid w:val="008220DA"/>
    <w:rsid w:val="00822142"/>
    <w:rsid w:val="008221B7"/>
    <w:rsid w:val="00822778"/>
    <w:rsid w:val="0082285C"/>
    <w:rsid w:val="00822995"/>
    <w:rsid w:val="00822BC1"/>
    <w:rsid w:val="00822FC7"/>
    <w:rsid w:val="00823519"/>
    <w:rsid w:val="0082360A"/>
    <w:rsid w:val="00823611"/>
    <w:rsid w:val="0082368D"/>
    <w:rsid w:val="008236B5"/>
    <w:rsid w:val="008239CF"/>
    <w:rsid w:val="00823CD5"/>
    <w:rsid w:val="00824013"/>
    <w:rsid w:val="0082416B"/>
    <w:rsid w:val="0082425F"/>
    <w:rsid w:val="0082494B"/>
    <w:rsid w:val="00824D05"/>
    <w:rsid w:val="00824E9E"/>
    <w:rsid w:val="00825241"/>
    <w:rsid w:val="00825C8A"/>
    <w:rsid w:val="00825CB7"/>
    <w:rsid w:val="00825E13"/>
    <w:rsid w:val="00825E7C"/>
    <w:rsid w:val="00825F01"/>
    <w:rsid w:val="00826480"/>
    <w:rsid w:val="00826B24"/>
    <w:rsid w:val="00826DFD"/>
    <w:rsid w:val="00827124"/>
    <w:rsid w:val="00827362"/>
    <w:rsid w:val="008273C7"/>
    <w:rsid w:val="008278BB"/>
    <w:rsid w:val="00827A19"/>
    <w:rsid w:val="00827CC3"/>
    <w:rsid w:val="00830013"/>
    <w:rsid w:val="008300AF"/>
    <w:rsid w:val="00830657"/>
    <w:rsid w:val="00831059"/>
    <w:rsid w:val="008311DE"/>
    <w:rsid w:val="008319F8"/>
    <w:rsid w:val="00831BA8"/>
    <w:rsid w:val="00831C9F"/>
    <w:rsid w:val="00831CF5"/>
    <w:rsid w:val="00831ED8"/>
    <w:rsid w:val="0083203B"/>
    <w:rsid w:val="008323C8"/>
    <w:rsid w:val="0083254B"/>
    <w:rsid w:val="00832663"/>
    <w:rsid w:val="008327F5"/>
    <w:rsid w:val="00832951"/>
    <w:rsid w:val="00832D59"/>
    <w:rsid w:val="00833148"/>
    <w:rsid w:val="00833FF0"/>
    <w:rsid w:val="0083458E"/>
    <w:rsid w:val="00834EE9"/>
    <w:rsid w:val="008352B1"/>
    <w:rsid w:val="00835336"/>
    <w:rsid w:val="008353E6"/>
    <w:rsid w:val="00835997"/>
    <w:rsid w:val="00835A69"/>
    <w:rsid w:val="00835A7F"/>
    <w:rsid w:val="00835F0C"/>
    <w:rsid w:val="0083608C"/>
    <w:rsid w:val="008360F2"/>
    <w:rsid w:val="0083643C"/>
    <w:rsid w:val="008368DE"/>
    <w:rsid w:val="00836AAB"/>
    <w:rsid w:val="00836C30"/>
    <w:rsid w:val="008370AA"/>
    <w:rsid w:val="008371B1"/>
    <w:rsid w:val="00837394"/>
    <w:rsid w:val="008373AA"/>
    <w:rsid w:val="00837560"/>
    <w:rsid w:val="00837719"/>
    <w:rsid w:val="00837807"/>
    <w:rsid w:val="008379E3"/>
    <w:rsid w:val="00840085"/>
    <w:rsid w:val="008400F2"/>
    <w:rsid w:val="00840696"/>
    <w:rsid w:val="008406AD"/>
    <w:rsid w:val="008409C7"/>
    <w:rsid w:val="00840D9B"/>
    <w:rsid w:val="00840F11"/>
    <w:rsid w:val="00841031"/>
    <w:rsid w:val="00841358"/>
    <w:rsid w:val="00841781"/>
    <w:rsid w:val="00841A45"/>
    <w:rsid w:val="00841F0F"/>
    <w:rsid w:val="00841FD2"/>
    <w:rsid w:val="00842158"/>
    <w:rsid w:val="00842206"/>
    <w:rsid w:val="00842537"/>
    <w:rsid w:val="00842601"/>
    <w:rsid w:val="0084262A"/>
    <w:rsid w:val="008426CA"/>
    <w:rsid w:val="00842A24"/>
    <w:rsid w:val="00842F95"/>
    <w:rsid w:val="00842FE4"/>
    <w:rsid w:val="00843461"/>
    <w:rsid w:val="0084389C"/>
    <w:rsid w:val="00843C5A"/>
    <w:rsid w:val="00843EE9"/>
    <w:rsid w:val="008441BA"/>
    <w:rsid w:val="00844A13"/>
    <w:rsid w:val="00844D16"/>
    <w:rsid w:val="008450A3"/>
    <w:rsid w:val="008450E1"/>
    <w:rsid w:val="00845232"/>
    <w:rsid w:val="00845356"/>
    <w:rsid w:val="008453A9"/>
    <w:rsid w:val="008457A3"/>
    <w:rsid w:val="00845864"/>
    <w:rsid w:val="00845A4C"/>
    <w:rsid w:val="00845B30"/>
    <w:rsid w:val="00845BC9"/>
    <w:rsid w:val="00845DC8"/>
    <w:rsid w:val="00845ED2"/>
    <w:rsid w:val="00846181"/>
    <w:rsid w:val="00846265"/>
    <w:rsid w:val="00846594"/>
    <w:rsid w:val="008468E3"/>
    <w:rsid w:val="00846934"/>
    <w:rsid w:val="00847104"/>
    <w:rsid w:val="0084763E"/>
    <w:rsid w:val="008476E2"/>
    <w:rsid w:val="008476FC"/>
    <w:rsid w:val="008478C0"/>
    <w:rsid w:val="00847A61"/>
    <w:rsid w:val="00847D3F"/>
    <w:rsid w:val="00847D7C"/>
    <w:rsid w:val="00847DE1"/>
    <w:rsid w:val="0085008E"/>
    <w:rsid w:val="0085009A"/>
    <w:rsid w:val="008503DB"/>
    <w:rsid w:val="0085047E"/>
    <w:rsid w:val="0085049F"/>
    <w:rsid w:val="0085050A"/>
    <w:rsid w:val="00850594"/>
    <w:rsid w:val="00850628"/>
    <w:rsid w:val="008509FB"/>
    <w:rsid w:val="00850A4F"/>
    <w:rsid w:val="00850D16"/>
    <w:rsid w:val="00850FC8"/>
    <w:rsid w:val="00851730"/>
    <w:rsid w:val="008517CC"/>
    <w:rsid w:val="008518E5"/>
    <w:rsid w:val="00851B89"/>
    <w:rsid w:val="00851B9D"/>
    <w:rsid w:val="00851C50"/>
    <w:rsid w:val="00851CFB"/>
    <w:rsid w:val="00851F09"/>
    <w:rsid w:val="0085211D"/>
    <w:rsid w:val="0085229C"/>
    <w:rsid w:val="00852319"/>
    <w:rsid w:val="008523EA"/>
    <w:rsid w:val="00852723"/>
    <w:rsid w:val="008528DB"/>
    <w:rsid w:val="008529CB"/>
    <w:rsid w:val="00852C0A"/>
    <w:rsid w:val="00853306"/>
    <w:rsid w:val="008533C1"/>
    <w:rsid w:val="008535D2"/>
    <w:rsid w:val="008536D2"/>
    <w:rsid w:val="00853F23"/>
    <w:rsid w:val="008544E6"/>
    <w:rsid w:val="008544F7"/>
    <w:rsid w:val="008549BB"/>
    <w:rsid w:val="00854C66"/>
    <w:rsid w:val="0085554E"/>
    <w:rsid w:val="00855736"/>
    <w:rsid w:val="008557D5"/>
    <w:rsid w:val="00855A9A"/>
    <w:rsid w:val="00855AA2"/>
    <w:rsid w:val="00855ED3"/>
    <w:rsid w:val="0085607A"/>
    <w:rsid w:val="008561D1"/>
    <w:rsid w:val="00856280"/>
    <w:rsid w:val="00856A0E"/>
    <w:rsid w:val="00856B0A"/>
    <w:rsid w:val="00856D17"/>
    <w:rsid w:val="00856F6A"/>
    <w:rsid w:val="0085702B"/>
    <w:rsid w:val="0085751D"/>
    <w:rsid w:val="0085751F"/>
    <w:rsid w:val="0085757B"/>
    <w:rsid w:val="008575E6"/>
    <w:rsid w:val="0085770B"/>
    <w:rsid w:val="0085792C"/>
    <w:rsid w:val="00857DD4"/>
    <w:rsid w:val="008600A3"/>
    <w:rsid w:val="008601F3"/>
    <w:rsid w:val="00860741"/>
    <w:rsid w:val="0086173B"/>
    <w:rsid w:val="008618AA"/>
    <w:rsid w:val="00861B14"/>
    <w:rsid w:val="00862042"/>
    <w:rsid w:val="008621C3"/>
    <w:rsid w:val="008624DB"/>
    <w:rsid w:val="008625BA"/>
    <w:rsid w:val="00862657"/>
    <w:rsid w:val="00862EBE"/>
    <w:rsid w:val="00863167"/>
    <w:rsid w:val="008631CE"/>
    <w:rsid w:val="0086383A"/>
    <w:rsid w:val="00863C6A"/>
    <w:rsid w:val="00863F20"/>
    <w:rsid w:val="00863F40"/>
    <w:rsid w:val="0086439B"/>
    <w:rsid w:val="0086443E"/>
    <w:rsid w:val="008645E8"/>
    <w:rsid w:val="008648B1"/>
    <w:rsid w:val="008648E3"/>
    <w:rsid w:val="008648E9"/>
    <w:rsid w:val="00864D0E"/>
    <w:rsid w:val="00864DE4"/>
    <w:rsid w:val="00864E75"/>
    <w:rsid w:val="0086522A"/>
    <w:rsid w:val="00865758"/>
    <w:rsid w:val="00865B49"/>
    <w:rsid w:val="00865B4A"/>
    <w:rsid w:val="00865BD1"/>
    <w:rsid w:val="00865D3B"/>
    <w:rsid w:val="00865E72"/>
    <w:rsid w:val="008666F9"/>
    <w:rsid w:val="0086683F"/>
    <w:rsid w:val="00866BAE"/>
    <w:rsid w:val="00866BCD"/>
    <w:rsid w:val="00866C04"/>
    <w:rsid w:val="00866D7C"/>
    <w:rsid w:val="008671C0"/>
    <w:rsid w:val="008679BF"/>
    <w:rsid w:val="00867CBE"/>
    <w:rsid w:val="00867D3B"/>
    <w:rsid w:val="00867EF5"/>
    <w:rsid w:val="00870081"/>
    <w:rsid w:val="00870193"/>
    <w:rsid w:val="00870521"/>
    <w:rsid w:val="00870B56"/>
    <w:rsid w:val="00870C2E"/>
    <w:rsid w:val="00870C3E"/>
    <w:rsid w:val="00870EAD"/>
    <w:rsid w:val="00871896"/>
    <w:rsid w:val="008719D4"/>
    <w:rsid w:val="00871F5D"/>
    <w:rsid w:val="00872181"/>
    <w:rsid w:val="008721D3"/>
    <w:rsid w:val="00872260"/>
    <w:rsid w:val="00872733"/>
    <w:rsid w:val="00872FBE"/>
    <w:rsid w:val="00872FD2"/>
    <w:rsid w:val="0087326A"/>
    <w:rsid w:val="0087346C"/>
    <w:rsid w:val="00873946"/>
    <w:rsid w:val="00873A6F"/>
    <w:rsid w:val="00873C61"/>
    <w:rsid w:val="00873D35"/>
    <w:rsid w:val="008745A3"/>
    <w:rsid w:val="008746EC"/>
    <w:rsid w:val="00874A07"/>
    <w:rsid w:val="00874B07"/>
    <w:rsid w:val="00875101"/>
    <w:rsid w:val="008756EC"/>
    <w:rsid w:val="00875803"/>
    <w:rsid w:val="00875BC0"/>
    <w:rsid w:val="00875CD0"/>
    <w:rsid w:val="00876341"/>
    <w:rsid w:val="00876653"/>
    <w:rsid w:val="0087678D"/>
    <w:rsid w:val="00876869"/>
    <w:rsid w:val="00876B8D"/>
    <w:rsid w:val="00877004"/>
    <w:rsid w:val="0087720E"/>
    <w:rsid w:val="00877453"/>
    <w:rsid w:val="0087792D"/>
    <w:rsid w:val="00880632"/>
    <w:rsid w:val="00880A82"/>
    <w:rsid w:val="00880D93"/>
    <w:rsid w:val="0088141F"/>
    <w:rsid w:val="008815CC"/>
    <w:rsid w:val="008815F4"/>
    <w:rsid w:val="00881A7E"/>
    <w:rsid w:val="00881DF8"/>
    <w:rsid w:val="00881E21"/>
    <w:rsid w:val="00882282"/>
    <w:rsid w:val="008822E3"/>
    <w:rsid w:val="00882A7B"/>
    <w:rsid w:val="00882A92"/>
    <w:rsid w:val="00882AB3"/>
    <w:rsid w:val="00882FFA"/>
    <w:rsid w:val="008832A0"/>
    <w:rsid w:val="00883318"/>
    <w:rsid w:val="00883736"/>
    <w:rsid w:val="008839DE"/>
    <w:rsid w:val="00883D05"/>
    <w:rsid w:val="00883F24"/>
    <w:rsid w:val="0088417F"/>
    <w:rsid w:val="00884574"/>
    <w:rsid w:val="00884888"/>
    <w:rsid w:val="00884A10"/>
    <w:rsid w:val="00884B01"/>
    <w:rsid w:val="00884E20"/>
    <w:rsid w:val="00884F1E"/>
    <w:rsid w:val="00885012"/>
    <w:rsid w:val="0088526C"/>
    <w:rsid w:val="00885412"/>
    <w:rsid w:val="0088543F"/>
    <w:rsid w:val="0088592A"/>
    <w:rsid w:val="00885B77"/>
    <w:rsid w:val="00885EF5"/>
    <w:rsid w:val="00886104"/>
    <w:rsid w:val="0088616E"/>
    <w:rsid w:val="00886300"/>
    <w:rsid w:val="00886643"/>
    <w:rsid w:val="00886C29"/>
    <w:rsid w:val="00886E27"/>
    <w:rsid w:val="00886EB1"/>
    <w:rsid w:val="0088734A"/>
    <w:rsid w:val="0088795A"/>
    <w:rsid w:val="00887C8A"/>
    <w:rsid w:val="00887F0C"/>
    <w:rsid w:val="00890EA7"/>
    <w:rsid w:val="00891078"/>
    <w:rsid w:val="0089133A"/>
    <w:rsid w:val="008915A5"/>
    <w:rsid w:val="00891789"/>
    <w:rsid w:val="008917B4"/>
    <w:rsid w:val="00892526"/>
    <w:rsid w:val="008929A5"/>
    <w:rsid w:val="008929C9"/>
    <w:rsid w:val="00892D0E"/>
    <w:rsid w:val="00892DAA"/>
    <w:rsid w:val="00892E65"/>
    <w:rsid w:val="00893065"/>
    <w:rsid w:val="008935F1"/>
    <w:rsid w:val="008938FC"/>
    <w:rsid w:val="00893A4F"/>
    <w:rsid w:val="0089422D"/>
    <w:rsid w:val="00894283"/>
    <w:rsid w:val="008942CE"/>
    <w:rsid w:val="008946D2"/>
    <w:rsid w:val="00894822"/>
    <w:rsid w:val="008948AF"/>
    <w:rsid w:val="00894F9A"/>
    <w:rsid w:val="0089507A"/>
    <w:rsid w:val="008953C3"/>
    <w:rsid w:val="00895788"/>
    <w:rsid w:val="00895871"/>
    <w:rsid w:val="00895DEB"/>
    <w:rsid w:val="00896005"/>
    <w:rsid w:val="008968E3"/>
    <w:rsid w:val="00896B16"/>
    <w:rsid w:val="00896B81"/>
    <w:rsid w:val="00896BD0"/>
    <w:rsid w:val="00896D7B"/>
    <w:rsid w:val="00896D99"/>
    <w:rsid w:val="00896DAB"/>
    <w:rsid w:val="00896DBF"/>
    <w:rsid w:val="00896E6E"/>
    <w:rsid w:val="0089750E"/>
    <w:rsid w:val="008976A7"/>
    <w:rsid w:val="00897DDA"/>
    <w:rsid w:val="00897F8E"/>
    <w:rsid w:val="008A08BB"/>
    <w:rsid w:val="008A0CDF"/>
    <w:rsid w:val="008A0E56"/>
    <w:rsid w:val="008A0FA2"/>
    <w:rsid w:val="008A120F"/>
    <w:rsid w:val="008A1296"/>
    <w:rsid w:val="008A12FA"/>
    <w:rsid w:val="008A168B"/>
    <w:rsid w:val="008A16B9"/>
    <w:rsid w:val="008A182D"/>
    <w:rsid w:val="008A1898"/>
    <w:rsid w:val="008A18E3"/>
    <w:rsid w:val="008A1C56"/>
    <w:rsid w:val="008A1FE2"/>
    <w:rsid w:val="008A2055"/>
    <w:rsid w:val="008A2937"/>
    <w:rsid w:val="008A2AF5"/>
    <w:rsid w:val="008A2BA6"/>
    <w:rsid w:val="008A2C20"/>
    <w:rsid w:val="008A2D5F"/>
    <w:rsid w:val="008A3297"/>
    <w:rsid w:val="008A3662"/>
    <w:rsid w:val="008A383B"/>
    <w:rsid w:val="008A3E8F"/>
    <w:rsid w:val="008A42CC"/>
    <w:rsid w:val="008A43CD"/>
    <w:rsid w:val="008A456B"/>
    <w:rsid w:val="008A4881"/>
    <w:rsid w:val="008A4A62"/>
    <w:rsid w:val="008A4BAC"/>
    <w:rsid w:val="008A4C4F"/>
    <w:rsid w:val="008A4E95"/>
    <w:rsid w:val="008A5693"/>
    <w:rsid w:val="008A5ED9"/>
    <w:rsid w:val="008A612C"/>
    <w:rsid w:val="008A6B12"/>
    <w:rsid w:val="008A6B44"/>
    <w:rsid w:val="008A6DEB"/>
    <w:rsid w:val="008A70F4"/>
    <w:rsid w:val="008A72B6"/>
    <w:rsid w:val="008A7332"/>
    <w:rsid w:val="008A7475"/>
    <w:rsid w:val="008A76E1"/>
    <w:rsid w:val="008A78D3"/>
    <w:rsid w:val="008A7C30"/>
    <w:rsid w:val="008A7FD2"/>
    <w:rsid w:val="008B0588"/>
    <w:rsid w:val="008B10A9"/>
    <w:rsid w:val="008B11D6"/>
    <w:rsid w:val="008B151A"/>
    <w:rsid w:val="008B1EDC"/>
    <w:rsid w:val="008B1FE5"/>
    <w:rsid w:val="008B20E8"/>
    <w:rsid w:val="008B23B6"/>
    <w:rsid w:val="008B26FD"/>
    <w:rsid w:val="008B2D39"/>
    <w:rsid w:val="008B2E84"/>
    <w:rsid w:val="008B2E86"/>
    <w:rsid w:val="008B3089"/>
    <w:rsid w:val="008B32EB"/>
    <w:rsid w:val="008B37E4"/>
    <w:rsid w:val="008B39C4"/>
    <w:rsid w:val="008B3BA3"/>
    <w:rsid w:val="008B3BBC"/>
    <w:rsid w:val="008B4077"/>
    <w:rsid w:val="008B412B"/>
    <w:rsid w:val="008B427E"/>
    <w:rsid w:val="008B4747"/>
    <w:rsid w:val="008B47D1"/>
    <w:rsid w:val="008B4B71"/>
    <w:rsid w:val="008B52D8"/>
    <w:rsid w:val="008B53CB"/>
    <w:rsid w:val="008B5623"/>
    <w:rsid w:val="008B61BB"/>
    <w:rsid w:val="008B6643"/>
    <w:rsid w:val="008B6860"/>
    <w:rsid w:val="008B6A12"/>
    <w:rsid w:val="008B6ADB"/>
    <w:rsid w:val="008B6C67"/>
    <w:rsid w:val="008B6C6F"/>
    <w:rsid w:val="008B6DBF"/>
    <w:rsid w:val="008B799C"/>
    <w:rsid w:val="008B7AE7"/>
    <w:rsid w:val="008C0281"/>
    <w:rsid w:val="008C05B2"/>
    <w:rsid w:val="008C0831"/>
    <w:rsid w:val="008C08CB"/>
    <w:rsid w:val="008C0966"/>
    <w:rsid w:val="008C09D1"/>
    <w:rsid w:val="008C0E4F"/>
    <w:rsid w:val="008C0EAA"/>
    <w:rsid w:val="008C0ECF"/>
    <w:rsid w:val="008C0EE5"/>
    <w:rsid w:val="008C16DC"/>
    <w:rsid w:val="008C17B4"/>
    <w:rsid w:val="008C1A99"/>
    <w:rsid w:val="008C1D31"/>
    <w:rsid w:val="008C20F2"/>
    <w:rsid w:val="008C22F4"/>
    <w:rsid w:val="008C2413"/>
    <w:rsid w:val="008C2943"/>
    <w:rsid w:val="008C2C8F"/>
    <w:rsid w:val="008C2D0D"/>
    <w:rsid w:val="008C3255"/>
    <w:rsid w:val="008C3C8E"/>
    <w:rsid w:val="008C43F8"/>
    <w:rsid w:val="008C4699"/>
    <w:rsid w:val="008C46D4"/>
    <w:rsid w:val="008C4990"/>
    <w:rsid w:val="008C53A4"/>
    <w:rsid w:val="008C54A6"/>
    <w:rsid w:val="008C55C2"/>
    <w:rsid w:val="008C5822"/>
    <w:rsid w:val="008C5A22"/>
    <w:rsid w:val="008C5A47"/>
    <w:rsid w:val="008C5A91"/>
    <w:rsid w:val="008C5E24"/>
    <w:rsid w:val="008C5F04"/>
    <w:rsid w:val="008C653D"/>
    <w:rsid w:val="008C69D3"/>
    <w:rsid w:val="008C6B23"/>
    <w:rsid w:val="008C71C9"/>
    <w:rsid w:val="008C72C2"/>
    <w:rsid w:val="008C73A3"/>
    <w:rsid w:val="008C77AD"/>
    <w:rsid w:val="008C7BF8"/>
    <w:rsid w:val="008C7CE2"/>
    <w:rsid w:val="008C7CFC"/>
    <w:rsid w:val="008C7DB5"/>
    <w:rsid w:val="008D01C5"/>
    <w:rsid w:val="008D0315"/>
    <w:rsid w:val="008D04BC"/>
    <w:rsid w:val="008D0606"/>
    <w:rsid w:val="008D06D0"/>
    <w:rsid w:val="008D0D1F"/>
    <w:rsid w:val="008D0DB0"/>
    <w:rsid w:val="008D0FD2"/>
    <w:rsid w:val="008D126E"/>
    <w:rsid w:val="008D12AC"/>
    <w:rsid w:val="008D153E"/>
    <w:rsid w:val="008D1F70"/>
    <w:rsid w:val="008D2333"/>
    <w:rsid w:val="008D24C0"/>
    <w:rsid w:val="008D251B"/>
    <w:rsid w:val="008D2894"/>
    <w:rsid w:val="008D2B15"/>
    <w:rsid w:val="008D2CEB"/>
    <w:rsid w:val="008D3325"/>
    <w:rsid w:val="008D342E"/>
    <w:rsid w:val="008D3453"/>
    <w:rsid w:val="008D3E83"/>
    <w:rsid w:val="008D3E97"/>
    <w:rsid w:val="008D4163"/>
    <w:rsid w:val="008D41FD"/>
    <w:rsid w:val="008D42FD"/>
    <w:rsid w:val="008D4596"/>
    <w:rsid w:val="008D4A15"/>
    <w:rsid w:val="008D4D25"/>
    <w:rsid w:val="008D4FAD"/>
    <w:rsid w:val="008D5080"/>
    <w:rsid w:val="008D50F8"/>
    <w:rsid w:val="008D55DA"/>
    <w:rsid w:val="008D598D"/>
    <w:rsid w:val="008D59E3"/>
    <w:rsid w:val="008D5A67"/>
    <w:rsid w:val="008D5AED"/>
    <w:rsid w:val="008D5CEA"/>
    <w:rsid w:val="008D5E4E"/>
    <w:rsid w:val="008D5FF7"/>
    <w:rsid w:val="008D63EF"/>
    <w:rsid w:val="008D66F9"/>
    <w:rsid w:val="008D711F"/>
    <w:rsid w:val="008D7E32"/>
    <w:rsid w:val="008E059A"/>
    <w:rsid w:val="008E0745"/>
    <w:rsid w:val="008E0C96"/>
    <w:rsid w:val="008E0E02"/>
    <w:rsid w:val="008E0E08"/>
    <w:rsid w:val="008E0F9C"/>
    <w:rsid w:val="008E132A"/>
    <w:rsid w:val="008E15F3"/>
    <w:rsid w:val="008E1F7A"/>
    <w:rsid w:val="008E2310"/>
    <w:rsid w:val="008E2A34"/>
    <w:rsid w:val="008E30FA"/>
    <w:rsid w:val="008E3295"/>
    <w:rsid w:val="008E379F"/>
    <w:rsid w:val="008E37F5"/>
    <w:rsid w:val="008E3ABC"/>
    <w:rsid w:val="008E3C3B"/>
    <w:rsid w:val="008E3F9B"/>
    <w:rsid w:val="008E4389"/>
    <w:rsid w:val="008E451B"/>
    <w:rsid w:val="008E4590"/>
    <w:rsid w:val="008E478B"/>
    <w:rsid w:val="008E47AE"/>
    <w:rsid w:val="008E49EC"/>
    <w:rsid w:val="008E4A13"/>
    <w:rsid w:val="008E4C21"/>
    <w:rsid w:val="008E5017"/>
    <w:rsid w:val="008E510F"/>
    <w:rsid w:val="008E518E"/>
    <w:rsid w:val="008E5443"/>
    <w:rsid w:val="008E5880"/>
    <w:rsid w:val="008E5BAC"/>
    <w:rsid w:val="008E5DEA"/>
    <w:rsid w:val="008E5F65"/>
    <w:rsid w:val="008E658F"/>
    <w:rsid w:val="008E6B98"/>
    <w:rsid w:val="008E6C6B"/>
    <w:rsid w:val="008E6CDB"/>
    <w:rsid w:val="008E7144"/>
    <w:rsid w:val="008E7311"/>
    <w:rsid w:val="008E758D"/>
    <w:rsid w:val="008E7816"/>
    <w:rsid w:val="008E7835"/>
    <w:rsid w:val="008E784F"/>
    <w:rsid w:val="008E7B8E"/>
    <w:rsid w:val="008E7DEE"/>
    <w:rsid w:val="008E7ED3"/>
    <w:rsid w:val="008F050A"/>
    <w:rsid w:val="008F0932"/>
    <w:rsid w:val="008F0B73"/>
    <w:rsid w:val="008F0E45"/>
    <w:rsid w:val="008F1393"/>
    <w:rsid w:val="008F1C0F"/>
    <w:rsid w:val="008F1F09"/>
    <w:rsid w:val="008F21A7"/>
    <w:rsid w:val="008F2704"/>
    <w:rsid w:val="008F27EA"/>
    <w:rsid w:val="008F27F5"/>
    <w:rsid w:val="008F2F6D"/>
    <w:rsid w:val="008F2FB2"/>
    <w:rsid w:val="008F31BA"/>
    <w:rsid w:val="008F3240"/>
    <w:rsid w:val="008F3769"/>
    <w:rsid w:val="008F4062"/>
    <w:rsid w:val="008F440E"/>
    <w:rsid w:val="008F4486"/>
    <w:rsid w:val="008F49E3"/>
    <w:rsid w:val="008F4C8E"/>
    <w:rsid w:val="008F5216"/>
    <w:rsid w:val="008F56AF"/>
    <w:rsid w:val="008F58A1"/>
    <w:rsid w:val="008F61D4"/>
    <w:rsid w:val="008F6504"/>
    <w:rsid w:val="008F672E"/>
    <w:rsid w:val="008F70AD"/>
    <w:rsid w:val="008F71F5"/>
    <w:rsid w:val="008F725D"/>
    <w:rsid w:val="008F7ED2"/>
    <w:rsid w:val="00900A56"/>
    <w:rsid w:val="009010E1"/>
    <w:rsid w:val="00901B10"/>
    <w:rsid w:val="00901E42"/>
    <w:rsid w:val="00901E4F"/>
    <w:rsid w:val="00901EAA"/>
    <w:rsid w:val="00901F63"/>
    <w:rsid w:val="00902189"/>
    <w:rsid w:val="00902271"/>
    <w:rsid w:val="00902405"/>
    <w:rsid w:val="0090261F"/>
    <w:rsid w:val="00902646"/>
    <w:rsid w:val="00902BAC"/>
    <w:rsid w:val="00902FA9"/>
    <w:rsid w:val="0090310C"/>
    <w:rsid w:val="00903451"/>
    <w:rsid w:val="009034C1"/>
    <w:rsid w:val="009036D0"/>
    <w:rsid w:val="00903E02"/>
    <w:rsid w:val="00904097"/>
    <w:rsid w:val="00904379"/>
    <w:rsid w:val="009049BC"/>
    <w:rsid w:val="009049E2"/>
    <w:rsid w:val="00905255"/>
    <w:rsid w:val="009053F7"/>
    <w:rsid w:val="00905422"/>
    <w:rsid w:val="009054A4"/>
    <w:rsid w:val="00905530"/>
    <w:rsid w:val="00905639"/>
    <w:rsid w:val="00905774"/>
    <w:rsid w:val="00905B49"/>
    <w:rsid w:val="00905D72"/>
    <w:rsid w:val="00905DF5"/>
    <w:rsid w:val="00906743"/>
    <w:rsid w:val="00906DC5"/>
    <w:rsid w:val="0090774A"/>
    <w:rsid w:val="00907BFE"/>
    <w:rsid w:val="009100AC"/>
    <w:rsid w:val="0091010F"/>
    <w:rsid w:val="00910503"/>
    <w:rsid w:val="0091063B"/>
    <w:rsid w:val="009113D4"/>
    <w:rsid w:val="0091160B"/>
    <w:rsid w:val="009117DB"/>
    <w:rsid w:val="009118AA"/>
    <w:rsid w:val="00911A22"/>
    <w:rsid w:val="00911B3D"/>
    <w:rsid w:val="00911F2F"/>
    <w:rsid w:val="00911F88"/>
    <w:rsid w:val="00912322"/>
    <w:rsid w:val="0091235D"/>
    <w:rsid w:val="009124A6"/>
    <w:rsid w:val="009126F5"/>
    <w:rsid w:val="00912AC5"/>
    <w:rsid w:val="00912BA0"/>
    <w:rsid w:val="00912D59"/>
    <w:rsid w:val="00913006"/>
    <w:rsid w:val="00913606"/>
    <w:rsid w:val="00913692"/>
    <w:rsid w:val="009137F4"/>
    <w:rsid w:val="009138F2"/>
    <w:rsid w:val="00913B6E"/>
    <w:rsid w:val="00913BB7"/>
    <w:rsid w:val="00914133"/>
    <w:rsid w:val="00914306"/>
    <w:rsid w:val="009152A2"/>
    <w:rsid w:val="0091582D"/>
    <w:rsid w:val="00915A8C"/>
    <w:rsid w:val="00915C93"/>
    <w:rsid w:val="00915D57"/>
    <w:rsid w:val="00916058"/>
    <w:rsid w:val="00916335"/>
    <w:rsid w:val="009164C7"/>
    <w:rsid w:val="0091655D"/>
    <w:rsid w:val="009168D5"/>
    <w:rsid w:val="00916C91"/>
    <w:rsid w:val="00916E56"/>
    <w:rsid w:val="009172AC"/>
    <w:rsid w:val="0091735C"/>
    <w:rsid w:val="00917831"/>
    <w:rsid w:val="00917BE2"/>
    <w:rsid w:val="00917D8F"/>
    <w:rsid w:val="009205DC"/>
    <w:rsid w:val="00920838"/>
    <w:rsid w:val="00920839"/>
    <w:rsid w:val="009209C4"/>
    <w:rsid w:val="00920C34"/>
    <w:rsid w:val="0092186D"/>
    <w:rsid w:val="009218FC"/>
    <w:rsid w:val="0092196D"/>
    <w:rsid w:val="00921A96"/>
    <w:rsid w:val="00921AD6"/>
    <w:rsid w:val="00921C29"/>
    <w:rsid w:val="0092294E"/>
    <w:rsid w:val="00922F1A"/>
    <w:rsid w:val="00922FED"/>
    <w:rsid w:val="0092318D"/>
    <w:rsid w:val="009232DC"/>
    <w:rsid w:val="00923DCF"/>
    <w:rsid w:val="00923ED4"/>
    <w:rsid w:val="009243F0"/>
    <w:rsid w:val="0092489A"/>
    <w:rsid w:val="00924B60"/>
    <w:rsid w:val="00925305"/>
    <w:rsid w:val="009253CA"/>
    <w:rsid w:val="009253CD"/>
    <w:rsid w:val="00925527"/>
    <w:rsid w:val="009255EE"/>
    <w:rsid w:val="009256A9"/>
    <w:rsid w:val="009257E3"/>
    <w:rsid w:val="00926254"/>
    <w:rsid w:val="00926290"/>
    <w:rsid w:val="0092663A"/>
    <w:rsid w:val="00926AC3"/>
    <w:rsid w:val="009270C5"/>
    <w:rsid w:val="009273C8"/>
    <w:rsid w:val="009274B9"/>
    <w:rsid w:val="00927660"/>
    <w:rsid w:val="009278AE"/>
    <w:rsid w:val="00927970"/>
    <w:rsid w:val="00927EB8"/>
    <w:rsid w:val="00930258"/>
    <w:rsid w:val="009307D5"/>
    <w:rsid w:val="00930A39"/>
    <w:rsid w:val="00930B51"/>
    <w:rsid w:val="00930C40"/>
    <w:rsid w:val="00930CEC"/>
    <w:rsid w:val="00930D9E"/>
    <w:rsid w:val="00930DD2"/>
    <w:rsid w:val="0093134C"/>
    <w:rsid w:val="009314D1"/>
    <w:rsid w:val="009318C6"/>
    <w:rsid w:val="009318EE"/>
    <w:rsid w:val="00931C04"/>
    <w:rsid w:val="00931CFA"/>
    <w:rsid w:val="00931E54"/>
    <w:rsid w:val="0093239A"/>
    <w:rsid w:val="00932BD9"/>
    <w:rsid w:val="00932C20"/>
    <w:rsid w:val="00932E18"/>
    <w:rsid w:val="00933245"/>
    <w:rsid w:val="009332B7"/>
    <w:rsid w:val="009338CB"/>
    <w:rsid w:val="0093391E"/>
    <w:rsid w:val="00933955"/>
    <w:rsid w:val="00933AE4"/>
    <w:rsid w:val="009340E4"/>
    <w:rsid w:val="00934609"/>
    <w:rsid w:val="009346B3"/>
    <w:rsid w:val="009350F0"/>
    <w:rsid w:val="0093521A"/>
    <w:rsid w:val="009354DE"/>
    <w:rsid w:val="009355C7"/>
    <w:rsid w:val="00935B0E"/>
    <w:rsid w:val="00935DBD"/>
    <w:rsid w:val="00935EC8"/>
    <w:rsid w:val="00935F7E"/>
    <w:rsid w:val="009362EC"/>
    <w:rsid w:val="00936ED5"/>
    <w:rsid w:val="00936F1E"/>
    <w:rsid w:val="00937583"/>
    <w:rsid w:val="00937A10"/>
    <w:rsid w:val="00937B50"/>
    <w:rsid w:val="0094054F"/>
    <w:rsid w:val="009405AA"/>
    <w:rsid w:val="0094064B"/>
    <w:rsid w:val="0094074A"/>
    <w:rsid w:val="00940A45"/>
    <w:rsid w:val="00940AAB"/>
    <w:rsid w:val="00940B4E"/>
    <w:rsid w:val="00940D2E"/>
    <w:rsid w:val="00941084"/>
    <w:rsid w:val="009411D8"/>
    <w:rsid w:val="009412D5"/>
    <w:rsid w:val="00941984"/>
    <w:rsid w:val="009419A4"/>
    <w:rsid w:val="00941A22"/>
    <w:rsid w:val="00941C71"/>
    <w:rsid w:val="0094200C"/>
    <w:rsid w:val="0094212A"/>
    <w:rsid w:val="009421FB"/>
    <w:rsid w:val="00942318"/>
    <w:rsid w:val="00942692"/>
    <w:rsid w:val="009426CC"/>
    <w:rsid w:val="0094274E"/>
    <w:rsid w:val="00942C9C"/>
    <w:rsid w:val="00943738"/>
    <w:rsid w:val="0094376A"/>
    <w:rsid w:val="009438DF"/>
    <w:rsid w:val="00943A6D"/>
    <w:rsid w:val="00943C41"/>
    <w:rsid w:val="00943FF3"/>
    <w:rsid w:val="00944430"/>
    <w:rsid w:val="00944680"/>
    <w:rsid w:val="009447E8"/>
    <w:rsid w:val="009448FB"/>
    <w:rsid w:val="00944C4C"/>
    <w:rsid w:val="00944CC9"/>
    <w:rsid w:val="0094518E"/>
    <w:rsid w:val="009451BB"/>
    <w:rsid w:val="0094552B"/>
    <w:rsid w:val="0094588A"/>
    <w:rsid w:val="00945B99"/>
    <w:rsid w:val="00945E18"/>
    <w:rsid w:val="00945E9E"/>
    <w:rsid w:val="0094621D"/>
    <w:rsid w:val="009463D7"/>
    <w:rsid w:val="009463FC"/>
    <w:rsid w:val="00946824"/>
    <w:rsid w:val="00946C22"/>
    <w:rsid w:val="00946D56"/>
    <w:rsid w:val="00946DF6"/>
    <w:rsid w:val="00946E13"/>
    <w:rsid w:val="00946E44"/>
    <w:rsid w:val="0094705F"/>
    <w:rsid w:val="00947498"/>
    <w:rsid w:val="009474D0"/>
    <w:rsid w:val="0094758B"/>
    <w:rsid w:val="009477D8"/>
    <w:rsid w:val="00947B6A"/>
    <w:rsid w:val="00947C1B"/>
    <w:rsid w:val="00947EA1"/>
    <w:rsid w:val="00950775"/>
    <w:rsid w:val="00950789"/>
    <w:rsid w:val="00950CA4"/>
    <w:rsid w:val="00950F89"/>
    <w:rsid w:val="00950FBF"/>
    <w:rsid w:val="00951244"/>
    <w:rsid w:val="00951785"/>
    <w:rsid w:val="009518D9"/>
    <w:rsid w:val="00951D20"/>
    <w:rsid w:val="00951E0E"/>
    <w:rsid w:val="00951E16"/>
    <w:rsid w:val="00951EA8"/>
    <w:rsid w:val="00952506"/>
    <w:rsid w:val="00952756"/>
    <w:rsid w:val="009527CB"/>
    <w:rsid w:val="00952A72"/>
    <w:rsid w:val="00952BFF"/>
    <w:rsid w:val="00952C65"/>
    <w:rsid w:val="00952EF5"/>
    <w:rsid w:val="00953018"/>
    <w:rsid w:val="009534DE"/>
    <w:rsid w:val="00953616"/>
    <w:rsid w:val="00953A16"/>
    <w:rsid w:val="009540FF"/>
    <w:rsid w:val="00954180"/>
    <w:rsid w:val="009546D4"/>
    <w:rsid w:val="009548BA"/>
    <w:rsid w:val="00954997"/>
    <w:rsid w:val="00954A1F"/>
    <w:rsid w:val="00954C42"/>
    <w:rsid w:val="00955222"/>
    <w:rsid w:val="0095552D"/>
    <w:rsid w:val="00955913"/>
    <w:rsid w:val="00955CED"/>
    <w:rsid w:val="00955F34"/>
    <w:rsid w:val="00955FA3"/>
    <w:rsid w:val="009560DB"/>
    <w:rsid w:val="009563BD"/>
    <w:rsid w:val="00956471"/>
    <w:rsid w:val="0095656E"/>
    <w:rsid w:val="00956987"/>
    <w:rsid w:val="00956A50"/>
    <w:rsid w:val="00956B4E"/>
    <w:rsid w:val="00956D8E"/>
    <w:rsid w:val="00956EF4"/>
    <w:rsid w:val="009571B1"/>
    <w:rsid w:val="009571BC"/>
    <w:rsid w:val="00957857"/>
    <w:rsid w:val="00957BA0"/>
    <w:rsid w:val="00960186"/>
    <w:rsid w:val="00960ADE"/>
    <w:rsid w:val="00960E42"/>
    <w:rsid w:val="009617BC"/>
    <w:rsid w:val="0096189F"/>
    <w:rsid w:val="00961B97"/>
    <w:rsid w:val="009623D1"/>
    <w:rsid w:val="0096244C"/>
    <w:rsid w:val="00962A0D"/>
    <w:rsid w:val="00963445"/>
    <w:rsid w:val="00964157"/>
    <w:rsid w:val="009644B4"/>
    <w:rsid w:val="00964AE8"/>
    <w:rsid w:val="00964BE8"/>
    <w:rsid w:val="00964CD3"/>
    <w:rsid w:val="00964CF1"/>
    <w:rsid w:val="00964F05"/>
    <w:rsid w:val="009651B8"/>
    <w:rsid w:val="00965433"/>
    <w:rsid w:val="00965645"/>
    <w:rsid w:val="00965A21"/>
    <w:rsid w:val="009662E0"/>
    <w:rsid w:val="0096652E"/>
    <w:rsid w:val="00966BC0"/>
    <w:rsid w:val="00966BC3"/>
    <w:rsid w:val="00966E4B"/>
    <w:rsid w:val="0096743F"/>
    <w:rsid w:val="009677A7"/>
    <w:rsid w:val="0096788D"/>
    <w:rsid w:val="009679BE"/>
    <w:rsid w:val="009679C3"/>
    <w:rsid w:val="009700DF"/>
    <w:rsid w:val="00970133"/>
    <w:rsid w:val="0097026E"/>
    <w:rsid w:val="0097035B"/>
    <w:rsid w:val="0097055A"/>
    <w:rsid w:val="009706F6"/>
    <w:rsid w:val="009709C7"/>
    <w:rsid w:val="00970F09"/>
    <w:rsid w:val="00971007"/>
    <w:rsid w:val="00971400"/>
    <w:rsid w:val="00971464"/>
    <w:rsid w:val="00971479"/>
    <w:rsid w:val="00971C2B"/>
    <w:rsid w:val="00971C62"/>
    <w:rsid w:val="00971C74"/>
    <w:rsid w:val="009727B5"/>
    <w:rsid w:val="00972DD5"/>
    <w:rsid w:val="00972E47"/>
    <w:rsid w:val="0097300A"/>
    <w:rsid w:val="0097320A"/>
    <w:rsid w:val="009732F4"/>
    <w:rsid w:val="00973677"/>
    <w:rsid w:val="00973AEB"/>
    <w:rsid w:val="00973BDA"/>
    <w:rsid w:val="00973ECC"/>
    <w:rsid w:val="0097413B"/>
    <w:rsid w:val="0097427B"/>
    <w:rsid w:val="00974B44"/>
    <w:rsid w:val="00974C2F"/>
    <w:rsid w:val="00974F0C"/>
    <w:rsid w:val="00975029"/>
    <w:rsid w:val="009756C4"/>
    <w:rsid w:val="009757A7"/>
    <w:rsid w:val="009759CF"/>
    <w:rsid w:val="00975ADA"/>
    <w:rsid w:val="00975C37"/>
    <w:rsid w:val="009760BE"/>
    <w:rsid w:val="009761C7"/>
    <w:rsid w:val="009763E7"/>
    <w:rsid w:val="009764AB"/>
    <w:rsid w:val="00976920"/>
    <w:rsid w:val="00976EF0"/>
    <w:rsid w:val="00977148"/>
    <w:rsid w:val="0097727E"/>
    <w:rsid w:val="00977494"/>
    <w:rsid w:val="0097764E"/>
    <w:rsid w:val="00977BEA"/>
    <w:rsid w:val="00977EF3"/>
    <w:rsid w:val="009804E2"/>
    <w:rsid w:val="009809D0"/>
    <w:rsid w:val="00980BB6"/>
    <w:rsid w:val="00981018"/>
    <w:rsid w:val="0098107D"/>
    <w:rsid w:val="0098186E"/>
    <w:rsid w:val="00981BF0"/>
    <w:rsid w:val="00981CEC"/>
    <w:rsid w:val="00981EAB"/>
    <w:rsid w:val="0098217A"/>
    <w:rsid w:val="0098237D"/>
    <w:rsid w:val="00982593"/>
    <w:rsid w:val="0098259F"/>
    <w:rsid w:val="00982AA9"/>
    <w:rsid w:val="00982B3D"/>
    <w:rsid w:val="00982BC8"/>
    <w:rsid w:val="00982D23"/>
    <w:rsid w:val="00982E05"/>
    <w:rsid w:val="00983025"/>
    <w:rsid w:val="0098315E"/>
    <w:rsid w:val="009832E4"/>
    <w:rsid w:val="0098360D"/>
    <w:rsid w:val="00983929"/>
    <w:rsid w:val="0098399D"/>
    <w:rsid w:val="00983A25"/>
    <w:rsid w:val="00983AEB"/>
    <w:rsid w:val="00983E14"/>
    <w:rsid w:val="0098429E"/>
    <w:rsid w:val="0098440C"/>
    <w:rsid w:val="009847E3"/>
    <w:rsid w:val="00984A8E"/>
    <w:rsid w:val="00984F9C"/>
    <w:rsid w:val="0098535F"/>
    <w:rsid w:val="009854A6"/>
    <w:rsid w:val="00985A2A"/>
    <w:rsid w:val="00985D9C"/>
    <w:rsid w:val="00985F1A"/>
    <w:rsid w:val="00985F6A"/>
    <w:rsid w:val="00986291"/>
    <w:rsid w:val="0098636B"/>
    <w:rsid w:val="00986679"/>
    <w:rsid w:val="0098683B"/>
    <w:rsid w:val="009868FC"/>
    <w:rsid w:val="00986C78"/>
    <w:rsid w:val="00986D84"/>
    <w:rsid w:val="00986F63"/>
    <w:rsid w:val="0098703B"/>
    <w:rsid w:val="0098756E"/>
    <w:rsid w:val="0098758E"/>
    <w:rsid w:val="009875D0"/>
    <w:rsid w:val="00987643"/>
    <w:rsid w:val="009876A1"/>
    <w:rsid w:val="009876E0"/>
    <w:rsid w:val="00987B3C"/>
    <w:rsid w:val="00987C79"/>
    <w:rsid w:val="00987C86"/>
    <w:rsid w:val="00987CBD"/>
    <w:rsid w:val="00987E88"/>
    <w:rsid w:val="009904B1"/>
    <w:rsid w:val="00990764"/>
    <w:rsid w:val="009908EC"/>
    <w:rsid w:val="0099090F"/>
    <w:rsid w:val="00990F4D"/>
    <w:rsid w:val="00991084"/>
    <w:rsid w:val="00991314"/>
    <w:rsid w:val="00991538"/>
    <w:rsid w:val="009915DE"/>
    <w:rsid w:val="009917D2"/>
    <w:rsid w:val="00991E1D"/>
    <w:rsid w:val="00992361"/>
    <w:rsid w:val="00992BB3"/>
    <w:rsid w:val="00992DB5"/>
    <w:rsid w:val="00992E33"/>
    <w:rsid w:val="00992F47"/>
    <w:rsid w:val="0099334E"/>
    <w:rsid w:val="0099344D"/>
    <w:rsid w:val="00993503"/>
    <w:rsid w:val="0099372E"/>
    <w:rsid w:val="00993840"/>
    <w:rsid w:val="00993B43"/>
    <w:rsid w:val="00993E8F"/>
    <w:rsid w:val="009942D0"/>
    <w:rsid w:val="0099442F"/>
    <w:rsid w:val="009944CB"/>
    <w:rsid w:val="0099464E"/>
    <w:rsid w:val="00994656"/>
    <w:rsid w:val="009946A4"/>
    <w:rsid w:val="00994763"/>
    <w:rsid w:val="00994C96"/>
    <w:rsid w:val="00994EB9"/>
    <w:rsid w:val="00995055"/>
    <w:rsid w:val="00995104"/>
    <w:rsid w:val="009952DB"/>
    <w:rsid w:val="00995463"/>
    <w:rsid w:val="00995CA3"/>
    <w:rsid w:val="00995F7F"/>
    <w:rsid w:val="00996117"/>
    <w:rsid w:val="009962C0"/>
    <w:rsid w:val="00996432"/>
    <w:rsid w:val="009964E6"/>
    <w:rsid w:val="009966C2"/>
    <w:rsid w:val="0099737F"/>
    <w:rsid w:val="009975DA"/>
    <w:rsid w:val="00997CDE"/>
    <w:rsid w:val="009A000B"/>
    <w:rsid w:val="009A0464"/>
    <w:rsid w:val="009A0F79"/>
    <w:rsid w:val="009A10B3"/>
    <w:rsid w:val="009A1164"/>
    <w:rsid w:val="009A1212"/>
    <w:rsid w:val="009A13B9"/>
    <w:rsid w:val="009A1745"/>
    <w:rsid w:val="009A17C1"/>
    <w:rsid w:val="009A1C6B"/>
    <w:rsid w:val="009A1D47"/>
    <w:rsid w:val="009A2228"/>
    <w:rsid w:val="009A2295"/>
    <w:rsid w:val="009A22BB"/>
    <w:rsid w:val="009A2474"/>
    <w:rsid w:val="009A25E4"/>
    <w:rsid w:val="009A267F"/>
    <w:rsid w:val="009A2BDE"/>
    <w:rsid w:val="009A2D21"/>
    <w:rsid w:val="009A33E6"/>
    <w:rsid w:val="009A388E"/>
    <w:rsid w:val="009A39A4"/>
    <w:rsid w:val="009A3B5E"/>
    <w:rsid w:val="009A3C97"/>
    <w:rsid w:val="009A42E2"/>
    <w:rsid w:val="009A42E9"/>
    <w:rsid w:val="009A4415"/>
    <w:rsid w:val="009A44A5"/>
    <w:rsid w:val="009A48CD"/>
    <w:rsid w:val="009A48D0"/>
    <w:rsid w:val="009A49C3"/>
    <w:rsid w:val="009A4B51"/>
    <w:rsid w:val="009A4C6B"/>
    <w:rsid w:val="009A4E9F"/>
    <w:rsid w:val="009A51E9"/>
    <w:rsid w:val="009A5642"/>
    <w:rsid w:val="009A570F"/>
    <w:rsid w:val="009A5D33"/>
    <w:rsid w:val="009A5F70"/>
    <w:rsid w:val="009A5FDA"/>
    <w:rsid w:val="009A64C4"/>
    <w:rsid w:val="009A662D"/>
    <w:rsid w:val="009A6737"/>
    <w:rsid w:val="009A676B"/>
    <w:rsid w:val="009A6ADD"/>
    <w:rsid w:val="009A6B0E"/>
    <w:rsid w:val="009A6D1E"/>
    <w:rsid w:val="009A6E27"/>
    <w:rsid w:val="009A6F28"/>
    <w:rsid w:val="009A74C5"/>
    <w:rsid w:val="009A79EF"/>
    <w:rsid w:val="009A7CC6"/>
    <w:rsid w:val="009A7DB9"/>
    <w:rsid w:val="009A7ED7"/>
    <w:rsid w:val="009A7F07"/>
    <w:rsid w:val="009B00B8"/>
    <w:rsid w:val="009B058D"/>
    <w:rsid w:val="009B08C6"/>
    <w:rsid w:val="009B0B66"/>
    <w:rsid w:val="009B139F"/>
    <w:rsid w:val="009B1442"/>
    <w:rsid w:val="009B1691"/>
    <w:rsid w:val="009B17E5"/>
    <w:rsid w:val="009B18E0"/>
    <w:rsid w:val="009B19DF"/>
    <w:rsid w:val="009B1E38"/>
    <w:rsid w:val="009B1FEF"/>
    <w:rsid w:val="009B20A0"/>
    <w:rsid w:val="009B20B5"/>
    <w:rsid w:val="009B22C8"/>
    <w:rsid w:val="009B22E8"/>
    <w:rsid w:val="009B230B"/>
    <w:rsid w:val="009B23FC"/>
    <w:rsid w:val="009B25D4"/>
    <w:rsid w:val="009B2718"/>
    <w:rsid w:val="009B2996"/>
    <w:rsid w:val="009B29EA"/>
    <w:rsid w:val="009B2B61"/>
    <w:rsid w:val="009B2D95"/>
    <w:rsid w:val="009B2DAE"/>
    <w:rsid w:val="009B2E82"/>
    <w:rsid w:val="009B2E9B"/>
    <w:rsid w:val="009B2FD7"/>
    <w:rsid w:val="009B321B"/>
    <w:rsid w:val="009B32A1"/>
    <w:rsid w:val="009B3813"/>
    <w:rsid w:val="009B4048"/>
    <w:rsid w:val="009B4C3E"/>
    <w:rsid w:val="009B4EA6"/>
    <w:rsid w:val="009B4FE7"/>
    <w:rsid w:val="009B51CA"/>
    <w:rsid w:val="009B5998"/>
    <w:rsid w:val="009B5C3B"/>
    <w:rsid w:val="009B5EF0"/>
    <w:rsid w:val="009B60B8"/>
    <w:rsid w:val="009B6480"/>
    <w:rsid w:val="009B68F2"/>
    <w:rsid w:val="009B6983"/>
    <w:rsid w:val="009B6CF4"/>
    <w:rsid w:val="009B6D11"/>
    <w:rsid w:val="009B6E9F"/>
    <w:rsid w:val="009B70F9"/>
    <w:rsid w:val="009B7114"/>
    <w:rsid w:val="009B74BB"/>
    <w:rsid w:val="009B77AA"/>
    <w:rsid w:val="009B792B"/>
    <w:rsid w:val="009B7E2F"/>
    <w:rsid w:val="009B7E79"/>
    <w:rsid w:val="009B7F5B"/>
    <w:rsid w:val="009C03DC"/>
    <w:rsid w:val="009C040B"/>
    <w:rsid w:val="009C048C"/>
    <w:rsid w:val="009C0625"/>
    <w:rsid w:val="009C0810"/>
    <w:rsid w:val="009C0F7A"/>
    <w:rsid w:val="009C10BF"/>
    <w:rsid w:val="009C1120"/>
    <w:rsid w:val="009C1855"/>
    <w:rsid w:val="009C1C16"/>
    <w:rsid w:val="009C1C4E"/>
    <w:rsid w:val="009C1FCC"/>
    <w:rsid w:val="009C238D"/>
    <w:rsid w:val="009C2463"/>
    <w:rsid w:val="009C2502"/>
    <w:rsid w:val="009C2EE5"/>
    <w:rsid w:val="009C30CD"/>
    <w:rsid w:val="009C3386"/>
    <w:rsid w:val="009C381F"/>
    <w:rsid w:val="009C3CCE"/>
    <w:rsid w:val="009C3FEE"/>
    <w:rsid w:val="009C403B"/>
    <w:rsid w:val="009C4914"/>
    <w:rsid w:val="009C4E38"/>
    <w:rsid w:val="009C4F25"/>
    <w:rsid w:val="009C51C3"/>
    <w:rsid w:val="009C532C"/>
    <w:rsid w:val="009C54E6"/>
    <w:rsid w:val="009C56F1"/>
    <w:rsid w:val="009C598B"/>
    <w:rsid w:val="009C5B9D"/>
    <w:rsid w:val="009C5D5B"/>
    <w:rsid w:val="009C5E08"/>
    <w:rsid w:val="009C5E0F"/>
    <w:rsid w:val="009C5EC7"/>
    <w:rsid w:val="009C6B0C"/>
    <w:rsid w:val="009C6EF0"/>
    <w:rsid w:val="009C73DF"/>
    <w:rsid w:val="009C7594"/>
    <w:rsid w:val="009C7669"/>
    <w:rsid w:val="009C7A49"/>
    <w:rsid w:val="009C7AE0"/>
    <w:rsid w:val="009C7EAC"/>
    <w:rsid w:val="009D00FC"/>
    <w:rsid w:val="009D06A3"/>
    <w:rsid w:val="009D0837"/>
    <w:rsid w:val="009D0866"/>
    <w:rsid w:val="009D0A79"/>
    <w:rsid w:val="009D0D58"/>
    <w:rsid w:val="009D103B"/>
    <w:rsid w:val="009D10BD"/>
    <w:rsid w:val="009D15C3"/>
    <w:rsid w:val="009D1714"/>
    <w:rsid w:val="009D1AD3"/>
    <w:rsid w:val="009D1D03"/>
    <w:rsid w:val="009D315D"/>
    <w:rsid w:val="009D3381"/>
    <w:rsid w:val="009D3564"/>
    <w:rsid w:val="009D35B2"/>
    <w:rsid w:val="009D35C8"/>
    <w:rsid w:val="009D369C"/>
    <w:rsid w:val="009D37B1"/>
    <w:rsid w:val="009D37D4"/>
    <w:rsid w:val="009D3833"/>
    <w:rsid w:val="009D3E4B"/>
    <w:rsid w:val="009D3ED5"/>
    <w:rsid w:val="009D3FF3"/>
    <w:rsid w:val="009D46B2"/>
    <w:rsid w:val="009D4836"/>
    <w:rsid w:val="009D48A0"/>
    <w:rsid w:val="009D49E7"/>
    <w:rsid w:val="009D5067"/>
    <w:rsid w:val="009D5174"/>
    <w:rsid w:val="009D5678"/>
    <w:rsid w:val="009D57E3"/>
    <w:rsid w:val="009D5802"/>
    <w:rsid w:val="009D5C4E"/>
    <w:rsid w:val="009D5D0F"/>
    <w:rsid w:val="009D5E21"/>
    <w:rsid w:val="009D5EE1"/>
    <w:rsid w:val="009D6408"/>
    <w:rsid w:val="009D6700"/>
    <w:rsid w:val="009D6789"/>
    <w:rsid w:val="009D68B9"/>
    <w:rsid w:val="009D68D2"/>
    <w:rsid w:val="009D6902"/>
    <w:rsid w:val="009D6934"/>
    <w:rsid w:val="009D69B3"/>
    <w:rsid w:val="009D6AE4"/>
    <w:rsid w:val="009D6B0A"/>
    <w:rsid w:val="009D7088"/>
    <w:rsid w:val="009D70AD"/>
    <w:rsid w:val="009D73B0"/>
    <w:rsid w:val="009D7477"/>
    <w:rsid w:val="009D75DA"/>
    <w:rsid w:val="009D780F"/>
    <w:rsid w:val="009D7971"/>
    <w:rsid w:val="009D7BF4"/>
    <w:rsid w:val="009D7E0D"/>
    <w:rsid w:val="009D7F58"/>
    <w:rsid w:val="009E006D"/>
    <w:rsid w:val="009E011F"/>
    <w:rsid w:val="009E0337"/>
    <w:rsid w:val="009E0A4C"/>
    <w:rsid w:val="009E0A65"/>
    <w:rsid w:val="009E115E"/>
    <w:rsid w:val="009E15C8"/>
    <w:rsid w:val="009E15E1"/>
    <w:rsid w:val="009E1961"/>
    <w:rsid w:val="009E1A75"/>
    <w:rsid w:val="009E1EFA"/>
    <w:rsid w:val="009E1FB2"/>
    <w:rsid w:val="009E209A"/>
    <w:rsid w:val="009E2313"/>
    <w:rsid w:val="009E23F6"/>
    <w:rsid w:val="009E24F0"/>
    <w:rsid w:val="009E25ED"/>
    <w:rsid w:val="009E28A6"/>
    <w:rsid w:val="009E2C8B"/>
    <w:rsid w:val="009E2DD7"/>
    <w:rsid w:val="009E2F33"/>
    <w:rsid w:val="009E30E9"/>
    <w:rsid w:val="009E3EC6"/>
    <w:rsid w:val="009E3F7D"/>
    <w:rsid w:val="009E42E8"/>
    <w:rsid w:val="009E4CA1"/>
    <w:rsid w:val="009E4F13"/>
    <w:rsid w:val="009E5122"/>
    <w:rsid w:val="009E5147"/>
    <w:rsid w:val="009E51EC"/>
    <w:rsid w:val="009E5569"/>
    <w:rsid w:val="009E58B5"/>
    <w:rsid w:val="009E6291"/>
    <w:rsid w:val="009E651E"/>
    <w:rsid w:val="009E65AD"/>
    <w:rsid w:val="009E66E3"/>
    <w:rsid w:val="009E6AD8"/>
    <w:rsid w:val="009E6C22"/>
    <w:rsid w:val="009E6D22"/>
    <w:rsid w:val="009E6F28"/>
    <w:rsid w:val="009E71D0"/>
    <w:rsid w:val="009E78C5"/>
    <w:rsid w:val="009E7E85"/>
    <w:rsid w:val="009E7EA7"/>
    <w:rsid w:val="009E7F53"/>
    <w:rsid w:val="009F00F7"/>
    <w:rsid w:val="009F03F4"/>
    <w:rsid w:val="009F09A3"/>
    <w:rsid w:val="009F0D80"/>
    <w:rsid w:val="009F1225"/>
    <w:rsid w:val="009F1288"/>
    <w:rsid w:val="009F133D"/>
    <w:rsid w:val="009F14AA"/>
    <w:rsid w:val="009F1565"/>
    <w:rsid w:val="009F16CA"/>
    <w:rsid w:val="009F19F5"/>
    <w:rsid w:val="009F1B07"/>
    <w:rsid w:val="009F1FD1"/>
    <w:rsid w:val="009F23E6"/>
    <w:rsid w:val="009F24C4"/>
    <w:rsid w:val="009F2E76"/>
    <w:rsid w:val="009F328D"/>
    <w:rsid w:val="009F38B4"/>
    <w:rsid w:val="009F398A"/>
    <w:rsid w:val="009F3B1E"/>
    <w:rsid w:val="009F3CF4"/>
    <w:rsid w:val="009F462F"/>
    <w:rsid w:val="009F4E34"/>
    <w:rsid w:val="009F4F03"/>
    <w:rsid w:val="009F55ED"/>
    <w:rsid w:val="009F58A4"/>
    <w:rsid w:val="009F60F0"/>
    <w:rsid w:val="009F6432"/>
    <w:rsid w:val="009F6A8B"/>
    <w:rsid w:val="009F6BEE"/>
    <w:rsid w:val="009F6D99"/>
    <w:rsid w:val="009F6E44"/>
    <w:rsid w:val="009F6EC2"/>
    <w:rsid w:val="009F7060"/>
    <w:rsid w:val="009F77E1"/>
    <w:rsid w:val="009F7B38"/>
    <w:rsid w:val="009F7BEB"/>
    <w:rsid w:val="00A00197"/>
    <w:rsid w:val="00A002F2"/>
    <w:rsid w:val="00A007C8"/>
    <w:rsid w:val="00A0093C"/>
    <w:rsid w:val="00A009B4"/>
    <w:rsid w:val="00A00D6A"/>
    <w:rsid w:val="00A00ECE"/>
    <w:rsid w:val="00A012C0"/>
    <w:rsid w:val="00A01361"/>
    <w:rsid w:val="00A01A7B"/>
    <w:rsid w:val="00A01B37"/>
    <w:rsid w:val="00A01B79"/>
    <w:rsid w:val="00A01DA8"/>
    <w:rsid w:val="00A020C2"/>
    <w:rsid w:val="00A0212C"/>
    <w:rsid w:val="00A02147"/>
    <w:rsid w:val="00A026DC"/>
    <w:rsid w:val="00A028EF"/>
    <w:rsid w:val="00A029C6"/>
    <w:rsid w:val="00A02AFE"/>
    <w:rsid w:val="00A02C5B"/>
    <w:rsid w:val="00A033F5"/>
    <w:rsid w:val="00A034E1"/>
    <w:rsid w:val="00A03971"/>
    <w:rsid w:val="00A039D8"/>
    <w:rsid w:val="00A04069"/>
    <w:rsid w:val="00A042B0"/>
    <w:rsid w:val="00A04307"/>
    <w:rsid w:val="00A04450"/>
    <w:rsid w:val="00A04857"/>
    <w:rsid w:val="00A04B48"/>
    <w:rsid w:val="00A04F5F"/>
    <w:rsid w:val="00A04F69"/>
    <w:rsid w:val="00A05548"/>
    <w:rsid w:val="00A05AA5"/>
    <w:rsid w:val="00A05B25"/>
    <w:rsid w:val="00A05BF8"/>
    <w:rsid w:val="00A05C1A"/>
    <w:rsid w:val="00A05C34"/>
    <w:rsid w:val="00A05C53"/>
    <w:rsid w:val="00A05C67"/>
    <w:rsid w:val="00A05D15"/>
    <w:rsid w:val="00A05EB8"/>
    <w:rsid w:val="00A05EEB"/>
    <w:rsid w:val="00A0626D"/>
    <w:rsid w:val="00A063EE"/>
    <w:rsid w:val="00A06500"/>
    <w:rsid w:val="00A069A9"/>
    <w:rsid w:val="00A06A0C"/>
    <w:rsid w:val="00A06D9D"/>
    <w:rsid w:val="00A06ECE"/>
    <w:rsid w:val="00A074F4"/>
    <w:rsid w:val="00A07AFB"/>
    <w:rsid w:val="00A07B41"/>
    <w:rsid w:val="00A07C35"/>
    <w:rsid w:val="00A07C3E"/>
    <w:rsid w:val="00A07D15"/>
    <w:rsid w:val="00A101A7"/>
    <w:rsid w:val="00A10247"/>
    <w:rsid w:val="00A10382"/>
    <w:rsid w:val="00A10685"/>
    <w:rsid w:val="00A10909"/>
    <w:rsid w:val="00A10C88"/>
    <w:rsid w:val="00A10D0F"/>
    <w:rsid w:val="00A1101F"/>
    <w:rsid w:val="00A1117B"/>
    <w:rsid w:val="00A11385"/>
    <w:rsid w:val="00A11AD1"/>
    <w:rsid w:val="00A11B83"/>
    <w:rsid w:val="00A11BD1"/>
    <w:rsid w:val="00A11C4F"/>
    <w:rsid w:val="00A11E6B"/>
    <w:rsid w:val="00A124F4"/>
    <w:rsid w:val="00A128AD"/>
    <w:rsid w:val="00A12AA5"/>
    <w:rsid w:val="00A12DDA"/>
    <w:rsid w:val="00A12E21"/>
    <w:rsid w:val="00A130DE"/>
    <w:rsid w:val="00A1329F"/>
    <w:rsid w:val="00A138CF"/>
    <w:rsid w:val="00A13F87"/>
    <w:rsid w:val="00A1480D"/>
    <w:rsid w:val="00A14F80"/>
    <w:rsid w:val="00A15196"/>
    <w:rsid w:val="00A151D7"/>
    <w:rsid w:val="00A154F2"/>
    <w:rsid w:val="00A15720"/>
    <w:rsid w:val="00A16084"/>
    <w:rsid w:val="00A161A4"/>
    <w:rsid w:val="00A16411"/>
    <w:rsid w:val="00A16BF9"/>
    <w:rsid w:val="00A1713E"/>
    <w:rsid w:val="00A17288"/>
    <w:rsid w:val="00A172D3"/>
    <w:rsid w:val="00A172EB"/>
    <w:rsid w:val="00A174E3"/>
    <w:rsid w:val="00A17957"/>
    <w:rsid w:val="00A17AF4"/>
    <w:rsid w:val="00A17B8F"/>
    <w:rsid w:val="00A17E73"/>
    <w:rsid w:val="00A20185"/>
    <w:rsid w:val="00A2052E"/>
    <w:rsid w:val="00A20553"/>
    <w:rsid w:val="00A21154"/>
    <w:rsid w:val="00A215BC"/>
    <w:rsid w:val="00A219BE"/>
    <w:rsid w:val="00A21A57"/>
    <w:rsid w:val="00A21F22"/>
    <w:rsid w:val="00A22125"/>
    <w:rsid w:val="00A22249"/>
    <w:rsid w:val="00A223AC"/>
    <w:rsid w:val="00A22416"/>
    <w:rsid w:val="00A224C8"/>
    <w:rsid w:val="00A224D2"/>
    <w:rsid w:val="00A22C63"/>
    <w:rsid w:val="00A22EC2"/>
    <w:rsid w:val="00A230E3"/>
    <w:rsid w:val="00A231B6"/>
    <w:rsid w:val="00A2329D"/>
    <w:rsid w:val="00A235A1"/>
    <w:rsid w:val="00A236C5"/>
    <w:rsid w:val="00A23D4D"/>
    <w:rsid w:val="00A23DE6"/>
    <w:rsid w:val="00A23FF1"/>
    <w:rsid w:val="00A242DE"/>
    <w:rsid w:val="00A243AA"/>
    <w:rsid w:val="00A24655"/>
    <w:rsid w:val="00A246EA"/>
    <w:rsid w:val="00A24DEC"/>
    <w:rsid w:val="00A24E8D"/>
    <w:rsid w:val="00A2514D"/>
    <w:rsid w:val="00A254FD"/>
    <w:rsid w:val="00A25696"/>
    <w:rsid w:val="00A25812"/>
    <w:rsid w:val="00A25C2D"/>
    <w:rsid w:val="00A25D5C"/>
    <w:rsid w:val="00A25D65"/>
    <w:rsid w:val="00A25DE1"/>
    <w:rsid w:val="00A25FBE"/>
    <w:rsid w:val="00A2647D"/>
    <w:rsid w:val="00A2675E"/>
    <w:rsid w:val="00A26C9B"/>
    <w:rsid w:val="00A26D62"/>
    <w:rsid w:val="00A26DCE"/>
    <w:rsid w:val="00A27099"/>
    <w:rsid w:val="00A27410"/>
    <w:rsid w:val="00A27454"/>
    <w:rsid w:val="00A2784D"/>
    <w:rsid w:val="00A27939"/>
    <w:rsid w:val="00A27D24"/>
    <w:rsid w:val="00A27F16"/>
    <w:rsid w:val="00A30218"/>
    <w:rsid w:val="00A30479"/>
    <w:rsid w:val="00A30586"/>
    <w:rsid w:val="00A3058E"/>
    <w:rsid w:val="00A307F3"/>
    <w:rsid w:val="00A30936"/>
    <w:rsid w:val="00A30A7E"/>
    <w:rsid w:val="00A30B8C"/>
    <w:rsid w:val="00A30BE0"/>
    <w:rsid w:val="00A30EED"/>
    <w:rsid w:val="00A30F81"/>
    <w:rsid w:val="00A31035"/>
    <w:rsid w:val="00A310FE"/>
    <w:rsid w:val="00A318A1"/>
    <w:rsid w:val="00A318DC"/>
    <w:rsid w:val="00A31A7D"/>
    <w:rsid w:val="00A31D0E"/>
    <w:rsid w:val="00A31EF9"/>
    <w:rsid w:val="00A31FBB"/>
    <w:rsid w:val="00A32029"/>
    <w:rsid w:val="00A320CB"/>
    <w:rsid w:val="00A32258"/>
    <w:rsid w:val="00A32306"/>
    <w:rsid w:val="00A323C9"/>
    <w:rsid w:val="00A3261D"/>
    <w:rsid w:val="00A3290D"/>
    <w:rsid w:val="00A32B4B"/>
    <w:rsid w:val="00A32CDF"/>
    <w:rsid w:val="00A331FC"/>
    <w:rsid w:val="00A332AF"/>
    <w:rsid w:val="00A33333"/>
    <w:rsid w:val="00A3338F"/>
    <w:rsid w:val="00A3366C"/>
    <w:rsid w:val="00A33B01"/>
    <w:rsid w:val="00A33FB1"/>
    <w:rsid w:val="00A3438E"/>
    <w:rsid w:val="00A349A6"/>
    <w:rsid w:val="00A34FE4"/>
    <w:rsid w:val="00A35C6C"/>
    <w:rsid w:val="00A35EFA"/>
    <w:rsid w:val="00A3611F"/>
    <w:rsid w:val="00A364DF"/>
    <w:rsid w:val="00A3686C"/>
    <w:rsid w:val="00A36A90"/>
    <w:rsid w:val="00A36AC5"/>
    <w:rsid w:val="00A36B23"/>
    <w:rsid w:val="00A36B2A"/>
    <w:rsid w:val="00A36E4E"/>
    <w:rsid w:val="00A36EDB"/>
    <w:rsid w:val="00A3706D"/>
    <w:rsid w:val="00A370E5"/>
    <w:rsid w:val="00A37202"/>
    <w:rsid w:val="00A37554"/>
    <w:rsid w:val="00A37FEC"/>
    <w:rsid w:val="00A401AE"/>
    <w:rsid w:val="00A408B5"/>
    <w:rsid w:val="00A40D53"/>
    <w:rsid w:val="00A41024"/>
    <w:rsid w:val="00A410D1"/>
    <w:rsid w:val="00A41480"/>
    <w:rsid w:val="00A414C6"/>
    <w:rsid w:val="00A415BB"/>
    <w:rsid w:val="00A4195D"/>
    <w:rsid w:val="00A4198F"/>
    <w:rsid w:val="00A41B98"/>
    <w:rsid w:val="00A41D7A"/>
    <w:rsid w:val="00A428E2"/>
    <w:rsid w:val="00A42ACA"/>
    <w:rsid w:val="00A42FED"/>
    <w:rsid w:val="00A42FF3"/>
    <w:rsid w:val="00A4300D"/>
    <w:rsid w:val="00A4310C"/>
    <w:rsid w:val="00A43242"/>
    <w:rsid w:val="00A43B3E"/>
    <w:rsid w:val="00A43C43"/>
    <w:rsid w:val="00A43D22"/>
    <w:rsid w:val="00A445E7"/>
    <w:rsid w:val="00A44B2A"/>
    <w:rsid w:val="00A44CE1"/>
    <w:rsid w:val="00A44F48"/>
    <w:rsid w:val="00A45118"/>
    <w:rsid w:val="00A45139"/>
    <w:rsid w:val="00A45364"/>
    <w:rsid w:val="00A45530"/>
    <w:rsid w:val="00A45696"/>
    <w:rsid w:val="00A46364"/>
    <w:rsid w:val="00A46416"/>
    <w:rsid w:val="00A46861"/>
    <w:rsid w:val="00A4695F"/>
    <w:rsid w:val="00A46F48"/>
    <w:rsid w:val="00A472AF"/>
    <w:rsid w:val="00A473AF"/>
    <w:rsid w:val="00A47DE5"/>
    <w:rsid w:val="00A5004B"/>
    <w:rsid w:val="00A509CB"/>
    <w:rsid w:val="00A509D0"/>
    <w:rsid w:val="00A50A1F"/>
    <w:rsid w:val="00A50A66"/>
    <w:rsid w:val="00A50D31"/>
    <w:rsid w:val="00A50DD9"/>
    <w:rsid w:val="00A51055"/>
    <w:rsid w:val="00A511EA"/>
    <w:rsid w:val="00A5133D"/>
    <w:rsid w:val="00A51355"/>
    <w:rsid w:val="00A5137A"/>
    <w:rsid w:val="00A51869"/>
    <w:rsid w:val="00A51BD9"/>
    <w:rsid w:val="00A51D8E"/>
    <w:rsid w:val="00A51DB0"/>
    <w:rsid w:val="00A524FD"/>
    <w:rsid w:val="00A528C0"/>
    <w:rsid w:val="00A52D8A"/>
    <w:rsid w:val="00A530DA"/>
    <w:rsid w:val="00A5311B"/>
    <w:rsid w:val="00A534BB"/>
    <w:rsid w:val="00A53ABF"/>
    <w:rsid w:val="00A53C6B"/>
    <w:rsid w:val="00A5406A"/>
    <w:rsid w:val="00A54125"/>
    <w:rsid w:val="00A544D7"/>
    <w:rsid w:val="00A546AC"/>
    <w:rsid w:val="00A54886"/>
    <w:rsid w:val="00A549D0"/>
    <w:rsid w:val="00A54A19"/>
    <w:rsid w:val="00A54BAC"/>
    <w:rsid w:val="00A54CBF"/>
    <w:rsid w:val="00A54E6D"/>
    <w:rsid w:val="00A54F9A"/>
    <w:rsid w:val="00A55547"/>
    <w:rsid w:val="00A555E5"/>
    <w:rsid w:val="00A555F7"/>
    <w:rsid w:val="00A5562E"/>
    <w:rsid w:val="00A556AC"/>
    <w:rsid w:val="00A558C4"/>
    <w:rsid w:val="00A55DB5"/>
    <w:rsid w:val="00A55E4C"/>
    <w:rsid w:val="00A561FE"/>
    <w:rsid w:val="00A5631F"/>
    <w:rsid w:val="00A565DF"/>
    <w:rsid w:val="00A56858"/>
    <w:rsid w:val="00A56AD4"/>
    <w:rsid w:val="00A56BC5"/>
    <w:rsid w:val="00A56D29"/>
    <w:rsid w:val="00A56D4F"/>
    <w:rsid w:val="00A56D78"/>
    <w:rsid w:val="00A57063"/>
    <w:rsid w:val="00A5715E"/>
    <w:rsid w:val="00A571C6"/>
    <w:rsid w:val="00A57241"/>
    <w:rsid w:val="00A57432"/>
    <w:rsid w:val="00A5769D"/>
    <w:rsid w:val="00A579F3"/>
    <w:rsid w:val="00A579F4"/>
    <w:rsid w:val="00A57A2C"/>
    <w:rsid w:val="00A57AE0"/>
    <w:rsid w:val="00A57DAD"/>
    <w:rsid w:val="00A600D0"/>
    <w:rsid w:val="00A60183"/>
    <w:rsid w:val="00A60435"/>
    <w:rsid w:val="00A6071A"/>
    <w:rsid w:val="00A60967"/>
    <w:rsid w:val="00A60A86"/>
    <w:rsid w:val="00A60B52"/>
    <w:rsid w:val="00A60FE1"/>
    <w:rsid w:val="00A60FFE"/>
    <w:rsid w:val="00A610D5"/>
    <w:rsid w:val="00A611B2"/>
    <w:rsid w:val="00A61621"/>
    <w:rsid w:val="00A61755"/>
    <w:rsid w:val="00A61CDD"/>
    <w:rsid w:val="00A61DBF"/>
    <w:rsid w:val="00A62050"/>
    <w:rsid w:val="00A62059"/>
    <w:rsid w:val="00A62268"/>
    <w:rsid w:val="00A6245D"/>
    <w:rsid w:val="00A624D7"/>
    <w:rsid w:val="00A626F7"/>
    <w:rsid w:val="00A62A86"/>
    <w:rsid w:val="00A62A87"/>
    <w:rsid w:val="00A631C7"/>
    <w:rsid w:val="00A63445"/>
    <w:rsid w:val="00A63615"/>
    <w:rsid w:val="00A63680"/>
    <w:rsid w:val="00A63C22"/>
    <w:rsid w:val="00A63C69"/>
    <w:rsid w:val="00A63F04"/>
    <w:rsid w:val="00A63F13"/>
    <w:rsid w:val="00A6427A"/>
    <w:rsid w:val="00A6428B"/>
    <w:rsid w:val="00A648ED"/>
    <w:rsid w:val="00A64B74"/>
    <w:rsid w:val="00A64BF6"/>
    <w:rsid w:val="00A64DC6"/>
    <w:rsid w:val="00A65566"/>
    <w:rsid w:val="00A6563E"/>
    <w:rsid w:val="00A659E1"/>
    <w:rsid w:val="00A65A5E"/>
    <w:rsid w:val="00A65AB9"/>
    <w:rsid w:val="00A65B37"/>
    <w:rsid w:val="00A65B5E"/>
    <w:rsid w:val="00A65B81"/>
    <w:rsid w:val="00A65E2B"/>
    <w:rsid w:val="00A6603A"/>
    <w:rsid w:val="00A663FA"/>
    <w:rsid w:val="00A664D7"/>
    <w:rsid w:val="00A671C1"/>
    <w:rsid w:val="00A67233"/>
    <w:rsid w:val="00A67461"/>
    <w:rsid w:val="00A674AC"/>
    <w:rsid w:val="00A675E4"/>
    <w:rsid w:val="00A67626"/>
    <w:rsid w:val="00A67765"/>
    <w:rsid w:val="00A67C15"/>
    <w:rsid w:val="00A67CF6"/>
    <w:rsid w:val="00A67D3F"/>
    <w:rsid w:val="00A7020D"/>
    <w:rsid w:val="00A7079C"/>
    <w:rsid w:val="00A70B04"/>
    <w:rsid w:val="00A70DBD"/>
    <w:rsid w:val="00A70FC3"/>
    <w:rsid w:val="00A7100D"/>
    <w:rsid w:val="00A71520"/>
    <w:rsid w:val="00A71731"/>
    <w:rsid w:val="00A7281A"/>
    <w:rsid w:val="00A72829"/>
    <w:rsid w:val="00A72919"/>
    <w:rsid w:val="00A7310B"/>
    <w:rsid w:val="00A731D2"/>
    <w:rsid w:val="00A733A3"/>
    <w:rsid w:val="00A7345C"/>
    <w:rsid w:val="00A739E4"/>
    <w:rsid w:val="00A7453B"/>
    <w:rsid w:val="00A75084"/>
    <w:rsid w:val="00A7542A"/>
    <w:rsid w:val="00A75446"/>
    <w:rsid w:val="00A754D9"/>
    <w:rsid w:val="00A75865"/>
    <w:rsid w:val="00A75973"/>
    <w:rsid w:val="00A75CB7"/>
    <w:rsid w:val="00A76218"/>
    <w:rsid w:val="00A76312"/>
    <w:rsid w:val="00A76354"/>
    <w:rsid w:val="00A7636F"/>
    <w:rsid w:val="00A7649A"/>
    <w:rsid w:val="00A76A9A"/>
    <w:rsid w:val="00A76E17"/>
    <w:rsid w:val="00A77038"/>
    <w:rsid w:val="00A7713C"/>
    <w:rsid w:val="00A776D0"/>
    <w:rsid w:val="00A77B48"/>
    <w:rsid w:val="00A77CED"/>
    <w:rsid w:val="00A77DBE"/>
    <w:rsid w:val="00A77F63"/>
    <w:rsid w:val="00A8043F"/>
    <w:rsid w:val="00A804B2"/>
    <w:rsid w:val="00A80AC3"/>
    <w:rsid w:val="00A80BE9"/>
    <w:rsid w:val="00A80D8B"/>
    <w:rsid w:val="00A80E26"/>
    <w:rsid w:val="00A80E79"/>
    <w:rsid w:val="00A8159F"/>
    <w:rsid w:val="00A81D49"/>
    <w:rsid w:val="00A81DCE"/>
    <w:rsid w:val="00A81FE0"/>
    <w:rsid w:val="00A82189"/>
    <w:rsid w:val="00A823ED"/>
    <w:rsid w:val="00A8242F"/>
    <w:rsid w:val="00A82806"/>
    <w:rsid w:val="00A8295C"/>
    <w:rsid w:val="00A82D46"/>
    <w:rsid w:val="00A82E84"/>
    <w:rsid w:val="00A8338E"/>
    <w:rsid w:val="00A83965"/>
    <w:rsid w:val="00A83AE1"/>
    <w:rsid w:val="00A84BF7"/>
    <w:rsid w:val="00A8509A"/>
    <w:rsid w:val="00A85445"/>
    <w:rsid w:val="00A8573B"/>
    <w:rsid w:val="00A85953"/>
    <w:rsid w:val="00A85AEC"/>
    <w:rsid w:val="00A85B3C"/>
    <w:rsid w:val="00A85C35"/>
    <w:rsid w:val="00A85F49"/>
    <w:rsid w:val="00A86696"/>
    <w:rsid w:val="00A867C8"/>
    <w:rsid w:val="00A870E6"/>
    <w:rsid w:val="00A870EE"/>
    <w:rsid w:val="00A871A4"/>
    <w:rsid w:val="00A8741F"/>
    <w:rsid w:val="00A8742B"/>
    <w:rsid w:val="00A87571"/>
    <w:rsid w:val="00A877F0"/>
    <w:rsid w:val="00A87869"/>
    <w:rsid w:val="00A879C7"/>
    <w:rsid w:val="00A87BE3"/>
    <w:rsid w:val="00A900CC"/>
    <w:rsid w:val="00A903F1"/>
    <w:rsid w:val="00A90914"/>
    <w:rsid w:val="00A9095F"/>
    <w:rsid w:val="00A90B62"/>
    <w:rsid w:val="00A91315"/>
    <w:rsid w:val="00A915CD"/>
    <w:rsid w:val="00A9162B"/>
    <w:rsid w:val="00A91D2B"/>
    <w:rsid w:val="00A91D47"/>
    <w:rsid w:val="00A91DB4"/>
    <w:rsid w:val="00A920CA"/>
    <w:rsid w:val="00A922F2"/>
    <w:rsid w:val="00A92A1C"/>
    <w:rsid w:val="00A931FA"/>
    <w:rsid w:val="00A93209"/>
    <w:rsid w:val="00A93323"/>
    <w:rsid w:val="00A93972"/>
    <w:rsid w:val="00A94087"/>
    <w:rsid w:val="00A94637"/>
    <w:rsid w:val="00A946E7"/>
    <w:rsid w:val="00A94AC6"/>
    <w:rsid w:val="00A94BEB"/>
    <w:rsid w:val="00A94DCC"/>
    <w:rsid w:val="00A9546E"/>
    <w:rsid w:val="00A95553"/>
    <w:rsid w:val="00A957B3"/>
    <w:rsid w:val="00A95AA7"/>
    <w:rsid w:val="00A95D04"/>
    <w:rsid w:val="00A95D6E"/>
    <w:rsid w:val="00A95E08"/>
    <w:rsid w:val="00A962BA"/>
    <w:rsid w:val="00A96380"/>
    <w:rsid w:val="00A96578"/>
    <w:rsid w:val="00A96593"/>
    <w:rsid w:val="00A9669B"/>
    <w:rsid w:val="00A966DE"/>
    <w:rsid w:val="00A96CE5"/>
    <w:rsid w:val="00A970AB"/>
    <w:rsid w:val="00A9716F"/>
    <w:rsid w:val="00A9729E"/>
    <w:rsid w:val="00A97629"/>
    <w:rsid w:val="00A979BD"/>
    <w:rsid w:val="00A97EDE"/>
    <w:rsid w:val="00A97F13"/>
    <w:rsid w:val="00AA0908"/>
    <w:rsid w:val="00AA1009"/>
    <w:rsid w:val="00AA1118"/>
    <w:rsid w:val="00AA136E"/>
    <w:rsid w:val="00AA13A8"/>
    <w:rsid w:val="00AA1A0A"/>
    <w:rsid w:val="00AA1CF5"/>
    <w:rsid w:val="00AA1E00"/>
    <w:rsid w:val="00AA1F4B"/>
    <w:rsid w:val="00AA21DE"/>
    <w:rsid w:val="00AA21FE"/>
    <w:rsid w:val="00AA220B"/>
    <w:rsid w:val="00AA25F6"/>
    <w:rsid w:val="00AA2725"/>
    <w:rsid w:val="00AA27F0"/>
    <w:rsid w:val="00AA2846"/>
    <w:rsid w:val="00AA2C28"/>
    <w:rsid w:val="00AA2EDE"/>
    <w:rsid w:val="00AA3003"/>
    <w:rsid w:val="00AA34E3"/>
    <w:rsid w:val="00AA3947"/>
    <w:rsid w:val="00AA3A2E"/>
    <w:rsid w:val="00AA4381"/>
    <w:rsid w:val="00AA4474"/>
    <w:rsid w:val="00AA4696"/>
    <w:rsid w:val="00AA4905"/>
    <w:rsid w:val="00AA4EF9"/>
    <w:rsid w:val="00AA559B"/>
    <w:rsid w:val="00AA56CF"/>
    <w:rsid w:val="00AA598E"/>
    <w:rsid w:val="00AA5BEE"/>
    <w:rsid w:val="00AA5CD0"/>
    <w:rsid w:val="00AA6081"/>
    <w:rsid w:val="00AA6770"/>
    <w:rsid w:val="00AA6A2F"/>
    <w:rsid w:val="00AA6D81"/>
    <w:rsid w:val="00AA6E2B"/>
    <w:rsid w:val="00AA6F05"/>
    <w:rsid w:val="00AA6FA8"/>
    <w:rsid w:val="00AA715B"/>
    <w:rsid w:val="00AA74C8"/>
    <w:rsid w:val="00AA7803"/>
    <w:rsid w:val="00AB0090"/>
    <w:rsid w:val="00AB0281"/>
    <w:rsid w:val="00AB0A35"/>
    <w:rsid w:val="00AB0F96"/>
    <w:rsid w:val="00AB0FB3"/>
    <w:rsid w:val="00AB1285"/>
    <w:rsid w:val="00AB19FE"/>
    <w:rsid w:val="00AB2017"/>
    <w:rsid w:val="00AB21D6"/>
    <w:rsid w:val="00AB2314"/>
    <w:rsid w:val="00AB2466"/>
    <w:rsid w:val="00AB289A"/>
    <w:rsid w:val="00AB2BB3"/>
    <w:rsid w:val="00AB2C36"/>
    <w:rsid w:val="00AB2D66"/>
    <w:rsid w:val="00AB2FB9"/>
    <w:rsid w:val="00AB32A9"/>
    <w:rsid w:val="00AB352F"/>
    <w:rsid w:val="00AB3857"/>
    <w:rsid w:val="00AB3D5D"/>
    <w:rsid w:val="00AB3DD5"/>
    <w:rsid w:val="00AB419A"/>
    <w:rsid w:val="00AB4498"/>
    <w:rsid w:val="00AB46AA"/>
    <w:rsid w:val="00AB4C8D"/>
    <w:rsid w:val="00AB516D"/>
    <w:rsid w:val="00AB520F"/>
    <w:rsid w:val="00AB54C8"/>
    <w:rsid w:val="00AB5654"/>
    <w:rsid w:val="00AB5655"/>
    <w:rsid w:val="00AB56DD"/>
    <w:rsid w:val="00AB572E"/>
    <w:rsid w:val="00AB5A2E"/>
    <w:rsid w:val="00AB5B4C"/>
    <w:rsid w:val="00AB5F96"/>
    <w:rsid w:val="00AB65CE"/>
    <w:rsid w:val="00AB6BF1"/>
    <w:rsid w:val="00AB6F75"/>
    <w:rsid w:val="00AB70BC"/>
    <w:rsid w:val="00AB725C"/>
    <w:rsid w:val="00AB72B2"/>
    <w:rsid w:val="00AB737B"/>
    <w:rsid w:val="00AB73A7"/>
    <w:rsid w:val="00AB76B0"/>
    <w:rsid w:val="00AB7754"/>
    <w:rsid w:val="00AB7CC8"/>
    <w:rsid w:val="00AC02AA"/>
    <w:rsid w:val="00AC0382"/>
    <w:rsid w:val="00AC04D7"/>
    <w:rsid w:val="00AC05BA"/>
    <w:rsid w:val="00AC0612"/>
    <w:rsid w:val="00AC1472"/>
    <w:rsid w:val="00AC17F4"/>
    <w:rsid w:val="00AC17FA"/>
    <w:rsid w:val="00AC17FE"/>
    <w:rsid w:val="00AC185E"/>
    <w:rsid w:val="00AC1D94"/>
    <w:rsid w:val="00AC2081"/>
    <w:rsid w:val="00AC21A9"/>
    <w:rsid w:val="00AC2254"/>
    <w:rsid w:val="00AC2318"/>
    <w:rsid w:val="00AC2D07"/>
    <w:rsid w:val="00AC2E93"/>
    <w:rsid w:val="00AC2F05"/>
    <w:rsid w:val="00AC2F34"/>
    <w:rsid w:val="00AC3217"/>
    <w:rsid w:val="00AC38C7"/>
    <w:rsid w:val="00AC38F9"/>
    <w:rsid w:val="00AC3B15"/>
    <w:rsid w:val="00AC3D28"/>
    <w:rsid w:val="00AC3E66"/>
    <w:rsid w:val="00AC3FA1"/>
    <w:rsid w:val="00AC4AD9"/>
    <w:rsid w:val="00AC4B66"/>
    <w:rsid w:val="00AC4D5D"/>
    <w:rsid w:val="00AC4E0B"/>
    <w:rsid w:val="00AC4F7A"/>
    <w:rsid w:val="00AC51AF"/>
    <w:rsid w:val="00AC5575"/>
    <w:rsid w:val="00AC56A2"/>
    <w:rsid w:val="00AC578C"/>
    <w:rsid w:val="00AC5BDE"/>
    <w:rsid w:val="00AC5D67"/>
    <w:rsid w:val="00AC5E28"/>
    <w:rsid w:val="00AC5F09"/>
    <w:rsid w:val="00AC5FB5"/>
    <w:rsid w:val="00AC6309"/>
    <w:rsid w:val="00AC662D"/>
    <w:rsid w:val="00AC6AC1"/>
    <w:rsid w:val="00AC6D72"/>
    <w:rsid w:val="00AC6D81"/>
    <w:rsid w:val="00AC6EDD"/>
    <w:rsid w:val="00AC7179"/>
    <w:rsid w:val="00AC7373"/>
    <w:rsid w:val="00AC7EB6"/>
    <w:rsid w:val="00AC7ECB"/>
    <w:rsid w:val="00AD001C"/>
    <w:rsid w:val="00AD043A"/>
    <w:rsid w:val="00AD0814"/>
    <w:rsid w:val="00AD0856"/>
    <w:rsid w:val="00AD0A3E"/>
    <w:rsid w:val="00AD0C57"/>
    <w:rsid w:val="00AD1453"/>
    <w:rsid w:val="00AD15B4"/>
    <w:rsid w:val="00AD1716"/>
    <w:rsid w:val="00AD187E"/>
    <w:rsid w:val="00AD1A7C"/>
    <w:rsid w:val="00AD1C80"/>
    <w:rsid w:val="00AD1DA3"/>
    <w:rsid w:val="00AD1F3F"/>
    <w:rsid w:val="00AD26B3"/>
    <w:rsid w:val="00AD2981"/>
    <w:rsid w:val="00AD2B0F"/>
    <w:rsid w:val="00AD2D9B"/>
    <w:rsid w:val="00AD36D6"/>
    <w:rsid w:val="00AD3B37"/>
    <w:rsid w:val="00AD3CBD"/>
    <w:rsid w:val="00AD3D66"/>
    <w:rsid w:val="00AD3DD8"/>
    <w:rsid w:val="00AD3FD2"/>
    <w:rsid w:val="00AD416D"/>
    <w:rsid w:val="00AD41D5"/>
    <w:rsid w:val="00AD43DB"/>
    <w:rsid w:val="00AD5B00"/>
    <w:rsid w:val="00AD5BA6"/>
    <w:rsid w:val="00AD63D5"/>
    <w:rsid w:val="00AD64B7"/>
    <w:rsid w:val="00AD651E"/>
    <w:rsid w:val="00AD66E8"/>
    <w:rsid w:val="00AD6C36"/>
    <w:rsid w:val="00AD6DAE"/>
    <w:rsid w:val="00AD6EAD"/>
    <w:rsid w:val="00AD720F"/>
    <w:rsid w:val="00AD72A3"/>
    <w:rsid w:val="00AD72DA"/>
    <w:rsid w:val="00AD743B"/>
    <w:rsid w:val="00AD74EB"/>
    <w:rsid w:val="00AD7621"/>
    <w:rsid w:val="00AD7675"/>
    <w:rsid w:val="00AD77C3"/>
    <w:rsid w:val="00AD7BF9"/>
    <w:rsid w:val="00AE013C"/>
    <w:rsid w:val="00AE069D"/>
    <w:rsid w:val="00AE088A"/>
    <w:rsid w:val="00AE0FC7"/>
    <w:rsid w:val="00AE1102"/>
    <w:rsid w:val="00AE12F8"/>
    <w:rsid w:val="00AE13B6"/>
    <w:rsid w:val="00AE1523"/>
    <w:rsid w:val="00AE15C6"/>
    <w:rsid w:val="00AE17A6"/>
    <w:rsid w:val="00AE1831"/>
    <w:rsid w:val="00AE1C8E"/>
    <w:rsid w:val="00AE1EAE"/>
    <w:rsid w:val="00AE1F3D"/>
    <w:rsid w:val="00AE2372"/>
    <w:rsid w:val="00AE2646"/>
    <w:rsid w:val="00AE295A"/>
    <w:rsid w:val="00AE2981"/>
    <w:rsid w:val="00AE2AF4"/>
    <w:rsid w:val="00AE2D2F"/>
    <w:rsid w:val="00AE32AF"/>
    <w:rsid w:val="00AE3665"/>
    <w:rsid w:val="00AE4105"/>
    <w:rsid w:val="00AE41C8"/>
    <w:rsid w:val="00AE4280"/>
    <w:rsid w:val="00AE430E"/>
    <w:rsid w:val="00AE43E4"/>
    <w:rsid w:val="00AE4DD6"/>
    <w:rsid w:val="00AE5040"/>
    <w:rsid w:val="00AE5078"/>
    <w:rsid w:val="00AE5379"/>
    <w:rsid w:val="00AE5451"/>
    <w:rsid w:val="00AE55C9"/>
    <w:rsid w:val="00AE564B"/>
    <w:rsid w:val="00AE5BEE"/>
    <w:rsid w:val="00AE642E"/>
    <w:rsid w:val="00AE6764"/>
    <w:rsid w:val="00AE67F3"/>
    <w:rsid w:val="00AE6C40"/>
    <w:rsid w:val="00AE6E79"/>
    <w:rsid w:val="00AE710A"/>
    <w:rsid w:val="00AE73FD"/>
    <w:rsid w:val="00AE784B"/>
    <w:rsid w:val="00AE7CFC"/>
    <w:rsid w:val="00AF02B7"/>
    <w:rsid w:val="00AF0D65"/>
    <w:rsid w:val="00AF0E0F"/>
    <w:rsid w:val="00AF12E4"/>
    <w:rsid w:val="00AF1759"/>
    <w:rsid w:val="00AF17E2"/>
    <w:rsid w:val="00AF1B70"/>
    <w:rsid w:val="00AF243C"/>
    <w:rsid w:val="00AF29B3"/>
    <w:rsid w:val="00AF2AB1"/>
    <w:rsid w:val="00AF2B63"/>
    <w:rsid w:val="00AF2BD9"/>
    <w:rsid w:val="00AF2D56"/>
    <w:rsid w:val="00AF2FB7"/>
    <w:rsid w:val="00AF2FC1"/>
    <w:rsid w:val="00AF33C7"/>
    <w:rsid w:val="00AF3783"/>
    <w:rsid w:val="00AF389A"/>
    <w:rsid w:val="00AF398B"/>
    <w:rsid w:val="00AF4029"/>
    <w:rsid w:val="00AF43E3"/>
    <w:rsid w:val="00AF4812"/>
    <w:rsid w:val="00AF4C99"/>
    <w:rsid w:val="00AF4DAC"/>
    <w:rsid w:val="00AF504F"/>
    <w:rsid w:val="00AF545E"/>
    <w:rsid w:val="00AF551D"/>
    <w:rsid w:val="00AF59A0"/>
    <w:rsid w:val="00AF5D3E"/>
    <w:rsid w:val="00AF60A1"/>
    <w:rsid w:val="00AF61D1"/>
    <w:rsid w:val="00AF63B9"/>
    <w:rsid w:val="00AF6484"/>
    <w:rsid w:val="00AF6510"/>
    <w:rsid w:val="00AF652F"/>
    <w:rsid w:val="00AF67B5"/>
    <w:rsid w:val="00AF6936"/>
    <w:rsid w:val="00AF6BE0"/>
    <w:rsid w:val="00AF6CB6"/>
    <w:rsid w:val="00AF6EE9"/>
    <w:rsid w:val="00AF6F29"/>
    <w:rsid w:val="00AF7304"/>
    <w:rsid w:val="00AF77A3"/>
    <w:rsid w:val="00AF798F"/>
    <w:rsid w:val="00AF7ABB"/>
    <w:rsid w:val="00AF7D9B"/>
    <w:rsid w:val="00B0011F"/>
    <w:rsid w:val="00B00232"/>
    <w:rsid w:val="00B00712"/>
    <w:rsid w:val="00B00812"/>
    <w:rsid w:val="00B010CF"/>
    <w:rsid w:val="00B011CB"/>
    <w:rsid w:val="00B011E9"/>
    <w:rsid w:val="00B0185C"/>
    <w:rsid w:val="00B01B86"/>
    <w:rsid w:val="00B01BDF"/>
    <w:rsid w:val="00B020E4"/>
    <w:rsid w:val="00B0228D"/>
    <w:rsid w:val="00B026E9"/>
    <w:rsid w:val="00B02BE1"/>
    <w:rsid w:val="00B02CDF"/>
    <w:rsid w:val="00B02E7A"/>
    <w:rsid w:val="00B03575"/>
    <w:rsid w:val="00B0361B"/>
    <w:rsid w:val="00B036EA"/>
    <w:rsid w:val="00B0390B"/>
    <w:rsid w:val="00B03B5F"/>
    <w:rsid w:val="00B03CE8"/>
    <w:rsid w:val="00B03EAD"/>
    <w:rsid w:val="00B04380"/>
    <w:rsid w:val="00B04B63"/>
    <w:rsid w:val="00B04C27"/>
    <w:rsid w:val="00B04D61"/>
    <w:rsid w:val="00B04F9D"/>
    <w:rsid w:val="00B0516B"/>
    <w:rsid w:val="00B05269"/>
    <w:rsid w:val="00B0545D"/>
    <w:rsid w:val="00B055B1"/>
    <w:rsid w:val="00B0574B"/>
    <w:rsid w:val="00B05835"/>
    <w:rsid w:val="00B05FDC"/>
    <w:rsid w:val="00B064F6"/>
    <w:rsid w:val="00B0660D"/>
    <w:rsid w:val="00B06697"/>
    <w:rsid w:val="00B06F49"/>
    <w:rsid w:val="00B07126"/>
    <w:rsid w:val="00B07357"/>
    <w:rsid w:val="00B0749D"/>
    <w:rsid w:val="00B07580"/>
    <w:rsid w:val="00B07647"/>
    <w:rsid w:val="00B1023E"/>
    <w:rsid w:val="00B102DD"/>
    <w:rsid w:val="00B10375"/>
    <w:rsid w:val="00B10420"/>
    <w:rsid w:val="00B10622"/>
    <w:rsid w:val="00B10BB7"/>
    <w:rsid w:val="00B10DAE"/>
    <w:rsid w:val="00B10DF1"/>
    <w:rsid w:val="00B10E87"/>
    <w:rsid w:val="00B10F30"/>
    <w:rsid w:val="00B112C8"/>
    <w:rsid w:val="00B114ED"/>
    <w:rsid w:val="00B11585"/>
    <w:rsid w:val="00B11752"/>
    <w:rsid w:val="00B11C37"/>
    <w:rsid w:val="00B11F58"/>
    <w:rsid w:val="00B120E3"/>
    <w:rsid w:val="00B127F5"/>
    <w:rsid w:val="00B12A34"/>
    <w:rsid w:val="00B12C1A"/>
    <w:rsid w:val="00B12F75"/>
    <w:rsid w:val="00B13387"/>
    <w:rsid w:val="00B13530"/>
    <w:rsid w:val="00B13CBA"/>
    <w:rsid w:val="00B13CC4"/>
    <w:rsid w:val="00B13D5D"/>
    <w:rsid w:val="00B13E15"/>
    <w:rsid w:val="00B13E6B"/>
    <w:rsid w:val="00B13EE0"/>
    <w:rsid w:val="00B14582"/>
    <w:rsid w:val="00B145FC"/>
    <w:rsid w:val="00B147F2"/>
    <w:rsid w:val="00B14915"/>
    <w:rsid w:val="00B14AAC"/>
    <w:rsid w:val="00B14BA2"/>
    <w:rsid w:val="00B14EB3"/>
    <w:rsid w:val="00B14FD3"/>
    <w:rsid w:val="00B15EE7"/>
    <w:rsid w:val="00B15F2C"/>
    <w:rsid w:val="00B15F5B"/>
    <w:rsid w:val="00B16244"/>
    <w:rsid w:val="00B16282"/>
    <w:rsid w:val="00B162B2"/>
    <w:rsid w:val="00B162BB"/>
    <w:rsid w:val="00B16969"/>
    <w:rsid w:val="00B16B98"/>
    <w:rsid w:val="00B16C52"/>
    <w:rsid w:val="00B16EAE"/>
    <w:rsid w:val="00B16F3A"/>
    <w:rsid w:val="00B172A8"/>
    <w:rsid w:val="00B17384"/>
    <w:rsid w:val="00B176C3"/>
    <w:rsid w:val="00B17C49"/>
    <w:rsid w:val="00B17DF8"/>
    <w:rsid w:val="00B201E2"/>
    <w:rsid w:val="00B20E03"/>
    <w:rsid w:val="00B20F29"/>
    <w:rsid w:val="00B20FEB"/>
    <w:rsid w:val="00B21292"/>
    <w:rsid w:val="00B212C0"/>
    <w:rsid w:val="00B21EDD"/>
    <w:rsid w:val="00B221DF"/>
    <w:rsid w:val="00B2257A"/>
    <w:rsid w:val="00B227CF"/>
    <w:rsid w:val="00B22ACA"/>
    <w:rsid w:val="00B237DD"/>
    <w:rsid w:val="00B2391E"/>
    <w:rsid w:val="00B24392"/>
    <w:rsid w:val="00B243A0"/>
    <w:rsid w:val="00B243C1"/>
    <w:rsid w:val="00B24C16"/>
    <w:rsid w:val="00B24E09"/>
    <w:rsid w:val="00B24E48"/>
    <w:rsid w:val="00B24F53"/>
    <w:rsid w:val="00B24FB4"/>
    <w:rsid w:val="00B25098"/>
    <w:rsid w:val="00B25387"/>
    <w:rsid w:val="00B253A1"/>
    <w:rsid w:val="00B25583"/>
    <w:rsid w:val="00B2574C"/>
    <w:rsid w:val="00B25C49"/>
    <w:rsid w:val="00B25C58"/>
    <w:rsid w:val="00B25CDD"/>
    <w:rsid w:val="00B25F56"/>
    <w:rsid w:val="00B26053"/>
    <w:rsid w:val="00B262AB"/>
    <w:rsid w:val="00B267A1"/>
    <w:rsid w:val="00B26A16"/>
    <w:rsid w:val="00B270A9"/>
    <w:rsid w:val="00B270F0"/>
    <w:rsid w:val="00B2747F"/>
    <w:rsid w:val="00B2750F"/>
    <w:rsid w:val="00B2761B"/>
    <w:rsid w:val="00B27BDD"/>
    <w:rsid w:val="00B27E9F"/>
    <w:rsid w:val="00B3028C"/>
    <w:rsid w:val="00B3055B"/>
    <w:rsid w:val="00B30AA0"/>
    <w:rsid w:val="00B30C8F"/>
    <w:rsid w:val="00B30E1C"/>
    <w:rsid w:val="00B30EA0"/>
    <w:rsid w:val="00B310A4"/>
    <w:rsid w:val="00B31398"/>
    <w:rsid w:val="00B31441"/>
    <w:rsid w:val="00B31560"/>
    <w:rsid w:val="00B31BA6"/>
    <w:rsid w:val="00B31D2E"/>
    <w:rsid w:val="00B31D45"/>
    <w:rsid w:val="00B327CA"/>
    <w:rsid w:val="00B32CAE"/>
    <w:rsid w:val="00B32E37"/>
    <w:rsid w:val="00B333A6"/>
    <w:rsid w:val="00B33414"/>
    <w:rsid w:val="00B33464"/>
    <w:rsid w:val="00B33CB7"/>
    <w:rsid w:val="00B340C9"/>
    <w:rsid w:val="00B34181"/>
    <w:rsid w:val="00B345A6"/>
    <w:rsid w:val="00B34AF9"/>
    <w:rsid w:val="00B34F01"/>
    <w:rsid w:val="00B35004"/>
    <w:rsid w:val="00B35066"/>
    <w:rsid w:val="00B351AE"/>
    <w:rsid w:val="00B352FA"/>
    <w:rsid w:val="00B35300"/>
    <w:rsid w:val="00B35407"/>
    <w:rsid w:val="00B35A76"/>
    <w:rsid w:val="00B35A8A"/>
    <w:rsid w:val="00B35BF0"/>
    <w:rsid w:val="00B35D1A"/>
    <w:rsid w:val="00B35E7D"/>
    <w:rsid w:val="00B36309"/>
    <w:rsid w:val="00B36424"/>
    <w:rsid w:val="00B364EB"/>
    <w:rsid w:val="00B3650A"/>
    <w:rsid w:val="00B36767"/>
    <w:rsid w:val="00B36B5C"/>
    <w:rsid w:val="00B36C86"/>
    <w:rsid w:val="00B36D31"/>
    <w:rsid w:val="00B3706C"/>
    <w:rsid w:val="00B37F7D"/>
    <w:rsid w:val="00B40119"/>
    <w:rsid w:val="00B40617"/>
    <w:rsid w:val="00B40D2B"/>
    <w:rsid w:val="00B40DA8"/>
    <w:rsid w:val="00B41297"/>
    <w:rsid w:val="00B41525"/>
    <w:rsid w:val="00B416CF"/>
    <w:rsid w:val="00B41A2D"/>
    <w:rsid w:val="00B41B05"/>
    <w:rsid w:val="00B41E67"/>
    <w:rsid w:val="00B420A5"/>
    <w:rsid w:val="00B420A7"/>
    <w:rsid w:val="00B423B6"/>
    <w:rsid w:val="00B42430"/>
    <w:rsid w:val="00B424F8"/>
    <w:rsid w:val="00B429AF"/>
    <w:rsid w:val="00B42C89"/>
    <w:rsid w:val="00B42CE4"/>
    <w:rsid w:val="00B43034"/>
    <w:rsid w:val="00B43146"/>
    <w:rsid w:val="00B431A9"/>
    <w:rsid w:val="00B43784"/>
    <w:rsid w:val="00B4381F"/>
    <w:rsid w:val="00B43B43"/>
    <w:rsid w:val="00B43D1F"/>
    <w:rsid w:val="00B43D5E"/>
    <w:rsid w:val="00B43DFE"/>
    <w:rsid w:val="00B43E28"/>
    <w:rsid w:val="00B44A18"/>
    <w:rsid w:val="00B44D9F"/>
    <w:rsid w:val="00B44DE9"/>
    <w:rsid w:val="00B455D6"/>
    <w:rsid w:val="00B45713"/>
    <w:rsid w:val="00B45811"/>
    <w:rsid w:val="00B45821"/>
    <w:rsid w:val="00B45C9B"/>
    <w:rsid w:val="00B46072"/>
    <w:rsid w:val="00B46250"/>
    <w:rsid w:val="00B464C3"/>
    <w:rsid w:val="00B46519"/>
    <w:rsid w:val="00B465CC"/>
    <w:rsid w:val="00B46969"/>
    <w:rsid w:val="00B469D0"/>
    <w:rsid w:val="00B46E51"/>
    <w:rsid w:val="00B47621"/>
    <w:rsid w:val="00B4785C"/>
    <w:rsid w:val="00B47A1D"/>
    <w:rsid w:val="00B47CAF"/>
    <w:rsid w:val="00B47EE2"/>
    <w:rsid w:val="00B47FAF"/>
    <w:rsid w:val="00B5020F"/>
    <w:rsid w:val="00B5029F"/>
    <w:rsid w:val="00B50C92"/>
    <w:rsid w:val="00B50D1F"/>
    <w:rsid w:val="00B5193D"/>
    <w:rsid w:val="00B519EA"/>
    <w:rsid w:val="00B51A47"/>
    <w:rsid w:val="00B51DDB"/>
    <w:rsid w:val="00B51F83"/>
    <w:rsid w:val="00B5256C"/>
    <w:rsid w:val="00B52690"/>
    <w:rsid w:val="00B526B8"/>
    <w:rsid w:val="00B52D67"/>
    <w:rsid w:val="00B52F20"/>
    <w:rsid w:val="00B5325A"/>
    <w:rsid w:val="00B534AF"/>
    <w:rsid w:val="00B538AC"/>
    <w:rsid w:val="00B53B26"/>
    <w:rsid w:val="00B53C0C"/>
    <w:rsid w:val="00B53FF8"/>
    <w:rsid w:val="00B5410E"/>
    <w:rsid w:val="00B5451C"/>
    <w:rsid w:val="00B54649"/>
    <w:rsid w:val="00B54735"/>
    <w:rsid w:val="00B5479F"/>
    <w:rsid w:val="00B5494D"/>
    <w:rsid w:val="00B54C85"/>
    <w:rsid w:val="00B5504A"/>
    <w:rsid w:val="00B55180"/>
    <w:rsid w:val="00B559B5"/>
    <w:rsid w:val="00B55BE0"/>
    <w:rsid w:val="00B55E41"/>
    <w:rsid w:val="00B55F27"/>
    <w:rsid w:val="00B5608F"/>
    <w:rsid w:val="00B562E9"/>
    <w:rsid w:val="00B563A6"/>
    <w:rsid w:val="00B563B2"/>
    <w:rsid w:val="00B563E4"/>
    <w:rsid w:val="00B56633"/>
    <w:rsid w:val="00B56746"/>
    <w:rsid w:val="00B56943"/>
    <w:rsid w:val="00B56DE8"/>
    <w:rsid w:val="00B56E46"/>
    <w:rsid w:val="00B56FFD"/>
    <w:rsid w:val="00B573D8"/>
    <w:rsid w:val="00B573DE"/>
    <w:rsid w:val="00B57519"/>
    <w:rsid w:val="00B57736"/>
    <w:rsid w:val="00B5785C"/>
    <w:rsid w:val="00B57D04"/>
    <w:rsid w:val="00B6005B"/>
    <w:rsid w:val="00B6044D"/>
    <w:rsid w:val="00B60879"/>
    <w:rsid w:val="00B608DA"/>
    <w:rsid w:val="00B60A50"/>
    <w:rsid w:val="00B60F23"/>
    <w:rsid w:val="00B617AE"/>
    <w:rsid w:val="00B617CD"/>
    <w:rsid w:val="00B61E27"/>
    <w:rsid w:val="00B629C8"/>
    <w:rsid w:val="00B62FF1"/>
    <w:rsid w:val="00B632CD"/>
    <w:rsid w:val="00B633D0"/>
    <w:rsid w:val="00B63813"/>
    <w:rsid w:val="00B63A02"/>
    <w:rsid w:val="00B6412B"/>
    <w:rsid w:val="00B64415"/>
    <w:rsid w:val="00B6461E"/>
    <w:rsid w:val="00B6479A"/>
    <w:rsid w:val="00B647C0"/>
    <w:rsid w:val="00B64DAB"/>
    <w:rsid w:val="00B65058"/>
    <w:rsid w:val="00B65292"/>
    <w:rsid w:val="00B654AA"/>
    <w:rsid w:val="00B654C4"/>
    <w:rsid w:val="00B655C0"/>
    <w:rsid w:val="00B6562F"/>
    <w:rsid w:val="00B657ED"/>
    <w:rsid w:val="00B668F4"/>
    <w:rsid w:val="00B66999"/>
    <w:rsid w:val="00B66A05"/>
    <w:rsid w:val="00B66A90"/>
    <w:rsid w:val="00B66D95"/>
    <w:rsid w:val="00B66F45"/>
    <w:rsid w:val="00B670A8"/>
    <w:rsid w:val="00B67132"/>
    <w:rsid w:val="00B674CF"/>
    <w:rsid w:val="00B675F1"/>
    <w:rsid w:val="00B67745"/>
    <w:rsid w:val="00B67F62"/>
    <w:rsid w:val="00B70913"/>
    <w:rsid w:val="00B70C2F"/>
    <w:rsid w:val="00B70D2B"/>
    <w:rsid w:val="00B71076"/>
    <w:rsid w:val="00B712FB"/>
    <w:rsid w:val="00B71E45"/>
    <w:rsid w:val="00B72274"/>
    <w:rsid w:val="00B7261C"/>
    <w:rsid w:val="00B72B05"/>
    <w:rsid w:val="00B72BC8"/>
    <w:rsid w:val="00B73628"/>
    <w:rsid w:val="00B73897"/>
    <w:rsid w:val="00B7403C"/>
    <w:rsid w:val="00B74063"/>
    <w:rsid w:val="00B745D3"/>
    <w:rsid w:val="00B746CC"/>
    <w:rsid w:val="00B74953"/>
    <w:rsid w:val="00B74B85"/>
    <w:rsid w:val="00B74BA1"/>
    <w:rsid w:val="00B74EC9"/>
    <w:rsid w:val="00B74FA4"/>
    <w:rsid w:val="00B751E6"/>
    <w:rsid w:val="00B75567"/>
    <w:rsid w:val="00B757CB"/>
    <w:rsid w:val="00B75A7C"/>
    <w:rsid w:val="00B760EC"/>
    <w:rsid w:val="00B760FB"/>
    <w:rsid w:val="00B76345"/>
    <w:rsid w:val="00B766E6"/>
    <w:rsid w:val="00B767AA"/>
    <w:rsid w:val="00B76A4F"/>
    <w:rsid w:val="00B76AF5"/>
    <w:rsid w:val="00B76E4D"/>
    <w:rsid w:val="00B76E65"/>
    <w:rsid w:val="00B76EFD"/>
    <w:rsid w:val="00B77559"/>
    <w:rsid w:val="00B775C9"/>
    <w:rsid w:val="00B776E9"/>
    <w:rsid w:val="00B77823"/>
    <w:rsid w:val="00B77891"/>
    <w:rsid w:val="00B80106"/>
    <w:rsid w:val="00B805E0"/>
    <w:rsid w:val="00B806AF"/>
    <w:rsid w:val="00B8081E"/>
    <w:rsid w:val="00B80A62"/>
    <w:rsid w:val="00B81192"/>
    <w:rsid w:val="00B812CF"/>
    <w:rsid w:val="00B814AF"/>
    <w:rsid w:val="00B8154E"/>
    <w:rsid w:val="00B816B6"/>
    <w:rsid w:val="00B816CA"/>
    <w:rsid w:val="00B81A0F"/>
    <w:rsid w:val="00B81C8E"/>
    <w:rsid w:val="00B81F4C"/>
    <w:rsid w:val="00B81FB3"/>
    <w:rsid w:val="00B81FEE"/>
    <w:rsid w:val="00B82128"/>
    <w:rsid w:val="00B82208"/>
    <w:rsid w:val="00B82DD1"/>
    <w:rsid w:val="00B82EC9"/>
    <w:rsid w:val="00B82EFB"/>
    <w:rsid w:val="00B83107"/>
    <w:rsid w:val="00B8322A"/>
    <w:rsid w:val="00B8361C"/>
    <w:rsid w:val="00B8367C"/>
    <w:rsid w:val="00B8369E"/>
    <w:rsid w:val="00B83796"/>
    <w:rsid w:val="00B83B1D"/>
    <w:rsid w:val="00B83E37"/>
    <w:rsid w:val="00B83FA7"/>
    <w:rsid w:val="00B84357"/>
    <w:rsid w:val="00B84717"/>
    <w:rsid w:val="00B84800"/>
    <w:rsid w:val="00B84A51"/>
    <w:rsid w:val="00B85304"/>
    <w:rsid w:val="00B85446"/>
    <w:rsid w:val="00B86172"/>
    <w:rsid w:val="00B861A5"/>
    <w:rsid w:val="00B86464"/>
    <w:rsid w:val="00B865CB"/>
    <w:rsid w:val="00B86795"/>
    <w:rsid w:val="00B86AAB"/>
    <w:rsid w:val="00B86E85"/>
    <w:rsid w:val="00B87B54"/>
    <w:rsid w:val="00B87C84"/>
    <w:rsid w:val="00B90066"/>
    <w:rsid w:val="00B905B8"/>
    <w:rsid w:val="00B90872"/>
    <w:rsid w:val="00B90B9D"/>
    <w:rsid w:val="00B9113E"/>
    <w:rsid w:val="00B912CF"/>
    <w:rsid w:val="00B913F5"/>
    <w:rsid w:val="00B918A4"/>
    <w:rsid w:val="00B91C39"/>
    <w:rsid w:val="00B91CA7"/>
    <w:rsid w:val="00B91DBD"/>
    <w:rsid w:val="00B91E85"/>
    <w:rsid w:val="00B928FE"/>
    <w:rsid w:val="00B929C7"/>
    <w:rsid w:val="00B92C36"/>
    <w:rsid w:val="00B93165"/>
    <w:rsid w:val="00B931A6"/>
    <w:rsid w:val="00B933BD"/>
    <w:rsid w:val="00B93485"/>
    <w:rsid w:val="00B9350D"/>
    <w:rsid w:val="00B93ABB"/>
    <w:rsid w:val="00B93B9B"/>
    <w:rsid w:val="00B93BC3"/>
    <w:rsid w:val="00B940DF"/>
    <w:rsid w:val="00B94137"/>
    <w:rsid w:val="00B941C4"/>
    <w:rsid w:val="00B9428B"/>
    <w:rsid w:val="00B94645"/>
    <w:rsid w:val="00B94DBE"/>
    <w:rsid w:val="00B9511B"/>
    <w:rsid w:val="00B95369"/>
    <w:rsid w:val="00B95460"/>
    <w:rsid w:val="00B954E8"/>
    <w:rsid w:val="00B955C7"/>
    <w:rsid w:val="00B955FF"/>
    <w:rsid w:val="00B9560C"/>
    <w:rsid w:val="00B959B5"/>
    <w:rsid w:val="00B95E58"/>
    <w:rsid w:val="00B96017"/>
    <w:rsid w:val="00B961B5"/>
    <w:rsid w:val="00B962CB"/>
    <w:rsid w:val="00B9651E"/>
    <w:rsid w:val="00B96651"/>
    <w:rsid w:val="00B96804"/>
    <w:rsid w:val="00B96805"/>
    <w:rsid w:val="00B96885"/>
    <w:rsid w:val="00B97106"/>
    <w:rsid w:val="00B9778F"/>
    <w:rsid w:val="00BA0385"/>
    <w:rsid w:val="00BA078E"/>
    <w:rsid w:val="00BA07BB"/>
    <w:rsid w:val="00BA0C5F"/>
    <w:rsid w:val="00BA0DD6"/>
    <w:rsid w:val="00BA0E80"/>
    <w:rsid w:val="00BA1250"/>
    <w:rsid w:val="00BA19A8"/>
    <w:rsid w:val="00BA1D3F"/>
    <w:rsid w:val="00BA2B8C"/>
    <w:rsid w:val="00BA32DE"/>
    <w:rsid w:val="00BA3355"/>
    <w:rsid w:val="00BA3368"/>
    <w:rsid w:val="00BA38ED"/>
    <w:rsid w:val="00BA3BD8"/>
    <w:rsid w:val="00BA3D67"/>
    <w:rsid w:val="00BA3ED2"/>
    <w:rsid w:val="00BA455D"/>
    <w:rsid w:val="00BA4A12"/>
    <w:rsid w:val="00BA4A1E"/>
    <w:rsid w:val="00BA4A8A"/>
    <w:rsid w:val="00BA4C13"/>
    <w:rsid w:val="00BA4C86"/>
    <w:rsid w:val="00BA547E"/>
    <w:rsid w:val="00BA56D0"/>
    <w:rsid w:val="00BA5BCC"/>
    <w:rsid w:val="00BA5EB5"/>
    <w:rsid w:val="00BA62A1"/>
    <w:rsid w:val="00BA6790"/>
    <w:rsid w:val="00BA6AA9"/>
    <w:rsid w:val="00BA6F35"/>
    <w:rsid w:val="00BA729D"/>
    <w:rsid w:val="00BA746F"/>
    <w:rsid w:val="00BA769C"/>
    <w:rsid w:val="00BA7A36"/>
    <w:rsid w:val="00BA7A5E"/>
    <w:rsid w:val="00BA7B69"/>
    <w:rsid w:val="00BA7D58"/>
    <w:rsid w:val="00BB00A3"/>
    <w:rsid w:val="00BB0161"/>
    <w:rsid w:val="00BB0696"/>
    <w:rsid w:val="00BB086D"/>
    <w:rsid w:val="00BB0953"/>
    <w:rsid w:val="00BB0D36"/>
    <w:rsid w:val="00BB0D4B"/>
    <w:rsid w:val="00BB0DEB"/>
    <w:rsid w:val="00BB0FB2"/>
    <w:rsid w:val="00BB1186"/>
    <w:rsid w:val="00BB1435"/>
    <w:rsid w:val="00BB165A"/>
    <w:rsid w:val="00BB179A"/>
    <w:rsid w:val="00BB1AD0"/>
    <w:rsid w:val="00BB1AE5"/>
    <w:rsid w:val="00BB1CEE"/>
    <w:rsid w:val="00BB1E8E"/>
    <w:rsid w:val="00BB1EE6"/>
    <w:rsid w:val="00BB262A"/>
    <w:rsid w:val="00BB2D52"/>
    <w:rsid w:val="00BB2F41"/>
    <w:rsid w:val="00BB2FB4"/>
    <w:rsid w:val="00BB412D"/>
    <w:rsid w:val="00BB486C"/>
    <w:rsid w:val="00BB4930"/>
    <w:rsid w:val="00BB4A7A"/>
    <w:rsid w:val="00BB4C45"/>
    <w:rsid w:val="00BB4E06"/>
    <w:rsid w:val="00BB51F6"/>
    <w:rsid w:val="00BB53D9"/>
    <w:rsid w:val="00BB5756"/>
    <w:rsid w:val="00BB591E"/>
    <w:rsid w:val="00BB5BC1"/>
    <w:rsid w:val="00BB5D89"/>
    <w:rsid w:val="00BB63CA"/>
    <w:rsid w:val="00BB6605"/>
    <w:rsid w:val="00BB68AE"/>
    <w:rsid w:val="00BB6CB3"/>
    <w:rsid w:val="00BB70CA"/>
    <w:rsid w:val="00BB756E"/>
    <w:rsid w:val="00BB7937"/>
    <w:rsid w:val="00BB79C8"/>
    <w:rsid w:val="00BB7BB2"/>
    <w:rsid w:val="00BB7C87"/>
    <w:rsid w:val="00BB7C9C"/>
    <w:rsid w:val="00BB7E7C"/>
    <w:rsid w:val="00BB7F44"/>
    <w:rsid w:val="00BC0047"/>
    <w:rsid w:val="00BC04AB"/>
    <w:rsid w:val="00BC066B"/>
    <w:rsid w:val="00BC0F88"/>
    <w:rsid w:val="00BC0F8D"/>
    <w:rsid w:val="00BC1409"/>
    <w:rsid w:val="00BC1830"/>
    <w:rsid w:val="00BC19CD"/>
    <w:rsid w:val="00BC1B33"/>
    <w:rsid w:val="00BC1C07"/>
    <w:rsid w:val="00BC1DCD"/>
    <w:rsid w:val="00BC1DE2"/>
    <w:rsid w:val="00BC1FAB"/>
    <w:rsid w:val="00BC2235"/>
    <w:rsid w:val="00BC2276"/>
    <w:rsid w:val="00BC25A9"/>
    <w:rsid w:val="00BC263B"/>
    <w:rsid w:val="00BC266F"/>
    <w:rsid w:val="00BC2E1D"/>
    <w:rsid w:val="00BC34CC"/>
    <w:rsid w:val="00BC3892"/>
    <w:rsid w:val="00BC3AE4"/>
    <w:rsid w:val="00BC3DC9"/>
    <w:rsid w:val="00BC400B"/>
    <w:rsid w:val="00BC40D5"/>
    <w:rsid w:val="00BC4334"/>
    <w:rsid w:val="00BC46A4"/>
    <w:rsid w:val="00BC49D0"/>
    <w:rsid w:val="00BC4F04"/>
    <w:rsid w:val="00BC4F21"/>
    <w:rsid w:val="00BC4F2E"/>
    <w:rsid w:val="00BC50DA"/>
    <w:rsid w:val="00BC5201"/>
    <w:rsid w:val="00BC55C9"/>
    <w:rsid w:val="00BC5765"/>
    <w:rsid w:val="00BC5786"/>
    <w:rsid w:val="00BC59F7"/>
    <w:rsid w:val="00BC5BD9"/>
    <w:rsid w:val="00BC5F79"/>
    <w:rsid w:val="00BC655F"/>
    <w:rsid w:val="00BC68B3"/>
    <w:rsid w:val="00BC690E"/>
    <w:rsid w:val="00BC6F92"/>
    <w:rsid w:val="00BC71BD"/>
    <w:rsid w:val="00BC74FA"/>
    <w:rsid w:val="00BC78DB"/>
    <w:rsid w:val="00BC7A03"/>
    <w:rsid w:val="00BC7D79"/>
    <w:rsid w:val="00BC7E02"/>
    <w:rsid w:val="00BCA044"/>
    <w:rsid w:val="00BD072B"/>
    <w:rsid w:val="00BD07F3"/>
    <w:rsid w:val="00BD0F60"/>
    <w:rsid w:val="00BD126F"/>
    <w:rsid w:val="00BD148D"/>
    <w:rsid w:val="00BD16BB"/>
    <w:rsid w:val="00BD1B77"/>
    <w:rsid w:val="00BD1B7F"/>
    <w:rsid w:val="00BD21AF"/>
    <w:rsid w:val="00BD2283"/>
    <w:rsid w:val="00BD239D"/>
    <w:rsid w:val="00BD28D7"/>
    <w:rsid w:val="00BD29BC"/>
    <w:rsid w:val="00BD2B14"/>
    <w:rsid w:val="00BD2C0A"/>
    <w:rsid w:val="00BD2CC7"/>
    <w:rsid w:val="00BD2F27"/>
    <w:rsid w:val="00BD2F74"/>
    <w:rsid w:val="00BD2FA8"/>
    <w:rsid w:val="00BD2FDA"/>
    <w:rsid w:val="00BD3219"/>
    <w:rsid w:val="00BD3329"/>
    <w:rsid w:val="00BD3984"/>
    <w:rsid w:val="00BD3AA7"/>
    <w:rsid w:val="00BD3DA8"/>
    <w:rsid w:val="00BD3EB9"/>
    <w:rsid w:val="00BD4793"/>
    <w:rsid w:val="00BD4AC2"/>
    <w:rsid w:val="00BD4E2A"/>
    <w:rsid w:val="00BD503A"/>
    <w:rsid w:val="00BD50DD"/>
    <w:rsid w:val="00BD529A"/>
    <w:rsid w:val="00BD54E2"/>
    <w:rsid w:val="00BD5504"/>
    <w:rsid w:val="00BD5ECA"/>
    <w:rsid w:val="00BD6175"/>
    <w:rsid w:val="00BD6250"/>
    <w:rsid w:val="00BD653C"/>
    <w:rsid w:val="00BD6553"/>
    <w:rsid w:val="00BD6BA2"/>
    <w:rsid w:val="00BD6BDB"/>
    <w:rsid w:val="00BD6E77"/>
    <w:rsid w:val="00BD6E7C"/>
    <w:rsid w:val="00BD6EC8"/>
    <w:rsid w:val="00BD70BD"/>
    <w:rsid w:val="00BD724E"/>
    <w:rsid w:val="00BD789D"/>
    <w:rsid w:val="00BD795A"/>
    <w:rsid w:val="00BD7BD7"/>
    <w:rsid w:val="00BD7C70"/>
    <w:rsid w:val="00BE0014"/>
    <w:rsid w:val="00BE0528"/>
    <w:rsid w:val="00BE05CD"/>
    <w:rsid w:val="00BE061F"/>
    <w:rsid w:val="00BE0B07"/>
    <w:rsid w:val="00BE1280"/>
    <w:rsid w:val="00BE1318"/>
    <w:rsid w:val="00BE21FB"/>
    <w:rsid w:val="00BE243B"/>
    <w:rsid w:val="00BE247B"/>
    <w:rsid w:val="00BE2DA0"/>
    <w:rsid w:val="00BE320C"/>
    <w:rsid w:val="00BE32C5"/>
    <w:rsid w:val="00BE33C4"/>
    <w:rsid w:val="00BE366A"/>
    <w:rsid w:val="00BE385C"/>
    <w:rsid w:val="00BE390E"/>
    <w:rsid w:val="00BE3918"/>
    <w:rsid w:val="00BE3CD3"/>
    <w:rsid w:val="00BE3CD7"/>
    <w:rsid w:val="00BE4001"/>
    <w:rsid w:val="00BE4394"/>
    <w:rsid w:val="00BE4429"/>
    <w:rsid w:val="00BE47B2"/>
    <w:rsid w:val="00BE48D2"/>
    <w:rsid w:val="00BE50D1"/>
    <w:rsid w:val="00BE52A4"/>
    <w:rsid w:val="00BE53AF"/>
    <w:rsid w:val="00BE53C3"/>
    <w:rsid w:val="00BE5F3E"/>
    <w:rsid w:val="00BE6009"/>
    <w:rsid w:val="00BE67BE"/>
    <w:rsid w:val="00BE6AA5"/>
    <w:rsid w:val="00BE6C03"/>
    <w:rsid w:val="00BE6F8B"/>
    <w:rsid w:val="00BE77B1"/>
    <w:rsid w:val="00BE7CBA"/>
    <w:rsid w:val="00BF0149"/>
    <w:rsid w:val="00BF01A6"/>
    <w:rsid w:val="00BF04D7"/>
    <w:rsid w:val="00BF064D"/>
    <w:rsid w:val="00BF0688"/>
    <w:rsid w:val="00BF06E9"/>
    <w:rsid w:val="00BF0914"/>
    <w:rsid w:val="00BF0A95"/>
    <w:rsid w:val="00BF0AEC"/>
    <w:rsid w:val="00BF0B5B"/>
    <w:rsid w:val="00BF0D20"/>
    <w:rsid w:val="00BF0E6C"/>
    <w:rsid w:val="00BF0F08"/>
    <w:rsid w:val="00BF140F"/>
    <w:rsid w:val="00BF1786"/>
    <w:rsid w:val="00BF1928"/>
    <w:rsid w:val="00BF1C1D"/>
    <w:rsid w:val="00BF1E1C"/>
    <w:rsid w:val="00BF1F64"/>
    <w:rsid w:val="00BF1FBF"/>
    <w:rsid w:val="00BF2059"/>
    <w:rsid w:val="00BF210F"/>
    <w:rsid w:val="00BF22C4"/>
    <w:rsid w:val="00BF2BAE"/>
    <w:rsid w:val="00BF2D85"/>
    <w:rsid w:val="00BF3002"/>
    <w:rsid w:val="00BF3141"/>
    <w:rsid w:val="00BF3260"/>
    <w:rsid w:val="00BF398F"/>
    <w:rsid w:val="00BF3DC1"/>
    <w:rsid w:val="00BF3EC6"/>
    <w:rsid w:val="00BF4216"/>
    <w:rsid w:val="00BF4300"/>
    <w:rsid w:val="00BF45AF"/>
    <w:rsid w:val="00BF4903"/>
    <w:rsid w:val="00BF50A2"/>
    <w:rsid w:val="00BF5184"/>
    <w:rsid w:val="00BF5483"/>
    <w:rsid w:val="00BF568F"/>
    <w:rsid w:val="00BF58AE"/>
    <w:rsid w:val="00BF5E80"/>
    <w:rsid w:val="00BF5F22"/>
    <w:rsid w:val="00BF6152"/>
    <w:rsid w:val="00BF6228"/>
    <w:rsid w:val="00BF62CB"/>
    <w:rsid w:val="00BF6372"/>
    <w:rsid w:val="00BF67EE"/>
    <w:rsid w:val="00BF68EA"/>
    <w:rsid w:val="00BF6967"/>
    <w:rsid w:val="00BF6995"/>
    <w:rsid w:val="00BF6A74"/>
    <w:rsid w:val="00BF6AFC"/>
    <w:rsid w:val="00BF6D35"/>
    <w:rsid w:val="00BF6F8B"/>
    <w:rsid w:val="00BF6FB9"/>
    <w:rsid w:val="00BF7012"/>
    <w:rsid w:val="00BF7040"/>
    <w:rsid w:val="00BF70E2"/>
    <w:rsid w:val="00BF74D7"/>
    <w:rsid w:val="00BF7637"/>
    <w:rsid w:val="00BF782D"/>
    <w:rsid w:val="00BF78BC"/>
    <w:rsid w:val="00BF7A1B"/>
    <w:rsid w:val="00BF7F87"/>
    <w:rsid w:val="00C00028"/>
    <w:rsid w:val="00C0028B"/>
    <w:rsid w:val="00C002A2"/>
    <w:rsid w:val="00C0052D"/>
    <w:rsid w:val="00C0058F"/>
    <w:rsid w:val="00C007F5"/>
    <w:rsid w:val="00C00837"/>
    <w:rsid w:val="00C00B5A"/>
    <w:rsid w:val="00C00CB0"/>
    <w:rsid w:val="00C011DF"/>
    <w:rsid w:val="00C0139B"/>
    <w:rsid w:val="00C015CC"/>
    <w:rsid w:val="00C016D4"/>
    <w:rsid w:val="00C0190A"/>
    <w:rsid w:val="00C01D49"/>
    <w:rsid w:val="00C01EDD"/>
    <w:rsid w:val="00C01FDE"/>
    <w:rsid w:val="00C02041"/>
    <w:rsid w:val="00C0207E"/>
    <w:rsid w:val="00C0222E"/>
    <w:rsid w:val="00C027DE"/>
    <w:rsid w:val="00C02CE7"/>
    <w:rsid w:val="00C02F83"/>
    <w:rsid w:val="00C03175"/>
    <w:rsid w:val="00C034F5"/>
    <w:rsid w:val="00C03845"/>
    <w:rsid w:val="00C03D55"/>
    <w:rsid w:val="00C03EE1"/>
    <w:rsid w:val="00C040DF"/>
    <w:rsid w:val="00C0443F"/>
    <w:rsid w:val="00C0445C"/>
    <w:rsid w:val="00C04624"/>
    <w:rsid w:val="00C047F6"/>
    <w:rsid w:val="00C04BBA"/>
    <w:rsid w:val="00C04C09"/>
    <w:rsid w:val="00C04C9C"/>
    <w:rsid w:val="00C04DCF"/>
    <w:rsid w:val="00C04E61"/>
    <w:rsid w:val="00C04F5A"/>
    <w:rsid w:val="00C050C6"/>
    <w:rsid w:val="00C05190"/>
    <w:rsid w:val="00C052F1"/>
    <w:rsid w:val="00C0545D"/>
    <w:rsid w:val="00C0558B"/>
    <w:rsid w:val="00C05895"/>
    <w:rsid w:val="00C05CDA"/>
    <w:rsid w:val="00C06088"/>
    <w:rsid w:val="00C06177"/>
    <w:rsid w:val="00C067F3"/>
    <w:rsid w:val="00C06C22"/>
    <w:rsid w:val="00C06E5C"/>
    <w:rsid w:val="00C07005"/>
    <w:rsid w:val="00C07062"/>
    <w:rsid w:val="00C0728C"/>
    <w:rsid w:val="00C075EA"/>
    <w:rsid w:val="00C07B09"/>
    <w:rsid w:val="00C07B7A"/>
    <w:rsid w:val="00C07C6F"/>
    <w:rsid w:val="00C07E58"/>
    <w:rsid w:val="00C07FAC"/>
    <w:rsid w:val="00C101D1"/>
    <w:rsid w:val="00C10477"/>
    <w:rsid w:val="00C104A5"/>
    <w:rsid w:val="00C10506"/>
    <w:rsid w:val="00C10A68"/>
    <w:rsid w:val="00C10BA5"/>
    <w:rsid w:val="00C11170"/>
    <w:rsid w:val="00C11177"/>
    <w:rsid w:val="00C111BD"/>
    <w:rsid w:val="00C113F0"/>
    <w:rsid w:val="00C116C5"/>
    <w:rsid w:val="00C119A9"/>
    <w:rsid w:val="00C11E1C"/>
    <w:rsid w:val="00C11EAD"/>
    <w:rsid w:val="00C11F54"/>
    <w:rsid w:val="00C12167"/>
    <w:rsid w:val="00C122A8"/>
    <w:rsid w:val="00C1259D"/>
    <w:rsid w:val="00C1265B"/>
    <w:rsid w:val="00C1299F"/>
    <w:rsid w:val="00C12B28"/>
    <w:rsid w:val="00C132D3"/>
    <w:rsid w:val="00C138A1"/>
    <w:rsid w:val="00C13B87"/>
    <w:rsid w:val="00C14317"/>
    <w:rsid w:val="00C1485A"/>
    <w:rsid w:val="00C149EA"/>
    <w:rsid w:val="00C14D83"/>
    <w:rsid w:val="00C14D85"/>
    <w:rsid w:val="00C15505"/>
    <w:rsid w:val="00C15628"/>
    <w:rsid w:val="00C157E6"/>
    <w:rsid w:val="00C158DA"/>
    <w:rsid w:val="00C15A24"/>
    <w:rsid w:val="00C15E23"/>
    <w:rsid w:val="00C1643D"/>
    <w:rsid w:val="00C164BA"/>
    <w:rsid w:val="00C165BD"/>
    <w:rsid w:val="00C16BE1"/>
    <w:rsid w:val="00C16C79"/>
    <w:rsid w:val="00C16C93"/>
    <w:rsid w:val="00C16DCA"/>
    <w:rsid w:val="00C1714C"/>
    <w:rsid w:val="00C171D4"/>
    <w:rsid w:val="00C17283"/>
    <w:rsid w:val="00C172F3"/>
    <w:rsid w:val="00C17312"/>
    <w:rsid w:val="00C1736D"/>
    <w:rsid w:val="00C17501"/>
    <w:rsid w:val="00C17725"/>
    <w:rsid w:val="00C17971"/>
    <w:rsid w:val="00C17CFA"/>
    <w:rsid w:val="00C17F59"/>
    <w:rsid w:val="00C20177"/>
    <w:rsid w:val="00C20245"/>
    <w:rsid w:val="00C2038E"/>
    <w:rsid w:val="00C205CB"/>
    <w:rsid w:val="00C2068C"/>
    <w:rsid w:val="00C206F7"/>
    <w:rsid w:val="00C207AA"/>
    <w:rsid w:val="00C209E5"/>
    <w:rsid w:val="00C20C6B"/>
    <w:rsid w:val="00C20D4B"/>
    <w:rsid w:val="00C20F22"/>
    <w:rsid w:val="00C21041"/>
    <w:rsid w:val="00C2111D"/>
    <w:rsid w:val="00C21702"/>
    <w:rsid w:val="00C21986"/>
    <w:rsid w:val="00C21CD6"/>
    <w:rsid w:val="00C21E11"/>
    <w:rsid w:val="00C21E7B"/>
    <w:rsid w:val="00C21F2F"/>
    <w:rsid w:val="00C22021"/>
    <w:rsid w:val="00C221B0"/>
    <w:rsid w:val="00C2220A"/>
    <w:rsid w:val="00C225A1"/>
    <w:rsid w:val="00C22871"/>
    <w:rsid w:val="00C22BBE"/>
    <w:rsid w:val="00C22E3A"/>
    <w:rsid w:val="00C23330"/>
    <w:rsid w:val="00C234A9"/>
    <w:rsid w:val="00C23589"/>
    <w:rsid w:val="00C23883"/>
    <w:rsid w:val="00C23990"/>
    <w:rsid w:val="00C24250"/>
    <w:rsid w:val="00C242F3"/>
    <w:rsid w:val="00C24581"/>
    <w:rsid w:val="00C2462A"/>
    <w:rsid w:val="00C253DD"/>
    <w:rsid w:val="00C25833"/>
    <w:rsid w:val="00C2591C"/>
    <w:rsid w:val="00C25EC1"/>
    <w:rsid w:val="00C25F45"/>
    <w:rsid w:val="00C2644D"/>
    <w:rsid w:val="00C2676A"/>
    <w:rsid w:val="00C26794"/>
    <w:rsid w:val="00C267DB"/>
    <w:rsid w:val="00C26A66"/>
    <w:rsid w:val="00C26AEF"/>
    <w:rsid w:val="00C26E94"/>
    <w:rsid w:val="00C2718E"/>
    <w:rsid w:val="00C271D1"/>
    <w:rsid w:val="00C275CB"/>
    <w:rsid w:val="00C27B2A"/>
    <w:rsid w:val="00C3008A"/>
    <w:rsid w:val="00C30341"/>
    <w:rsid w:val="00C303DA"/>
    <w:rsid w:val="00C30BC0"/>
    <w:rsid w:val="00C3119A"/>
    <w:rsid w:val="00C313F1"/>
    <w:rsid w:val="00C31585"/>
    <w:rsid w:val="00C31660"/>
    <w:rsid w:val="00C31761"/>
    <w:rsid w:val="00C31CD4"/>
    <w:rsid w:val="00C31E21"/>
    <w:rsid w:val="00C322C9"/>
    <w:rsid w:val="00C32410"/>
    <w:rsid w:val="00C326D1"/>
    <w:rsid w:val="00C32C24"/>
    <w:rsid w:val="00C3300C"/>
    <w:rsid w:val="00C33045"/>
    <w:rsid w:val="00C330A6"/>
    <w:rsid w:val="00C332F6"/>
    <w:rsid w:val="00C33335"/>
    <w:rsid w:val="00C3341D"/>
    <w:rsid w:val="00C3397E"/>
    <w:rsid w:val="00C33BFD"/>
    <w:rsid w:val="00C33EDE"/>
    <w:rsid w:val="00C34452"/>
    <w:rsid w:val="00C34550"/>
    <w:rsid w:val="00C34B14"/>
    <w:rsid w:val="00C34BF3"/>
    <w:rsid w:val="00C34C43"/>
    <w:rsid w:val="00C35344"/>
    <w:rsid w:val="00C35369"/>
    <w:rsid w:val="00C354C0"/>
    <w:rsid w:val="00C359F1"/>
    <w:rsid w:val="00C35A17"/>
    <w:rsid w:val="00C35AF3"/>
    <w:rsid w:val="00C35B31"/>
    <w:rsid w:val="00C35B8F"/>
    <w:rsid w:val="00C35D8F"/>
    <w:rsid w:val="00C35F38"/>
    <w:rsid w:val="00C360EF"/>
    <w:rsid w:val="00C369F1"/>
    <w:rsid w:val="00C36C77"/>
    <w:rsid w:val="00C36E6D"/>
    <w:rsid w:val="00C36E99"/>
    <w:rsid w:val="00C36EA6"/>
    <w:rsid w:val="00C3718E"/>
    <w:rsid w:val="00C3748F"/>
    <w:rsid w:val="00C37764"/>
    <w:rsid w:val="00C378A4"/>
    <w:rsid w:val="00C37AB1"/>
    <w:rsid w:val="00C4013B"/>
    <w:rsid w:val="00C40188"/>
    <w:rsid w:val="00C40489"/>
    <w:rsid w:val="00C4067F"/>
    <w:rsid w:val="00C413FE"/>
    <w:rsid w:val="00C4151E"/>
    <w:rsid w:val="00C417E8"/>
    <w:rsid w:val="00C41BEB"/>
    <w:rsid w:val="00C41C8D"/>
    <w:rsid w:val="00C41FB6"/>
    <w:rsid w:val="00C42148"/>
    <w:rsid w:val="00C42188"/>
    <w:rsid w:val="00C421D6"/>
    <w:rsid w:val="00C42387"/>
    <w:rsid w:val="00C42404"/>
    <w:rsid w:val="00C42572"/>
    <w:rsid w:val="00C42BF1"/>
    <w:rsid w:val="00C42FD7"/>
    <w:rsid w:val="00C4304C"/>
    <w:rsid w:val="00C43059"/>
    <w:rsid w:val="00C43245"/>
    <w:rsid w:val="00C43BFE"/>
    <w:rsid w:val="00C43ED7"/>
    <w:rsid w:val="00C44227"/>
    <w:rsid w:val="00C44D3F"/>
    <w:rsid w:val="00C44F61"/>
    <w:rsid w:val="00C45068"/>
    <w:rsid w:val="00C450E5"/>
    <w:rsid w:val="00C45436"/>
    <w:rsid w:val="00C4554C"/>
    <w:rsid w:val="00C458D5"/>
    <w:rsid w:val="00C45948"/>
    <w:rsid w:val="00C459CA"/>
    <w:rsid w:val="00C461F2"/>
    <w:rsid w:val="00C463AA"/>
    <w:rsid w:val="00C465D9"/>
    <w:rsid w:val="00C46CB3"/>
    <w:rsid w:val="00C470BD"/>
    <w:rsid w:val="00C47550"/>
    <w:rsid w:val="00C4795D"/>
    <w:rsid w:val="00C47F40"/>
    <w:rsid w:val="00C502DC"/>
    <w:rsid w:val="00C502EF"/>
    <w:rsid w:val="00C50447"/>
    <w:rsid w:val="00C504A7"/>
    <w:rsid w:val="00C50A26"/>
    <w:rsid w:val="00C50C8E"/>
    <w:rsid w:val="00C50D02"/>
    <w:rsid w:val="00C50E37"/>
    <w:rsid w:val="00C5100D"/>
    <w:rsid w:val="00C51145"/>
    <w:rsid w:val="00C51DE4"/>
    <w:rsid w:val="00C52082"/>
    <w:rsid w:val="00C52634"/>
    <w:rsid w:val="00C52836"/>
    <w:rsid w:val="00C52E47"/>
    <w:rsid w:val="00C531C4"/>
    <w:rsid w:val="00C532B8"/>
    <w:rsid w:val="00C535AE"/>
    <w:rsid w:val="00C537E6"/>
    <w:rsid w:val="00C53838"/>
    <w:rsid w:val="00C538A2"/>
    <w:rsid w:val="00C53B06"/>
    <w:rsid w:val="00C53D21"/>
    <w:rsid w:val="00C53D69"/>
    <w:rsid w:val="00C550F8"/>
    <w:rsid w:val="00C5542E"/>
    <w:rsid w:val="00C55472"/>
    <w:rsid w:val="00C55AF9"/>
    <w:rsid w:val="00C56058"/>
    <w:rsid w:val="00C5617A"/>
    <w:rsid w:val="00C56472"/>
    <w:rsid w:val="00C5662E"/>
    <w:rsid w:val="00C56740"/>
    <w:rsid w:val="00C56BD8"/>
    <w:rsid w:val="00C56BFC"/>
    <w:rsid w:val="00C5701C"/>
    <w:rsid w:val="00C57348"/>
    <w:rsid w:val="00C5736B"/>
    <w:rsid w:val="00C5750A"/>
    <w:rsid w:val="00C57B38"/>
    <w:rsid w:val="00C605CB"/>
    <w:rsid w:val="00C606C5"/>
    <w:rsid w:val="00C61145"/>
    <w:rsid w:val="00C6116C"/>
    <w:rsid w:val="00C61AC6"/>
    <w:rsid w:val="00C61C11"/>
    <w:rsid w:val="00C61EFB"/>
    <w:rsid w:val="00C621C1"/>
    <w:rsid w:val="00C6223E"/>
    <w:rsid w:val="00C622DE"/>
    <w:rsid w:val="00C625F5"/>
    <w:rsid w:val="00C6283B"/>
    <w:rsid w:val="00C62DD7"/>
    <w:rsid w:val="00C62F93"/>
    <w:rsid w:val="00C6305E"/>
    <w:rsid w:val="00C63391"/>
    <w:rsid w:val="00C63475"/>
    <w:rsid w:val="00C63B77"/>
    <w:rsid w:val="00C63E78"/>
    <w:rsid w:val="00C6400D"/>
    <w:rsid w:val="00C645FA"/>
    <w:rsid w:val="00C64A8D"/>
    <w:rsid w:val="00C6522F"/>
    <w:rsid w:val="00C6562D"/>
    <w:rsid w:val="00C65B5C"/>
    <w:rsid w:val="00C65DAC"/>
    <w:rsid w:val="00C660AE"/>
    <w:rsid w:val="00C66354"/>
    <w:rsid w:val="00C66788"/>
    <w:rsid w:val="00C66AE8"/>
    <w:rsid w:val="00C66B8E"/>
    <w:rsid w:val="00C66C6F"/>
    <w:rsid w:val="00C66DFA"/>
    <w:rsid w:val="00C66FCA"/>
    <w:rsid w:val="00C67050"/>
    <w:rsid w:val="00C6706E"/>
    <w:rsid w:val="00C67166"/>
    <w:rsid w:val="00C675FA"/>
    <w:rsid w:val="00C67C91"/>
    <w:rsid w:val="00C702C7"/>
    <w:rsid w:val="00C705C6"/>
    <w:rsid w:val="00C70B92"/>
    <w:rsid w:val="00C70DAD"/>
    <w:rsid w:val="00C714D8"/>
    <w:rsid w:val="00C7160E"/>
    <w:rsid w:val="00C71712"/>
    <w:rsid w:val="00C71E29"/>
    <w:rsid w:val="00C7229E"/>
    <w:rsid w:val="00C72340"/>
    <w:rsid w:val="00C725BE"/>
    <w:rsid w:val="00C7282A"/>
    <w:rsid w:val="00C72A27"/>
    <w:rsid w:val="00C72BA1"/>
    <w:rsid w:val="00C72DC3"/>
    <w:rsid w:val="00C73324"/>
    <w:rsid w:val="00C733D9"/>
    <w:rsid w:val="00C733E1"/>
    <w:rsid w:val="00C73CA6"/>
    <w:rsid w:val="00C74179"/>
    <w:rsid w:val="00C74232"/>
    <w:rsid w:val="00C74265"/>
    <w:rsid w:val="00C7429C"/>
    <w:rsid w:val="00C746BE"/>
    <w:rsid w:val="00C74D6C"/>
    <w:rsid w:val="00C74EBC"/>
    <w:rsid w:val="00C75648"/>
    <w:rsid w:val="00C75A95"/>
    <w:rsid w:val="00C75FFE"/>
    <w:rsid w:val="00C760D8"/>
    <w:rsid w:val="00C76145"/>
    <w:rsid w:val="00C7624F"/>
    <w:rsid w:val="00C762EB"/>
    <w:rsid w:val="00C7674A"/>
    <w:rsid w:val="00C7689C"/>
    <w:rsid w:val="00C76B5E"/>
    <w:rsid w:val="00C76B9A"/>
    <w:rsid w:val="00C7733E"/>
    <w:rsid w:val="00C776A0"/>
    <w:rsid w:val="00C7771A"/>
    <w:rsid w:val="00C7784E"/>
    <w:rsid w:val="00C77B57"/>
    <w:rsid w:val="00C77BB4"/>
    <w:rsid w:val="00C77CAE"/>
    <w:rsid w:val="00C77CCD"/>
    <w:rsid w:val="00C77F4B"/>
    <w:rsid w:val="00C80060"/>
    <w:rsid w:val="00C80477"/>
    <w:rsid w:val="00C80598"/>
    <w:rsid w:val="00C80993"/>
    <w:rsid w:val="00C80C25"/>
    <w:rsid w:val="00C80EE0"/>
    <w:rsid w:val="00C81723"/>
    <w:rsid w:val="00C817A3"/>
    <w:rsid w:val="00C8198D"/>
    <w:rsid w:val="00C81C81"/>
    <w:rsid w:val="00C81E53"/>
    <w:rsid w:val="00C8223A"/>
    <w:rsid w:val="00C82467"/>
    <w:rsid w:val="00C82911"/>
    <w:rsid w:val="00C82A3B"/>
    <w:rsid w:val="00C82BA2"/>
    <w:rsid w:val="00C831D3"/>
    <w:rsid w:val="00C83CD6"/>
    <w:rsid w:val="00C83EFE"/>
    <w:rsid w:val="00C8416E"/>
    <w:rsid w:val="00C845E9"/>
    <w:rsid w:val="00C84939"/>
    <w:rsid w:val="00C84988"/>
    <w:rsid w:val="00C85076"/>
    <w:rsid w:val="00C851F4"/>
    <w:rsid w:val="00C852D5"/>
    <w:rsid w:val="00C85A05"/>
    <w:rsid w:val="00C85AC0"/>
    <w:rsid w:val="00C85D99"/>
    <w:rsid w:val="00C86226"/>
    <w:rsid w:val="00C8622F"/>
    <w:rsid w:val="00C8624E"/>
    <w:rsid w:val="00C8633C"/>
    <w:rsid w:val="00C86540"/>
    <w:rsid w:val="00C865DF"/>
    <w:rsid w:val="00C8677C"/>
    <w:rsid w:val="00C86949"/>
    <w:rsid w:val="00C86EAA"/>
    <w:rsid w:val="00C8703B"/>
    <w:rsid w:val="00C8715D"/>
    <w:rsid w:val="00C8789A"/>
    <w:rsid w:val="00C87AC7"/>
    <w:rsid w:val="00C87AFA"/>
    <w:rsid w:val="00C87C93"/>
    <w:rsid w:val="00C87CC4"/>
    <w:rsid w:val="00C90127"/>
    <w:rsid w:val="00C901B9"/>
    <w:rsid w:val="00C90661"/>
    <w:rsid w:val="00C906C7"/>
    <w:rsid w:val="00C907F8"/>
    <w:rsid w:val="00C90C7A"/>
    <w:rsid w:val="00C90FD6"/>
    <w:rsid w:val="00C9132C"/>
    <w:rsid w:val="00C9192F"/>
    <w:rsid w:val="00C91A1B"/>
    <w:rsid w:val="00C91C54"/>
    <w:rsid w:val="00C91CB7"/>
    <w:rsid w:val="00C91D31"/>
    <w:rsid w:val="00C9214A"/>
    <w:rsid w:val="00C92439"/>
    <w:rsid w:val="00C92487"/>
    <w:rsid w:val="00C924D4"/>
    <w:rsid w:val="00C92833"/>
    <w:rsid w:val="00C92AE9"/>
    <w:rsid w:val="00C92C82"/>
    <w:rsid w:val="00C92D49"/>
    <w:rsid w:val="00C92EA9"/>
    <w:rsid w:val="00C93029"/>
    <w:rsid w:val="00C933B5"/>
    <w:rsid w:val="00C935D5"/>
    <w:rsid w:val="00C93F35"/>
    <w:rsid w:val="00C93F3B"/>
    <w:rsid w:val="00C93F96"/>
    <w:rsid w:val="00C944C6"/>
    <w:rsid w:val="00C9477F"/>
    <w:rsid w:val="00C94A44"/>
    <w:rsid w:val="00C94E31"/>
    <w:rsid w:val="00C94E7C"/>
    <w:rsid w:val="00C95086"/>
    <w:rsid w:val="00C953B3"/>
    <w:rsid w:val="00C95679"/>
    <w:rsid w:val="00C9577F"/>
    <w:rsid w:val="00C95A89"/>
    <w:rsid w:val="00C95F12"/>
    <w:rsid w:val="00C96381"/>
    <w:rsid w:val="00C9671B"/>
    <w:rsid w:val="00C96B13"/>
    <w:rsid w:val="00C96B72"/>
    <w:rsid w:val="00C96CFC"/>
    <w:rsid w:val="00C97556"/>
    <w:rsid w:val="00C97C7B"/>
    <w:rsid w:val="00C97DDF"/>
    <w:rsid w:val="00C97ED5"/>
    <w:rsid w:val="00CA04B7"/>
    <w:rsid w:val="00CA06AC"/>
    <w:rsid w:val="00CA06E7"/>
    <w:rsid w:val="00CA0756"/>
    <w:rsid w:val="00CA0AE7"/>
    <w:rsid w:val="00CA128D"/>
    <w:rsid w:val="00CA1B13"/>
    <w:rsid w:val="00CA1BA0"/>
    <w:rsid w:val="00CA1EFF"/>
    <w:rsid w:val="00CA2291"/>
    <w:rsid w:val="00CA271B"/>
    <w:rsid w:val="00CA27A4"/>
    <w:rsid w:val="00CA2BF4"/>
    <w:rsid w:val="00CA2F45"/>
    <w:rsid w:val="00CA3169"/>
    <w:rsid w:val="00CA354B"/>
    <w:rsid w:val="00CA35D6"/>
    <w:rsid w:val="00CA3B82"/>
    <w:rsid w:val="00CA3BB1"/>
    <w:rsid w:val="00CA3C1E"/>
    <w:rsid w:val="00CA3C8F"/>
    <w:rsid w:val="00CA4125"/>
    <w:rsid w:val="00CA427E"/>
    <w:rsid w:val="00CA47D5"/>
    <w:rsid w:val="00CA48E6"/>
    <w:rsid w:val="00CA4D05"/>
    <w:rsid w:val="00CA4E63"/>
    <w:rsid w:val="00CA501C"/>
    <w:rsid w:val="00CA51CB"/>
    <w:rsid w:val="00CA5537"/>
    <w:rsid w:val="00CA5A91"/>
    <w:rsid w:val="00CA5B05"/>
    <w:rsid w:val="00CA5FD8"/>
    <w:rsid w:val="00CA6061"/>
    <w:rsid w:val="00CA6141"/>
    <w:rsid w:val="00CA6278"/>
    <w:rsid w:val="00CA6534"/>
    <w:rsid w:val="00CA65DA"/>
    <w:rsid w:val="00CA679B"/>
    <w:rsid w:val="00CA6F71"/>
    <w:rsid w:val="00CA7357"/>
    <w:rsid w:val="00CA75D3"/>
    <w:rsid w:val="00CA7855"/>
    <w:rsid w:val="00CA7A43"/>
    <w:rsid w:val="00CA7EC1"/>
    <w:rsid w:val="00CB02DC"/>
    <w:rsid w:val="00CB043C"/>
    <w:rsid w:val="00CB0D40"/>
    <w:rsid w:val="00CB10B1"/>
    <w:rsid w:val="00CB1364"/>
    <w:rsid w:val="00CB15F8"/>
    <w:rsid w:val="00CB16D4"/>
    <w:rsid w:val="00CB1AA9"/>
    <w:rsid w:val="00CB1BC5"/>
    <w:rsid w:val="00CB1DF6"/>
    <w:rsid w:val="00CB2107"/>
    <w:rsid w:val="00CB21E2"/>
    <w:rsid w:val="00CB2255"/>
    <w:rsid w:val="00CB22BE"/>
    <w:rsid w:val="00CB2304"/>
    <w:rsid w:val="00CB2330"/>
    <w:rsid w:val="00CB23B8"/>
    <w:rsid w:val="00CB2442"/>
    <w:rsid w:val="00CB25A2"/>
    <w:rsid w:val="00CB2D79"/>
    <w:rsid w:val="00CB2E42"/>
    <w:rsid w:val="00CB35E6"/>
    <w:rsid w:val="00CB3640"/>
    <w:rsid w:val="00CB3772"/>
    <w:rsid w:val="00CB3AF1"/>
    <w:rsid w:val="00CB3B27"/>
    <w:rsid w:val="00CB3B80"/>
    <w:rsid w:val="00CB3CD5"/>
    <w:rsid w:val="00CB3EEB"/>
    <w:rsid w:val="00CB3F04"/>
    <w:rsid w:val="00CB4083"/>
    <w:rsid w:val="00CB470C"/>
    <w:rsid w:val="00CB49E2"/>
    <w:rsid w:val="00CB4B7A"/>
    <w:rsid w:val="00CB4C59"/>
    <w:rsid w:val="00CB5445"/>
    <w:rsid w:val="00CB564A"/>
    <w:rsid w:val="00CB569A"/>
    <w:rsid w:val="00CB5951"/>
    <w:rsid w:val="00CB59CF"/>
    <w:rsid w:val="00CB6571"/>
    <w:rsid w:val="00CB6C50"/>
    <w:rsid w:val="00CB6DC1"/>
    <w:rsid w:val="00CB70C9"/>
    <w:rsid w:val="00CB7833"/>
    <w:rsid w:val="00CB7974"/>
    <w:rsid w:val="00CC022A"/>
    <w:rsid w:val="00CC0546"/>
    <w:rsid w:val="00CC0797"/>
    <w:rsid w:val="00CC09AF"/>
    <w:rsid w:val="00CC0AB7"/>
    <w:rsid w:val="00CC101B"/>
    <w:rsid w:val="00CC14E6"/>
    <w:rsid w:val="00CC1D30"/>
    <w:rsid w:val="00CC26EA"/>
    <w:rsid w:val="00CC27C7"/>
    <w:rsid w:val="00CC2A1A"/>
    <w:rsid w:val="00CC2BCE"/>
    <w:rsid w:val="00CC2CAB"/>
    <w:rsid w:val="00CC3047"/>
    <w:rsid w:val="00CC3122"/>
    <w:rsid w:val="00CC313B"/>
    <w:rsid w:val="00CC31FD"/>
    <w:rsid w:val="00CC37EC"/>
    <w:rsid w:val="00CC38A3"/>
    <w:rsid w:val="00CC392E"/>
    <w:rsid w:val="00CC4179"/>
    <w:rsid w:val="00CC4A0F"/>
    <w:rsid w:val="00CC4D21"/>
    <w:rsid w:val="00CC4D82"/>
    <w:rsid w:val="00CC57A9"/>
    <w:rsid w:val="00CC5812"/>
    <w:rsid w:val="00CC5A9C"/>
    <w:rsid w:val="00CC5E5B"/>
    <w:rsid w:val="00CC5E8F"/>
    <w:rsid w:val="00CC6049"/>
    <w:rsid w:val="00CC62B7"/>
    <w:rsid w:val="00CC6F1D"/>
    <w:rsid w:val="00CC702D"/>
    <w:rsid w:val="00CC7039"/>
    <w:rsid w:val="00CC721D"/>
    <w:rsid w:val="00CC73F4"/>
    <w:rsid w:val="00CC7525"/>
    <w:rsid w:val="00CC75C4"/>
    <w:rsid w:val="00CC75FD"/>
    <w:rsid w:val="00CC7684"/>
    <w:rsid w:val="00CD0105"/>
    <w:rsid w:val="00CD037E"/>
    <w:rsid w:val="00CD049A"/>
    <w:rsid w:val="00CD0A1B"/>
    <w:rsid w:val="00CD109B"/>
    <w:rsid w:val="00CD1145"/>
    <w:rsid w:val="00CD17BF"/>
    <w:rsid w:val="00CD1880"/>
    <w:rsid w:val="00CD18AE"/>
    <w:rsid w:val="00CD1AC6"/>
    <w:rsid w:val="00CD1D0D"/>
    <w:rsid w:val="00CD1FF3"/>
    <w:rsid w:val="00CD22D0"/>
    <w:rsid w:val="00CD2489"/>
    <w:rsid w:val="00CD26A2"/>
    <w:rsid w:val="00CD2B87"/>
    <w:rsid w:val="00CD2CC3"/>
    <w:rsid w:val="00CD2D7B"/>
    <w:rsid w:val="00CD2F97"/>
    <w:rsid w:val="00CD3543"/>
    <w:rsid w:val="00CD3681"/>
    <w:rsid w:val="00CD3728"/>
    <w:rsid w:val="00CD3F22"/>
    <w:rsid w:val="00CD413B"/>
    <w:rsid w:val="00CD4525"/>
    <w:rsid w:val="00CD48EF"/>
    <w:rsid w:val="00CD5701"/>
    <w:rsid w:val="00CD5FA6"/>
    <w:rsid w:val="00CD6164"/>
    <w:rsid w:val="00CD6221"/>
    <w:rsid w:val="00CD6245"/>
    <w:rsid w:val="00CD64AA"/>
    <w:rsid w:val="00CD6B7E"/>
    <w:rsid w:val="00CD70B1"/>
    <w:rsid w:val="00CD71F4"/>
    <w:rsid w:val="00CD757C"/>
    <w:rsid w:val="00CD77D2"/>
    <w:rsid w:val="00CD79F5"/>
    <w:rsid w:val="00CD7B5D"/>
    <w:rsid w:val="00CD7CC6"/>
    <w:rsid w:val="00CD7FDB"/>
    <w:rsid w:val="00CE02A5"/>
    <w:rsid w:val="00CE02CD"/>
    <w:rsid w:val="00CE0577"/>
    <w:rsid w:val="00CE069D"/>
    <w:rsid w:val="00CE0B7C"/>
    <w:rsid w:val="00CE0DE9"/>
    <w:rsid w:val="00CE16CD"/>
    <w:rsid w:val="00CE1973"/>
    <w:rsid w:val="00CE19C5"/>
    <w:rsid w:val="00CE19ED"/>
    <w:rsid w:val="00CE1A24"/>
    <w:rsid w:val="00CE1D9F"/>
    <w:rsid w:val="00CE2267"/>
    <w:rsid w:val="00CE29D3"/>
    <w:rsid w:val="00CE2B94"/>
    <w:rsid w:val="00CE2BBE"/>
    <w:rsid w:val="00CE2CD9"/>
    <w:rsid w:val="00CE2DA6"/>
    <w:rsid w:val="00CE2DC9"/>
    <w:rsid w:val="00CE3009"/>
    <w:rsid w:val="00CE3189"/>
    <w:rsid w:val="00CE31E8"/>
    <w:rsid w:val="00CE3805"/>
    <w:rsid w:val="00CE3AC8"/>
    <w:rsid w:val="00CE4049"/>
    <w:rsid w:val="00CE4278"/>
    <w:rsid w:val="00CE4374"/>
    <w:rsid w:val="00CE4400"/>
    <w:rsid w:val="00CE4437"/>
    <w:rsid w:val="00CE44D4"/>
    <w:rsid w:val="00CE48DE"/>
    <w:rsid w:val="00CE4A21"/>
    <w:rsid w:val="00CE4B39"/>
    <w:rsid w:val="00CE4E80"/>
    <w:rsid w:val="00CE4E9E"/>
    <w:rsid w:val="00CE4F70"/>
    <w:rsid w:val="00CE5187"/>
    <w:rsid w:val="00CE57AF"/>
    <w:rsid w:val="00CE599F"/>
    <w:rsid w:val="00CE5CB8"/>
    <w:rsid w:val="00CE5D15"/>
    <w:rsid w:val="00CE5EE2"/>
    <w:rsid w:val="00CE675C"/>
    <w:rsid w:val="00CE69CC"/>
    <w:rsid w:val="00CE6A16"/>
    <w:rsid w:val="00CE6ADB"/>
    <w:rsid w:val="00CE6D45"/>
    <w:rsid w:val="00CE6DC4"/>
    <w:rsid w:val="00CE7008"/>
    <w:rsid w:val="00CE710B"/>
    <w:rsid w:val="00CE7277"/>
    <w:rsid w:val="00CE7288"/>
    <w:rsid w:val="00CE783E"/>
    <w:rsid w:val="00CE7A12"/>
    <w:rsid w:val="00CE7ED8"/>
    <w:rsid w:val="00CF03ED"/>
    <w:rsid w:val="00CF04D0"/>
    <w:rsid w:val="00CF05DA"/>
    <w:rsid w:val="00CF09EC"/>
    <w:rsid w:val="00CF09F1"/>
    <w:rsid w:val="00CF0EFA"/>
    <w:rsid w:val="00CF12BD"/>
    <w:rsid w:val="00CF13D9"/>
    <w:rsid w:val="00CF1609"/>
    <w:rsid w:val="00CF1D93"/>
    <w:rsid w:val="00CF1F05"/>
    <w:rsid w:val="00CF1FF6"/>
    <w:rsid w:val="00CF23CD"/>
    <w:rsid w:val="00CF23F6"/>
    <w:rsid w:val="00CF2633"/>
    <w:rsid w:val="00CF26EA"/>
    <w:rsid w:val="00CF2C8A"/>
    <w:rsid w:val="00CF2F64"/>
    <w:rsid w:val="00CF393C"/>
    <w:rsid w:val="00CF3CA4"/>
    <w:rsid w:val="00CF3F4F"/>
    <w:rsid w:val="00CF4001"/>
    <w:rsid w:val="00CF4353"/>
    <w:rsid w:val="00CF435D"/>
    <w:rsid w:val="00CF4985"/>
    <w:rsid w:val="00CF4BCD"/>
    <w:rsid w:val="00CF4C53"/>
    <w:rsid w:val="00CF53EB"/>
    <w:rsid w:val="00CF546E"/>
    <w:rsid w:val="00CF5ADD"/>
    <w:rsid w:val="00CF6037"/>
    <w:rsid w:val="00CF6325"/>
    <w:rsid w:val="00CF662D"/>
    <w:rsid w:val="00CF66A9"/>
    <w:rsid w:val="00CF6A3E"/>
    <w:rsid w:val="00CF6E29"/>
    <w:rsid w:val="00CF6EA0"/>
    <w:rsid w:val="00CF712E"/>
    <w:rsid w:val="00CF737B"/>
    <w:rsid w:val="00CF7411"/>
    <w:rsid w:val="00CF78C0"/>
    <w:rsid w:val="00CF7EF5"/>
    <w:rsid w:val="00CF7F7F"/>
    <w:rsid w:val="00D0023B"/>
    <w:rsid w:val="00D00A4E"/>
    <w:rsid w:val="00D00D05"/>
    <w:rsid w:val="00D00F2E"/>
    <w:rsid w:val="00D00F99"/>
    <w:rsid w:val="00D01088"/>
    <w:rsid w:val="00D011C0"/>
    <w:rsid w:val="00D01239"/>
    <w:rsid w:val="00D012CD"/>
    <w:rsid w:val="00D013A5"/>
    <w:rsid w:val="00D01AC6"/>
    <w:rsid w:val="00D01BA0"/>
    <w:rsid w:val="00D01BE3"/>
    <w:rsid w:val="00D02270"/>
    <w:rsid w:val="00D02B34"/>
    <w:rsid w:val="00D02C5F"/>
    <w:rsid w:val="00D02CEB"/>
    <w:rsid w:val="00D02E65"/>
    <w:rsid w:val="00D02FD7"/>
    <w:rsid w:val="00D03178"/>
    <w:rsid w:val="00D033C6"/>
    <w:rsid w:val="00D033CA"/>
    <w:rsid w:val="00D03BB0"/>
    <w:rsid w:val="00D03F6F"/>
    <w:rsid w:val="00D042BD"/>
    <w:rsid w:val="00D04347"/>
    <w:rsid w:val="00D04438"/>
    <w:rsid w:val="00D04618"/>
    <w:rsid w:val="00D05327"/>
    <w:rsid w:val="00D0545B"/>
    <w:rsid w:val="00D0583D"/>
    <w:rsid w:val="00D05A1E"/>
    <w:rsid w:val="00D05D27"/>
    <w:rsid w:val="00D05E2A"/>
    <w:rsid w:val="00D06023"/>
    <w:rsid w:val="00D06269"/>
    <w:rsid w:val="00D064DF"/>
    <w:rsid w:val="00D06C52"/>
    <w:rsid w:val="00D06CDB"/>
    <w:rsid w:val="00D06F4D"/>
    <w:rsid w:val="00D07E29"/>
    <w:rsid w:val="00D07E32"/>
    <w:rsid w:val="00D10044"/>
    <w:rsid w:val="00D10299"/>
    <w:rsid w:val="00D10765"/>
    <w:rsid w:val="00D108E5"/>
    <w:rsid w:val="00D10B7E"/>
    <w:rsid w:val="00D10CBA"/>
    <w:rsid w:val="00D10D80"/>
    <w:rsid w:val="00D10EA7"/>
    <w:rsid w:val="00D10F53"/>
    <w:rsid w:val="00D1113D"/>
    <w:rsid w:val="00D111C1"/>
    <w:rsid w:val="00D1171B"/>
    <w:rsid w:val="00D11EE2"/>
    <w:rsid w:val="00D12153"/>
    <w:rsid w:val="00D12257"/>
    <w:rsid w:val="00D12715"/>
    <w:rsid w:val="00D127B8"/>
    <w:rsid w:val="00D12993"/>
    <w:rsid w:val="00D12C27"/>
    <w:rsid w:val="00D13133"/>
    <w:rsid w:val="00D1313B"/>
    <w:rsid w:val="00D13722"/>
    <w:rsid w:val="00D13843"/>
    <w:rsid w:val="00D13C16"/>
    <w:rsid w:val="00D13D15"/>
    <w:rsid w:val="00D14074"/>
    <w:rsid w:val="00D143A3"/>
    <w:rsid w:val="00D14431"/>
    <w:rsid w:val="00D14626"/>
    <w:rsid w:val="00D148A2"/>
    <w:rsid w:val="00D149A3"/>
    <w:rsid w:val="00D149EC"/>
    <w:rsid w:val="00D14C5B"/>
    <w:rsid w:val="00D1516A"/>
    <w:rsid w:val="00D15420"/>
    <w:rsid w:val="00D15706"/>
    <w:rsid w:val="00D15927"/>
    <w:rsid w:val="00D15AE6"/>
    <w:rsid w:val="00D15C77"/>
    <w:rsid w:val="00D1643B"/>
    <w:rsid w:val="00D16711"/>
    <w:rsid w:val="00D16A9F"/>
    <w:rsid w:val="00D16B07"/>
    <w:rsid w:val="00D16D5A"/>
    <w:rsid w:val="00D17280"/>
    <w:rsid w:val="00D174AB"/>
    <w:rsid w:val="00D17753"/>
    <w:rsid w:val="00D17D05"/>
    <w:rsid w:val="00D17D11"/>
    <w:rsid w:val="00D2057A"/>
    <w:rsid w:val="00D20877"/>
    <w:rsid w:val="00D208D1"/>
    <w:rsid w:val="00D20933"/>
    <w:rsid w:val="00D20C5E"/>
    <w:rsid w:val="00D20D19"/>
    <w:rsid w:val="00D21022"/>
    <w:rsid w:val="00D21A59"/>
    <w:rsid w:val="00D21EA2"/>
    <w:rsid w:val="00D2206E"/>
    <w:rsid w:val="00D22081"/>
    <w:rsid w:val="00D222A6"/>
    <w:rsid w:val="00D2239D"/>
    <w:rsid w:val="00D228A0"/>
    <w:rsid w:val="00D22993"/>
    <w:rsid w:val="00D22ADE"/>
    <w:rsid w:val="00D22BD9"/>
    <w:rsid w:val="00D2316A"/>
    <w:rsid w:val="00D232D4"/>
    <w:rsid w:val="00D23457"/>
    <w:rsid w:val="00D236E8"/>
    <w:rsid w:val="00D23736"/>
    <w:rsid w:val="00D23935"/>
    <w:rsid w:val="00D239F6"/>
    <w:rsid w:val="00D23A78"/>
    <w:rsid w:val="00D23BE5"/>
    <w:rsid w:val="00D240E5"/>
    <w:rsid w:val="00D24239"/>
    <w:rsid w:val="00D24262"/>
    <w:rsid w:val="00D246B4"/>
    <w:rsid w:val="00D246FD"/>
    <w:rsid w:val="00D24869"/>
    <w:rsid w:val="00D24870"/>
    <w:rsid w:val="00D24A66"/>
    <w:rsid w:val="00D25270"/>
    <w:rsid w:val="00D25AC3"/>
    <w:rsid w:val="00D25B1A"/>
    <w:rsid w:val="00D263E3"/>
    <w:rsid w:val="00D263F7"/>
    <w:rsid w:val="00D26568"/>
    <w:rsid w:val="00D266C4"/>
    <w:rsid w:val="00D26AF0"/>
    <w:rsid w:val="00D26CF9"/>
    <w:rsid w:val="00D26DBA"/>
    <w:rsid w:val="00D26EF3"/>
    <w:rsid w:val="00D27211"/>
    <w:rsid w:val="00D272CB"/>
    <w:rsid w:val="00D278D0"/>
    <w:rsid w:val="00D27B73"/>
    <w:rsid w:val="00D27CB2"/>
    <w:rsid w:val="00D306B5"/>
    <w:rsid w:val="00D306F1"/>
    <w:rsid w:val="00D30ADA"/>
    <w:rsid w:val="00D30C9E"/>
    <w:rsid w:val="00D30E97"/>
    <w:rsid w:val="00D30EBD"/>
    <w:rsid w:val="00D31291"/>
    <w:rsid w:val="00D318B6"/>
    <w:rsid w:val="00D318BE"/>
    <w:rsid w:val="00D31D6F"/>
    <w:rsid w:val="00D31EA8"/>
    <w:rsid w:val="00D3205A"/>
    <w:rsid w:val="00D32151"/>
    <w:rsid w:val="00D3246A"/>
    <w:rsid w:val="00D32877"/>
    <w:rsid w:val="00D329DF"/>
    <w:rsid w:val="00D32A4A"/>
    <w:rsid w:val="00D32CFE"/>
    <w:rsid w:val="00D3333C"/>
    <w:rsid w:val="00D33879"/>
    <w:rsid w:val="00D33A2B"/>
    <w:rsid w:val="00D33CC6"/>
    <w:rsid w:val="00D34838"/>
    <w:rsid w:val="00D34B2E"/>
    <w:rsid w:val="00D34D41"/>
    <w:rsid w:val="00D34E03"/>
    <w:rsid w:val="00D35153"/>
    <w:rsid w:val="00D35520"/>
    <w:rsid w:val="00D355B1"/>
    <w:rsid w:val="00D357C2"/>
    <w:rsid w:val="00D35D39"/>
    <w:rsid w:val="00D35E0E"/>
    <w:rsid w:val="00D368D7"/>
    <w:rsid w:val="00D36BDB"/>
    <w:rsid w:val="00D36E73"/>
    <w:rsid w:val="00D37190"/>
    <w:rsid w:val="00D37422"/>
    <w:rsid w:val="00D37475"/>
    <w:rsid w:val="00D37875"/>
    <w:rsid w:val="00D40252"/>
    <w:rsid w:val="00D40FFD"/>
    <w:rsid w:val="00D417FD"/>
    <w:rsid w:val="00D41857"/>
    <w:rsid w:val="00D418CA"/>
    <w:rsid w:val="00D419B1"/>
    <w:rsid w:val="00D41ED7"/>
    <w:rsid w:val="00D4280C"/>
    <w:rsid w:val="00D42AFB"/>
    <w:rsid w:val="00D42B71"/>
    <w:rsid w:val="00D4350C"/>
    <w:rsid w:val="00D435CB"/>
    <w:rsid w:val="00D435DA"/>
    <w:rsid w:val="00D4383A"/>
    <w:rsid w:val="00D438A7"/>
    <w:rsid w:val="00D43C43"/>
    <w:rsid w:val="00D44030"/>
    <w:rsid w:val="00D440F6"/>
    <w:rsid w:val="00D443B3"/>
    <w:rsid w:val="00D44405"/>
    <w:rsid w:val="00D44646"/>
    <w:rsid w:val="00D44AAA"/>
    <w:rsid w:val="00D44EA7"/>
    <w:rsid w:val="00D45143"/>
    <w:rsid w:val="00D45269"/>
    <w:rsid w:val="00D45746"/>
    <w:rsid w:val="00D45AFB"/>
    <w:rsid w:val="00D45BEA"/>
    <w:rsid w:val="00D4620E"/>
    <w:rsid w:val="00D4649D"/>
    <w:rsid w:val="00D46777"/>
    <w:rsid w:val="00D46816"/>
    <w:rsid w:val="00D46862"/>
    <w:rsid w:val="00D46976"/>
    <w:rsid w:val="00D46C94"/>
    <w:rsid w:val="00D46D06"/>
    <w:rsid w:val="00D46EB3"/>
    <w:rsid w:val="00D46ECF"/>
    <w:rsid w:val="00D47337"/>
    <w:rsid w:val="00D476F8"/>
    <w:rsid w:val="00D47800"/>
    <w:rsid w:val="00D478FC"/>
    <w:rsid w:val="00D47923"/>
    <w:rsid w:val="00D47D19"/>
    <w:rsid w:val="00D502B5"/>
    <w:rsid w:val="00D504A7"/>
    <w:rsid w:val="00D50534"/>
    <w:rsid w:val="00D50853"/>
    <w:rsid w:val="00D5088C"/>
    <w:rsid w:val="00D50911"/>
    <w:rsid w:val="00D50DEB"/>
    <w:rsid w:val="00D51030"/>
    <w:rsid w:val="00D5147A"/>
    <w:rsid w:val="00D51844"/>
    <w:rsid w:val="00D5189E"/>
    <w:rsid w:val="00D51B78"/>
    <w:rsid w:val="00D51ED5"/>
    <w:rsid w:val="00D521C2"/>
    <w:rsid w:val="00D52200"/>
    <w:rsid w:val="00D524CA"/>
    <w:rsid w:val="00D52670"/>
    <w:rsid w:val="00D5297D"/>
    <w:rsid w:val="00D52A6A"/>
    <w:rsid w:val="00D53062"/>
    <w:rsid w:val="00D530BD"/>
    <w:rsid w:val="00D53381"/>
    <w:rsid w:val="00D53922"/>
    <w:rsid w:val="00D53C0F"/>
    <w:rsid w:val="00D53D58"/>
    <w:rsid w:val="00D53FB6"/>
    <w:rsid w:val="00D54392"/>
    <w:rsid w:val="00D5487C"/>
    <w:rsid w:val="00D54924"/>
    <w:rsid w:val="00D54928"/>
    <w:rsid w:val="00D54DB3"/>
    <w:rsid w:val="00D54DC3"/>
    <w:rsid w:val="00D54DE7"/>
    <w:rsid w:val="00D54F24"/>
    <w:rsid w:val="00D54FAA"/>
    <w:rsid w:val="00D5530A"/>
    <w:rsid w:val="00D554F2"/>
    <w:rsid w:val="00D55517"/>
    <w:rsid w:val="00D558C9"/>
    <w:rsid w:val="00D55AE8"/>
    <w:rsid w:val="00D55B4D"/>
    <w:rsid w:val="00D562AE"/>
    <w:rsid w:val="00D56453"/>
    <w:rsid w:val="00D56828"/>
    <w:rsid w:val="00D56A8A"/>
    <w:rsid w:val="00D56AEE"/>
    <w:rsid w:val="00D56B89"/>
    <w:rsid w:val="00D57332"/>
    <w:rsid w:val="00D573A0"/>
    <w:rsid w:val="00D57752"/>
    <w:rsid w:val="00D5786A"/>
    <w:rsid w:val="00D5791F"/>
    <w:rsid w:val="00D57BDC"/>
    <w:rsid w:val="00D6005B"/>
    <w:rsid w:val="00D601B4"/>
    <w:rsid w:val="00D60898"/>
    <w:rsid w:val="00D609DF"/>
    <w:rsid w:val="00D60E77"/>
    <w:rsid w:val="00D6132D"/>
    <w:rsid w:val="00D61C2A"/>
    <w:rsid w:val="00D61D64"/>
    <w:rsid w:val="00D61DFC"/>
    <w:rsid w:val="00D620BF"/>
    <w:rsid w:val="00D6221A"/>
    <w:rsid w:val="00D622F9"/>
    <w:rsid w:val="00D62409"/>
    <w:rsid w:val="00D624CC"/>
    <w:rsid w:val="00D6258C"/>
    <w:rsid w:val="00D62C8D"/>
    <w:rsid w:val="00D63537"/>
    <w:rsid w:val="00D63717"/>
    <w:rsid w:val="00D63F3E"/>
    <w:rsid w:val="00D64A4B"/>
    <w:rsid w:val="00D65171"/>
    <w:rsid w:val="00D651BC"/>
    <w:rsid w:val="00D6528F"/>
    <w:rsid w:val="00D6544F"/>
    <w:rsid w:val="00D65CBB"/>
    <w:rsid w:val="00D65D44"/>
    <w:rsid w:val="00D65E2F"/>
    <w:rsid w:val="00D65F01"/>
    <w:rsid w:val="00D65F63"/>
    <w:rsid w:val="00D66047"/>
    <w:rsid w:val="00D660E2"/>
    <w:rsid w:val="00D66372"/>
    <w:rsid w:val="00D66393"/>
    <w:rsid w:val="00D66A61"/>
    <w:rsid w:val="00D6702C"/>
    <w:rsid w:val="00D673A9"/>
    <w:rsid w:val="00D675C1"/>
    <w:rsid w:val="00D70171"/>
    <w:rsid w:val="00D703D7"/>
    <w:rsid w:val="00D714CF"/>
    <w:rsid w:val="00D718B7"/>
    <w:rsid w:val="00D718BB"/>
    <w:rsid w:val="00D719D7"/>
    <w:rsid w:val="00D71A57"/>
    <w:rsid w:val="00D720D0"/>
    <w:rsid w:val="00D721AC"/>
    <w:rsid w:val="00D721C6"/>
    <w:rsid w:val="00D724E5"/>
    <w:rsid w:val="00D72700"/>
    <w:rsid w:val="00D7276A"/>
    <w:rsid w:val="00D72B51"/>
    <w:rsid w:val="00D72E97"/>
    <w:rsid w:val="00D730B9"/>
    <w:rsid w:val="00D731B1"/>
    <w:rsid w:val="00D73296"/>
    <w:rsid w:val="00D732C8"/>
    <w:rsid w:val="00D738C6"/>
    <w:rsid w:val="00D73B38"/>
    <w:rsid w:val="00D73E33"/>
    <w:rsid w:val="00D7402F"/>
    <w:rsid w:val="00D742D1"/>
    <w:rsid w:val="00D749C9"/>
    <w:rsid w:val="00D74BAC"/>
    <w:rsid w:val="00D74C99"/>
    <w:rsid w:val="00D74FF7"/>
    <w:rsid w:val="00D750ED"/>
    <w:rsid w:val="00D751CD"/>
    <w:rsid w:val="00D751E6"/>
    <w:rsid w:val="00D754A4"/>
    <w:rsid w:val="00D75859"/>
    <w:rsid w:val="00D75875"/>
    <w:rsid w:val="00D75AE7"/>
    <w:rsid w:val="00D75C71"/>
    <w:rsid w:val="00D76245"/>
    <w:rsid w:val="00D76888"/>
    <w:rsid w:val="00D768FD"/>
    <w:rsid w:val="00D76D06"/>
    <w:rsid w:val="00D76F77"/>
    <w:rsid w:val="00D76F94"/>
    <w:rsid w:val="00D7732D"/>
    <w:rsid w:val="00D774AE"/>
    <w:rsid w:val="00D77555"/>
    <w:rsid w:val="00D77D69"/>
    <w:rsid w:val="00D77F9A"/>
    <w:rsid w:val="00D80471"/>
    <w:rsid w:val="00D806B9"/>
    <w:rsid w:val="00D8071B"/>
    <w:rsid w:val="00D807E3"/>
    <w:rsid w:val="00D80BCE"/>
    <w:rsid w:val="00D812D1"/>
    <w:rsid w:val="00D813D9"/>
    <w:rsid w:val="00D814F8"/>
    <w:rsid w:val="00D8155C"/>
    <w:rsid w:val="00D815D0"/>
    <w:rsid w:val="00D817EC"/>
    <w:rsid w:val="00D81927"/>
    <w:rsid w:val="00D81B93"/>
    <w:rsid w:val="00D81BE1"/>
    <w:rsid w:val="00D820D6"/>
    <w:rsid w:val="00D821BC"/>
    <w:rsid w:val="00D823ED"/>
    <w:rsid w:val="00D82425"/>
    <w:rsid w:val="00D82F1F"/>
    <w:rsid w:val="00D836ED"/>
    <w:rsid w:val="00D83B6E"/>
    <w:rsid w:val="00D83CB7"/>
    <w:rsid w:val="00D83D42"/>
    <w:rsid w:val="00D840EB"/>
    <w:rsid w:val="00D84389"/>
    <w:rsid w:val="00D8476C"/>
    <w:rsid w:val="00D84A9E"/>
    <w:rsid w:val="00D84AC7"/>
    <w:rsid w:val="00D84EC5"/>
    <w:rsid w:val="00D8533E"/>
    <w:rsid w:val="00D85546"/>
    <w:rsid w:val="00D8558A"/>
    <w:rsid w:val="00D85633"/>
    <w:rsid w:val="00D8593C"/>
    <w:rsid w:val="00D85C4B"/>
    <w:rsid w:val="00D85E2C"/>
    <w:rsid w:val="00D85E53"/>
    <w:rsid w:val="00D86B22"/>
    <w:rsid w:val="00D8710F"/>
    <w:rsid w:val="00D874E8"/>
    <w:rsid w:val="00D87E6E"/>
    <w:rsid w:val="00D9004E"/>
    <w:rsid w:val="00D9014B"/>
    <w:rsid w:val="00D90254"/>
    <w:rsid w:val="00D90BA6"/>
    <w:rsid w:val="00D90FB5"/>
    <w:rsid w:val="00D91047"/>
    <w:rsid w:val="00D913D6"/>
    <w:rsid w:val="00D913FF"/>
    <w:rsid w:val="00D9153C"/>
    <w:rsid w:val="00D922F1"/>
    <w:rsid w:val="00D923C0"/>
    <w:rsid w:val="00D92750"/>
    <w:rsid w:val="00D92858"/>
    <w:rsid w:val="00D928FD"/>
    <w:rsid w:val="00D92E7D"/>
    <w:rsid w:val="00D93028"/>
    <w:rsid w:val="00D9307F"/>
    <w:rsid w:val="00D93272"/>
    <w:rsid w:val="00D937F8"/>
    <w:rsid w:val="00D93859"/>
    <w:rsid w:val="00D93E11"/>
    <w:rsid w:val="00D93F7E"/>
    <w:rsid w:val="00D93FF0"/>
    <w:rsid w:val="00D9405E"/>
    <w:rsid w:val="00D942C6"/>
    <w:rsid w:val="00D94749"/>
    <w:rsid w:val="00D94958"/>
    <w:rsid w:val="00D94CCE"/>
    <w:rsid w:val="00D94E3B"/>
    <w:rsid w:val="00D95298"/>
    <w:rsid w:val="00D9538B"/>
    <w:rsid w:val="00D9572E"/>
    <w:rsid w:val="00D9579D"/>
    <w:rsid w:val="00D95B48"/>
    <w:rsid w:val="00D95BCE"/>
    <w:rsid w:val="00D95D2F"/>
    <w:rsid w:val="00D960DE"/>
    <w:rsid w:val="00D961F0"/>
    <w:rsid w:val="00D96296"/>
    <w:rsid w:val="00D96632"/>
    <w:rsid w:val="00D96867"/>
    <w:rsid w:val="00D96A00"/>
    <w:rsid w:val="00D96DE3"/>
    <w:rsid w:val="00D97079"/>
    <w:rsid w:val="00D97117"/>
    <w:rsid w:val="00D97373"/>
    <w:rsid w:val="00D9740F"/>
    <w:rsid w:val="00D9748B"/>
    <w:rsid w:val="00D979B7"/>
    <w:rsid w:val="00DA08E7"/>
    <w:rsid w:val="00DA0DFA"/>
    <w:rsid w:val="00DA0E38"/>
    <w:rsid w:val="00DA0F75"/>
    <w:rsid w:val="00DA11EF"/>
    <w:rsid w:val="00DA14DA"/>
    <w:rsid w:val="00DA15E1"/>
    <w:rsid w:val="00DA1616"/>
    <w:rsid w:val="00DA171C"/>
    <w:rsid w:val="00DA1868"/>
    <w:rsid w:val="00DA1962"/>
    <w:rsid w:val="00DA1A26"/>
    <w:rsid w:val="00DA26DE"/>
    <w:rsid w:val="00DA2915"/>
    <w:rsid w:val="00DA29FB"/>
    <w:rsid w:val="00DA2B85"/>
    <w:rsid w:val="00DA2C69"/>
    <w:rsid w:val="00DA2D33"/>
    <w:rsid w:val="00DA2EAB"/>
    <w:rsid w:val="00DA2F70"/>
    <w:rsid w:val="00DA30BF"/>
    <w:rsid w:val="00DA310C"/>
    <w:rsid w:val="00DA3169"/>
    <w:rsid w:val="00DA3244"/>
    <w:rsid w:val="00DA3334"/>
    <w:rsid w:val="00DA368B"/>
    <w:rsid w:val="00DA3981"/>
    <w:rsid w:val="00DA4039"/>
    <w:rsid w:val="00DA436A"/>
    <w:rsid w:val="00DA4554"/>
    <w:rsid w:val="00DA4555"/>
    <w:rsid w:val="00DA46DD"/>
    <w:rsid w:val="00DA4710"/>
    <w:rsid w:val="00DA4CA5"/>
    <w:rsid w:val="00DA4FC2"/>
    <w:rsid w:val="00DA5064"/>
    <w:rsid w:val="00DA56FF"/>
    <w:rsid w:val="00DA5886"/>
    <w:rsid w:val="00DA596D"/>
    <w:rsid w:val="00DA5D1C"/>
    <w:rsid w:val="00DA6149"/>
    <w:rsid w:val="00DA6459"/>
    <w:rsid w:val="00DA6585"/>
    <w:rsid w:val="00DA6644"/>
    <w:rsid w:val="00DA6EAA"/>
    <w:rsid w:val="00DA734B"/>
    <w:rsid w:val="00DA7A36"/>
    <w:rsid w:val="00DA7DC4"/>
    <w:rsid w:val="00DB00E0"/>
    <w:rsid w:val="00DB03D7"/>
    <w:rsid w:val="00DB0CB1"/>
    <w:rsid w:val="00DB117A"/>
    <w:rsid w:val="00DB11C0"/>
    <w:rsid w:val="00DB1242"/>
    <w:rsid w:val="00DB135D"/>
    <w:rsid w:val="00DB1551"/>
    <w:rsid w:val="00DB167F"/>
    <w:rsid w:val="00DB174F"/>
    <w:rsid w:val="00DB1914"/>
    <w:rsid w:val="00DB1A71"/>
    <w:rsid w:val="00DB1B27"/>
    <w:rsid w:val="00DB1BF5"/>
    <w:rsid w:val="00DB1C2C"/>
    <w:rsid w:val="00DB1D67"/>
    <w:rsid w:val="00DB1DC5"/>
    <w:rsid w:val="00DB1F87"/>
    <w:rsid w:val="00DB2045"/>
    <w:rsid w:val="00DB27E1"/>
    <w:rsid w:val="00DB28DE"/>
    <w:rsid w:val="00DB2B17"/>
    <w:rsid w:val="00DB2DD9"/>
    <w:rsid w:val="00DB2E0E"/>
    <w:rsid w:val="00DB3A95"/>
    <w:rsid w:val="00DB3C01"/>
    <w:rsid w:val="00DB4410"/>
    <w:rsid w:val="00DB4D40"/>
    <w:rsid w:val="00DB4E90"/>
    <w:rsid w:val="00DB4F54"/>
    <w:rsid w:val="00DB5354"/>
    <w:rsid w:val="00DB5476"/>
    <w:rsid w:val="00DB55EF"/>
    <w:rsid w:val="00DB57F3"/>
    <w:rsid w:val="00DB5D79"/>
    <w:rsid w:val="00DB609D"/>
    <w:rsid w:val="00DB6180"/>
    <w:rsid w:val="00DB638F"/>
    <w:rsid w:val="00DB6477"/>
    <w:rsid w:val="00DB6655"/>
    <w:rsid w:val="00DB6754"/>
    <w:rsid w:val="00DB6961"/>
    <w:rsid w:val="00DB6A5F"/>
    <w:rsid w:val="00DB6C13"/>
    <w:rsid w:val="00DB6F67"/>
    <w:rsid w:val="00DB7119"/>
    <w:rsid w:val="00DB7454"/>
    <w:rsid w:val="00DB74A3"/>
    <w:rsid w:val="00DB7527"/>
    <w:rsid w:val="00DB76A5"/>
    <w:rsid w:val="00DB7BF1"/>
    <w:rsid w:val="00DB7C55"/>
    <w:rsid w:val="00DB7CA2"/>
    <w:rsid w:val="00DC00AC"/>
    <w:rsid w:val="00DC0348"/>
    <w:rsid w:val="00DC094B"/>
    <w:rsid w:val="00DC0DBC"/>
    <w:rsid w:val="00DC0F26"/>
    <w:rsid w:val="00DC14EE"/>
    <w:rsid w:val="00DC160E"/>
    <w:rsid w:val="00DC17A6"/>
    <w:rsid w:val="00DC19FC"/>
    <w:rsid w:val="00DC1D60"/>
    <w:rsid w:val="00DC2242"/>
    <w:rsid w:val="00DC28E3"/>
    <w:rsid w:val="00DC2A91"/>
    <w:rsid w:val="00DC2AF5"/>
    <w:rsid w:val="00DC2C05"/>
    <w:rsid w:val="00DC2C20"/>
    <w:rsid w:val="00DC2F2A"/>
    <w:rsid w:val="00DC33F1"/>
    <w:rsid w:val="00DC347C"/>
    <w:rsid w:val="00DC34EC"/>
    <w:rsid w:val="00DC352E"/>
    <w:rsid w:val="00DC3734"/>
    <w:rsid w:val="00DC3941"/>
    <w:rsid w:val="00DC3A21"/>
    <w:rsid w:val="00DC3BBF"/>
    <w:rsid w:val="00DC3D4E"/>
    <w:rsid w:val="00DC3F57"/>
    <w:rsid w:val="00DC44B1"/>
    <w:rsid w:val="00DC45F0"/>
    <w:rsid w:val="00DC473F"/>
    <w:rsid w:val="00DC48E8"/>
    <w:rsid w:val="00DC49FC"/>
    <w:rsid w:val="00DC4D91"/>
    <w:rsid w:val="00DC5403"/>
    <w:rsid w:val="00DC5510"/>
    <w:rsid w:val="00DC55AA"/>
    <w:rsid w:val="00DC5983"/>
    <w:rsid w:val="00DC5B12"/>
    <w:rsid w:val="00DC5B64"/>
    <w:rsid w:val="00DC5D5E"/>
    <w:rsid w:val="00DC6046"/>
    <w:rsid w:val="00DC6289"/>
    <w:rsid w:val="00DC6545"/>
    <w:rsid w:val="00DC65D0"/>
    <w:rsid w:val="00DC667C"/>
    <w:rsid w:val="00DC689E"/>
    <w:rsid w:val="00DC6918"/>
    <w:rsid w:val="00DC6A97"/>
    <w:rsid w:val="00DC6B6C"/>
    <w:rsid w:val="00DC6EBE"/>
    <w:rsid w:val="00DC6ECB"/>
    <w:rsid w:val="00DC707A"/>
    <w:rsid w:val="00DC72A5"/>
    <w:rsid w:val="00DC760C"/>
    <w:rsid w:val="00DC78A8"/>
    <w:rsid w:val="00DC7907"/>
    <w:rsid w:val="00DC7920"/>
    <w:rsid w:val="00DC7D44"/>
    <w:rsid w:val="00DC7F11"/>
    <w:rsid w:val="00DC7FC5"/>
    <w:rsid w:val="00DD011D"/>
    <w:rsid w:val="00DD0171"/>
    <w:rsid w:val="00DD036B"/>
    <w:rsid w:val="00DD04C4"/>
    <w:rsid w:val="00DD0532"/>
    <w:rsid w:val="00DD0D05"/>
    <w:rsid w:val="00DD1120"/>
    <w:rsid w:val="00DD117C"/>
    <w:rsid w:val="00DD15B6"/>
    <w:rsid w:val="00DD161D"/>
    <w:rsid w:val="00DD1A56"/>
    <w:rsid w:val="00DD1CF0"/>
    <w:rsid w:val="00DD2086"/>
    <w:rsid w:val="00DD220A"/>
    <w:rsid w:val="00DD22FF"/>
    <w:rsid w:val="00DD2405"/>
    <w:rsid w:val="00DD245E"/>
    <w:rsid w:val="00DD28F0"/>
    <w:rsid w:val="00DD332F"/>
    <w:rsid w:val="00DD3814"/>
    <w:rsid w:val="00DD3DC5"/>
    <w:rsid w:val="00DD417E"/>
    <w:rsid w:val="00DD42A8"/>
    <w:rsid w:val="00DD4746"/>
    <w:rsid w:val="00DD47C5"/>
    <w:rsid w:val="00DD48A8"/>
    <w:rsid w:val="00DD4916"/>
    <w:rsid w:val="00DD49A9"/>
    <w:rsid w:val="00DD4A14"/>
    <w:rsid w:val="00DD4A97"/>
    <w:rsid w:val="00DD5807"/>
    <w:rsid w:val="00DD5915"/>
    <w:rsid w:val="00DD5A1B"/>
    <w:rsid w:val="00DD6010"/>
    <w:rsid w:val="00DD66D1"/>
    <w:rsid w:val="00DD69C3"/>
    <w:rsid w:val="00DD6CFC"/>
    <w:rsid w:val="00DD7007"/>
    <w:rsid w:val="00DD7048"/>
    <w:rsid w:val="00DD715C"/>
    <w:rsid w:val="00DD7176"/>
    <w:rsid w:val="00DD7224"/>
    <w:rsid w:val="00DD7378"/>
    <w:rsid w:val="00DD752B"/>
    <w:rsid w:val="00DD7653"/>
    <w:rsid w:val="00DD79F3"/>
    <w:rsid w:val="00DD7F14"/>
    <w:rsid w:val="00DD7F3A"/>
    <w:rsid w:val="00DE0596"/>
    <w:rsid w:val="00DE06C3"/>
    <w:rsid w:val="00DE0783"/>
    <w:rsid w:val="00DE10AC"/>
    <w:rsid w:val="00DE15B5"/>
    <w:rsid w:val="00DE1793"/>
    <w:rsid w:val="00DE18BC"/>
    <w:rsid w:val="00DE1937"/>
    <w:rsid w:val="00DE1A01"/>
    <w:rsid w:val="00DE1AE7"/>
    <w:rsid w:val="00DE1D44"/>
    <w:rsid w:val="00DE1F9C"/>
    <w:rsid w:val="00DE2182"/>
    <w:rsid w:val="00DE2279"/>
    <w:rsid w:val="00DE228E"/>
    <w:rsid w:val="00DE22F0"/>
    <w:rsid w:val="00DE311A"/>
    <w:rsid w:val="00DE380A"/>
    <w:rsid w:val="00DE38F6"/>
    <w:rsid w:val="00DE391C"/>
    <w:rsid w:val="00DE3B93"/>
    <w:rsid w:val="00DE3BB7"/>
    <w:rsid w:val="00DE3D1F"/>
    <w:rsid w:val="00DE3E5C"/>
    <w:rsid w:val="00DE41B3"/>
    <w:rsid w:val="00DE440E"/>
    <w:rsid w:val="00DE4857"/>
    <w:rsid w:val="00DE4A86"/>
    <w:rsid w:val="00DE503B"/>
    <w:rsid w:val="00DE510A"/>
    <w:rsid w:val="00DE515D"/>
    <w:rsid w:val="00DE53C7"/>
    <w:rsid w:val="00DE53E3"/>
    <w:rsid w:val="00DE54E1"/>
    <w:rsid w:val="00DE5647"/>
    <w:rsid w:val="00DE5665"/>
    <w:rsid w:val="00DE56F6"/>
    <w:rsid w:val="00DE5B04"/>
    <w:rsid w:val="00DE5C58"/>
    <w:rsid w:val="00DE5F98"/>
    <w:rsid w:val="00DE5FDB"/>
    <w:rsid w:val="00DE61F2"/>
    <w:rsid w:val="00DE64FB"/>
    <w:rsid w:val="00DE67C8"/>
    <w:rsid w:val="00DE686E"/>
    <w:rsid w:val="00DE6D7B"/>
    <w:rsid w:val="00DE6EB8"/>
    <w:rsid w:val="00DE76D2"/>
    <w:rsid w:val="00DE7939"/>
    <w:rsid w:val="00DE7C61"/>
    <w:rsid w:val="00DE7F26"/>
    <w:rsid w:val="00DF0216"/>
    <w:rsid w:val="00DF04F1"/>
    <w:rsid w:val="00DF06AB"/>
    <w:rsid w:val="00DF06E9"/>
    <w:rsid w:val="00DF0BB9"/>
    <w:rsid w:val="00DF0BD3"/>
    <w:rsid w:val="00DF1776"/>
    <w:rsid w:val="00DF1949"/>
    <w:rsid w:val="00DF1968"/>
    <w:rsid w:val="00DF1A3E"/>
    <w:rsid w:val="00DF1A7B"/>
    <w:rsid w:val="00DF1B21"/>
    <w:rsid w:val="00DF1C18"/>
    <w:rsid w:val="00DF209D"/>
    <w:rsid w:val="00DF23C2"/>
    <w:rsid w:val="00DF2459"/>
    <w:rsid w:val="00DF2854"/>
    <w:rsid w:val="00DF3B37"/>
    <w:rsid w:val="00DF3BDE"/>
    <w:rsid w:val="00DF3EA1"/>
    <w:rsid w:val="00DF418F"/>
    <w:rsid w:val="00DF4302"/>
    <w:rsid w:val="00DF4566"/>
    <w:rsid w:val="00DF4652"/>
    <w:rsid w:val="00DF4A3D"/>
    <w:rsid w:val="00DF4B47"/>
    <w:rsid w:val="00DF4B62"/>
    <w:rsid w:val="00DF4BDD"/>
    <w:rsid w:val="00DF4C6E"/>
    <w:rsid w:val="00DF5018"/>
    <w:rsid w:val="00DF5C2C"/>
    <w:rsid w:val="00DF5F20"/>
    <w:rsid w:val="00DF5FEC"/>
    <w:rsid w:val="00DF60CE"/>
    <w:rsid w:val="00DF67A7"/>
    <w:rsid w:val="00DF6934"/>
    <w:rsid w:val="00DF69E5"/>
    <w:rsid w:val="00DF6E55"/>
    <w:rsid w:val="00DF7BA6"/>
    <w:rsid w:val="00DF7CB2"/>
    <w:rsid w:val="00DF7DDF"/>
    <w:rsid w:val="00E00026"/>
    <w:rsid w:val="00E0070D"/>
    <w:rsid w:val="00E0077D"/>
    <w:rsid w:val="00E0090F"/>
    <w:rsid w:val="00E00BD1"/>
    <w:rsid w:val="00E00EDE"/>
    <w:rsid w:val="00E0175C"/>
    <w:rsid w:val="00E017AF"/>
    <w:rsid w:val="00E019FB"/>
    <w:rsid w:val="00E01C34"/>
    <w:rsid w:val="00E0203A"/>
    <w:rsid w:val="00E020BC"/>
    <w:rsid w:val="00E021D5"/>
    <w:rsid w:val="00E02730"/>
    <w:rsid w:val="00E02A31"/>
    <w:rsid w:val="00E02C39"/>
    <w:rsid w:val="00E02F54"/>
    <w:rsid w:val="00E0310C"/>
    <w:rsid w:val="00E034EC"/>
    <w:rsid w:val="00E04338"/>
    <w:rsid w:val="00E043D8"/>
    <w:rsid w:val="00E0457D"/>
    <w:rsid w:val="00E0467F"/>
    <w:rsid w:val="00E04AB6"/>
    <w:rsid w:val="00E04D32"/>
    <w:rsid w:val="00E04D44"/>
    <w:rsid w:val="00E04FAC"/>
    <w:rsid w:val="00E05097"/>
    <w:rsid w:val="00E0517E"/>
    <w:rsid w:val="00E052CC"/>
    <w:rsid w:val="00E053DC"/>
    <w:rsid w:val="00E053FA"/>
    <w:rsid w:val="00E0561A"/>
    <w:rsid w:val="00E05E3F"/>
    <w:rsid w:val="00E0600C"/>
    <w:rsid w:val="00E06122"/>
    <w:rsid w:val="00E06498"/>
    <w:rsid w:val="00E06805"/>
    <w:rsid w:val="00E06AF2"/>
    <w:rsid w:val="00E06F2E"/>
    <w:rsid w:val="00E070F0"/>
    <w:rsid w:val="00E073B8"/>
    <w:rsid w:val="00E0782A"/>
    <w:rsid w:val="00E078B5"/>
    <w:rsid w:val="00E1013C"/>
    <w:rsid w:val="00E10337"/>
    <w:rsid w:val="00E105E3"/>
    <w:rsid w:val="00E107B4"/>
    <w:rsid w:val="00E10860"/>
    <w:rsid w:val="00E10C9B"/>
    <w:rsid w:val="00E10E26"/>
    <w:rsid w:val="00E10E7F"/>
    <w:rsid w:val="00E10EF1"/>
    <w:rsid w:val="00E11164"/>
    <w:rsid w:val="00E1136A"/>
    <w:rsid w:val="00E114BE"/>
    <w:rsid w:val="00E11549"/>
    <w:rsid w:val="00E11582"/>
    <w:rsid w:val="00E11595"/>
    <w:rsid w:val="00E115EA"/>
    <w:rsid w:val="00E118B0"/>
    <w:rsid w:val="00E11912"/>
    <w:rsid w:val="00E11E33"/>
    <w:rsid w:val="00E11FED"/>
    <w:rsid w:val="00E12282"/>
    <w:rsid w:val="00E1230C"/>
    <w:rsid w:val="00E12475"/>
    <w:rsid w:val="00E12545"/>
    <w:rsid w:val="00E12801"/>
    <w:rsid w:val="00E1293C"/>
    <w:rsid w:val="00E12A10"/>
    <w:rsid w:val="00E12DA4"/>
    <w:rsid w:val="00E12E02"/>
    <w:rsid w:val="00E141F7"/>
    <w:rsid w:val="00E14313"/>
    <w:rsid w:val="00E14511"/>
    <w:rsid w:val="00E14D57"/>
    <w:rsid w:val="00E154AF"/>
    <w:rsid w:val="00E15618"/>
    <w:rsid w:val="00E15DEF"/>
    <w:rsid w:val="00E15E9E"/>
    <w:rsid w:val="00E16038"/>
    <w:rsid w:val="00E16571"/>
    <w:rsid w:val="00E1666B"/>
    <w:rsid w:val="00E16878"/>
    <w:rsid w:val="00E16A08"/>
    <w:rsid w:val="00E16AE6"/>
    <w:rsid w:val="00E16B8C"/>
    <w:rsid w:val="00E1726B"/>
    <w:rsid w:val="00E1729C"/>
    <w:rsid w:val="00E1762F"/>
    <w:rsid w:val="00E179AF"/>
    <w:rsid w:val="00E17A0B"/>
    <w:rsid w:val="00E17ADA"/>
    <w:rsid w:val="00E17B08"/>
    <w:rsid w:val="00E17C47"/>
    <w:rsid w:val="00E17E15"/>
    <w:rsid w:val="00E201F5"/>
    <w:rsid w:val="00E20488"/>
    <w:rsid w:val="00E20B0A"/>
    <w:rsid w:val="00E20C2F"/>
    <w:rsid w:val="00E2113E"/>
    <w:rsid w:val="00E21799"/>
    <w:rsid w:val="00E21C14"/>
    <w:rsid w:val="00E21F35"/>
    <w:rsid w:val="00E223E9"/>
    <w:rsid w:val="00E22AA4"/>
    <w:rsid w:val="00E22AB1"/>
    <w:rsid w:val="00E22E1E"/>
    <w:rsid w:val="00E2364A"/>
    <w:rsid w:val="00E24002"/>
    <w:rsid w:val="00E24151"/>
    <w:rsid w:val="00E2435A"/>
    <w:rsid w:val="00E24A57"/>
    <w:rsid w:val="00E257A6"/>
    <w:rsid w:val="00E258FF"/>
    <w:rsid w:val="00E25978"/>
    <w:rsid w:val="00E25DBB"/>
    <w:rsid w:val="00E25E62"/>
    <w:rsid w:val="00E25F6E"/>
    <w:rsid w:val="00E26113"/>
    <w:rsid w:val="00E26296"/>
    <w:rsid w:val="00E26302"/>
    <w:rsid w:val="00E2636C"/>
    <w:rsid w:val="00E26431"/>
    <w:rsid w:val="00E26550"/>
    <w:rsid w:val="00E266A4"/>
    <w:rsid w:val="00E2687F"/>
    <w:rsid w:val="00E26A40"/>
    <w:rsid w:val="00E26B18"/>
    <w:rsid w:val="00E26CFC"/>
    <w:rsid w:val="00E26D7E"/>
    <w:rsid w:val="00E26DBC"/>
    <w:rsid w:val="00E26DD6"/>
    <w:rsid w:val="00E26DFD"/>
    <w:rsid w:val="00E26F4B"/>
    <w:rsid w:val="00E27320"/>
    <w:rsid w:val="00E2749E"/>
    <w:rsid w:val="00E2765B"/>
    <w:rsid w:val="00E277EF"/>
    <w:rsid w:val="00E27F99"/>
    <w:rsid w:val="00E3013B"/>
    <w:rsid w:val="00E301BC"/>
    <w:rsid w:val="00E30310"/>
    <w:rsid w:val="00E306C0"/>
    <w:rsid w:val="00E3185F"/>
    <w:rsid w:val="00E31869"/>
    <w:rsid w:val="00E31A08"/>
    <w:rsid w:val="00E31D12"/>
    <w:rsid w:val="00E31FC6"/>
    <w:rsid w:val="00E324B8"/>
    <w:rsid w:val="00E3250C"/>
    <w:rsid w:val="00E326C1"/>
    <w:rsid w:val="00E32953"/>
    <w:rsid w:val="00E32BB5"/>
    <w:rsid w:val="00E32FA5"/>
    <w:rsid w:val="00E33108"/>
    <w:rsid w:val="00E33223"/>
    <w:rsid w:val="00E33533"/>
    <w:rsid w:val="00E33AB5"/>
    <w:rsid w:val="00E33B5F"/>
    <w:rsid w:val="00E33D75"/>
    <w:rsid w:val="00E34290"/>
    <w:rsid w:val="00E34603"/>
    <w:rsid w:val="00E3495D"/>
    <w:rsid w:val="00E34E3A"/>
    <w:rsid w:val="00E35144"/>
    <w:rsid w:val="00E35306"/>
    <w:rsid w:val="00E35334"/>
    <w:rsid w:val="00E353A7"/>
    <w:rsid w:val="00E35454"/>
    <w:rsid w:val="00E35555"/>
    <w:rsid w:val="00E35847"/>
    <w:rsid w:val="00E35920"/>
    <w:rsid w:val="00E35D4B"/>
    <w:rsid w:val="00E36244"/>
    <w:rsid w:val="00E36A59"/>
    <w:rsid w:val="00E36C41"/>
    <w:rsid w:val="00E36C7A"/>
    <w:rsid w:val="00E370D3"/>
    <w:rsid w:val="00E373AC"/>
    <w:rsid w:val="00E373B7"/>
    <w:rsid w:val="00E37663"/>
    <w:rsid w:val="00E37C4D"/>
    <w:rsid w:val="00E37D2F"/>
    <w:rsid w:val="00E37D69"/>
    <w:rsid w:val="00E37E49"/>
    <w:rsid w:val="00E37F05"/>
    <w:rsid w:val="00E401D8"/>
    <w:rsid w:val="00E403D7"/>
    <w:rsid w:val="00E4057F"/>
    <w:rsid w:val="00E40D3D"/>
    <w:rsid w:val="00E40DCB"/>
    <w:rsid w:val="00E40F63"/>
    <w:rsid w:val="00E41022"/>
    <w:rsid w:val="00E410BC"/>
    <w:rsid w:val="00E412C5"/>
    <w:rsid w:val="00E4150C"/>
    <w:rsid w:val="00E415E4"/>
    <w:rsid w:val="00E41763"/>
    <w:rsid w:val="00E41BBE"/>
    <w:rsid w:val="00E41D77"/>
    <w:rsid w:val="00E420BE"/>
    <w:rsid w:val="00E4222C"/>
    <w:rsid w:val="00E4247B"/>
    <w:rsid w:val="00E4269F"/>
    <w:rsid w:val="00E427A4"/>
    <w:rsid w:val="00E42A78"/>
    <w:rsid w:val="00E42ABE"/>
    <w:rsid w:val="00E42C1B"/>
    <w:rsid w:val="00E42E0B"/>
    <w:rsid w:val="00E42E3F"/>
    <w:rsid w:val="00E43103"/>
    <w:rsid w:val="00E4310F"/>
    <w:rsid w:val="00E4362E"/>
    <w:rsid w:val="00E4376B"/>
    <w:rsid w:val="00E439BE"/>
    <w:rsid w:val="00E43A75"/>
    <w:rsid w:val="00E43AB6"/>
    <w:rsid w:val="00E43BC2"/>
    <w:rsid w:val="00E43C1E"/>
    <w:rsid w:val="00E43F80"/>
    <w:rsid w:val="00E440EA"/>
    <w:rsid w:val="00E44335"/>
    <w:rsid w:val="00E44341"/>
    <w:rsid w:val="00E4482B"/>
    <w:rsid w:val="00E44882"/>
    <w:rsid w:val="00E44980"/>
    <w:rsid w:val="00E44C0B"/>
    <w:rsid w:val="00E44E79"/>
    <w:rsid w:val="00E45227"/>
    <w:rsid w:val="00E45264"/>
    <w:rsid w:val="00E45291"/>
    <w:rsid w:val="00E457C4"/>
    <w:rsid w:val="00E45BF5"/>
    <w:rsid w:val="00E45C74"/>
    <w:rsid w:val="00E45F2E"/>
    <w:rsid w:val="00E45F91"/>
    <w:rsid w:val="00E461D9"/>
    <w:rsid w:val="00E46503"/>
    <w:rsid w:val="00E46738"/>
    <w:rsid w:val="00E468AB"/>
    <w:rsid w:val="00E468DB"/>
    <w:rsid w:val="00E46C4F"/>
    <w:rsid w:val="00E472F2"/>
    <w:rsid w:val="00E4743C"/>
    <w:rsid w:val="00E47623"/>
    <w:rsid w:val="00E476BC"/>
    <w:rsid w:val="00E47BD5"/>
    <w:rsid w:val="00E503DB"/>
    <w:rsid w:val="00E50661"/>
    <w:rsid w:val="00E50B86"/>
    <w:rsid w:val="00E51605"/>
    <w:rsid w:val="00E519C8"/>
    <w:rsid w:val="00E51A86"/>
    <w:rsid w:val="00E51AAA"/>
    <w:rsid w:val="00E52033"/>
    <w:rsid w:val="00E5205B"/>
    <w:rsid w:val="00E52644"/>
    <w:rsid w:val="00E52E0E"/>
    <w:rsid w:val="00E52FDE"/>
    <w:rsid w:val="00E53517"/>
    <w:rsid w:val="00E536BF"/>
    <w:rsid w:val="00E53811"/>
    <w:rsid w:val="00E54420"/>
    <w:rsid w:val="00E547C5"/>
    <w:rsid w:val="00E54987"/>
    <w:rsid w:val="00E54BEF"/>
    <w:rsid w:val="00E54C0B"/>
    <w:rsid w:val="00E5540F"/>
    <w:rsid w:val="00E55425"/>
    <w:rsid w:val="00E55453"/>
    <w:rsid w:val="00E554B2"/>
    <w:rsid w:val="00E55939"/>
    <w:rsid w:val="00E559B9"/>
    <w:rsid w:val="00E55C54"/>
    <w:rsid w:val="00E55D35"/>
    <w:rsid w:val="00E55EAF"/>
    <w:rsid w:val="00E562C6"/>
    <w:rsid w:val="00E563D4"/>
    <w:rsid w:val="00E567D6"/>
    <w:rsid w:val="00E56993"/>
    <w:rsid w:val="00E56D11"/>
    <w:rsid w:val="00E56DDB"/>
    <w:rsid w:val="00E56E86"/>
    <w:rsid w:val="00E56EA1"/>
    <w:rsid w:val="00E56EF6"/>
    <w:rsid w:val="00E56F4A"/>
    <w:rsid w:val="00E57227"/>
    <w:rsid w:val="00E576B6"/>
    <w:rsid w:val="00E57B52"/>
    <w:rsid w:val="00E57EA7"/>
    <w:rsid w:val="00E57FD0"/>
    <w:rsid w:val="00E6036F"/>
    <w:rsid w:val="00E6066D"/>
    <w:rsid w:val="00E6082A"/>
    <w:rsid w:val="00E60900"/>
    <w:rsid w:val="00E609C0"/>
    <w:rsid w:val="00E60A1F"/>
    <w:rsid w:val="00E61043"/>
    <w:rsid w:val="00E61115"/>
    <w:rsid w:val="00E61269"/>
    <w:rsid w:val="00E6127D"/>
    <w:rsid w:val="00E612FD"/>
    <w:rsid w:val="00E61E82"/>
    <w:rsid w:val="00E62625"/>
    <w:rsid w:val="00E6279F"/>
    <w:rsid w:val="00E62C49"/>
    <w:rsid w:val="00E63187"/>
    <w:rsid w:val="00E6319B"/>
    <w:rsid w:val="00E63669"/>
    <w:rsid w:val="00E636CC"/>
    <w:rsid w:val="00E63BAB"/>
    <w:rsid w:val="00E64043"/>
    <w:rsid w:val="00E6426D"/>
    <w:rsid w:val="00E6479A"/>
    <w:rsid w:val="00E64908"/>
    <w:rsid w:val="00E64DD4"/>
    <w:rsid w:val="00E64ECA"/>
    <w:rsid w:val="00E65646"/>
    <w:rsid w:val="00E65F6C"/>
    <w:rsid w:val="00E66925"/>
    <w:rsid w:val="00E66950"/>
    <w:rsid w:val="00E66EE1"/>
    <w:rsid w:val="00E6708F"/>
    <w:rsid w:val="00E6728F"/>
    <w:rsid w:val="00E67304"/>
    <w:rsid w:val="00E673C8"/>
    <w:rsid w:val="00E674BF"/>
    <w:rsid w:val="00E6786D"/>
    <w:rsid w:val="00E67C2E"/>
    <w:rsid w:val="00E67CC2"/>
    <w:rsid w:val="00E67FF5"/>
    <w:rsid w:val="00E706DA"/>
    <w:rsid w:val="00E70984"/>
    <w:rsid w:val="00E70E2C"/>
    <w:rsid w:val="00E70FBF"/>
    <w:rsid w:val="00E71216"/>
    <w:rsid w:val="00E715CB"/>
    <w:rsid w:val="00E7191D"/>
    <w:rsid w:val="00E71B4D"/>
    <w:rsid w:val="00E71DB8"/>
    <w:rsid w:val="00E720AA"/>
    <w:rsid w:val="00E7282A"/>
    <w:rsid w:val="00E728EF"/>
    <w:rsid w:val="00E72947"/>
    <w:rsid w:val="00E72BC1"/>
    <w:rsid w:val="00E72E5B"/>
    <w:rsid w:val="00E7349C"/>
    <w:rsid w:val="00E73564"/>
    <w:rsid w:val="00E73724"/>
    <w:rsid w:val="00E7381B"/>
    <w:rsid w:val="00E739A7"/>
    <w:rsid w:val="00E73C4D"/>
    <w:rsid w:val="00E73C6D"/>
    <w:rsid w:val="00E73E14"/>
    <w:rsid w:val="00E73E9D"/>
    <w:rsid w:val="00E73FF8"/>
    <w:rsid w:val="00E7430D"/>
    <w:rsid w:val="00E745EB"/>
    <w:rsid w:val="00E74715"/>
    <w:rsid w:val="00E74A86"/>
    <w:rsid w:val="00E74AB9"/>
    <w:rsid w:val="00E74E4F"/>
    <w:rsid w:val="00E74F53"/>
    <w:rsid w:val="00E753BF"/>
    <w:rsid w:val="00E7568A"/>
    <w:rsid w:val="00E759A2"/>
    <w:rsid w:val="00E75B14"/>
    <w:rsid w:val="00E75BB3"/>
    <w:rsid w:val="00E75C0E"/>
    <w:rsid w:val="00E75DA3"/>
    <w:rsid w:val="00E764B3"/>
    <w:rsid w:val="00E7650A"/>
    <w:rsid w:val="00E76D6B"/>
    <w:rsid w:val="00E771A9"/>
    <w:rsid w:val="00E771DA"/>
    <w:rsid w:val="00E77210"/>
    <w:rsid w:val="00E77220"/>
    <w:rsid w:val="00E7728C"/>
    <w:rsid w:val="00E7768A"/>
    <w:rsid w:val="00E8019C"/>
    <w:rsid w:val="00E80C13"/>
    <w:rsid w:val="00E80CC9"/>
    <w:rsid w:val="00E80D6F"/>
    <w:rsid w:val="00E80D82"/>
    <w:rsid w:val="00E8135F"/>
    <w:rsid w:val="00E818BB"/>
    <w:rsid w:val="00E81ABE"/>
    <w:rsid w:val="00E81D08"/>
    <w:rsid w:val="00E81DA3"/>
    <w:rsid w:val="00E81ED3"/>
    <w:rsid w:val="00E822FE"/>
    <w:rsid w:val="00E82324"/>
    <w:rsid w:val="00E8242A"/>
    <w:rsid w:val="00E82433"/>
    <w:rsid w:val="00E82606"/>
    <w:rsid w:val="00E82807"/>
    <w:rsid w:val="00E83797"/>
    <w:rsid w:val="00E83AF0"/>
    <w:rsid w:val="00E83B87"/>
    <w:rsid w:val="00E83E31"/>
    <w:rsid w:val="00E83E94"/>
    <w:rsid w:val="00E83FB1"/>
    <w:rsid w:val="00E849AB"/>
    <w:rsid w:val="00E84A21"/>
    <w:rsid w:val="00E84B10"/>
    <w:rsid w:val="00E84C96"/>
    <w:rsid w:val="00E84E8A"/>
    <w:rsid w:val="00E852C4"/>
    <w:rsid w:val="00E8557D"/>
    <w:rsid w:val="00E855D7"/>
    <w:rsid w:val="00E85B27"/>
    <w:rsid w:val="00E8646E"/>
    <w:rsid w:val="00E86880"/>
    <w:rsid w:val="00E87432"/>
    <w:rsid w:val="00E87B45"/>
    <w:rsid w:val="00E87BE0"/>
    <w:rsid w:val="00E87D48"/>
    <w:rsid w:val="00E87E35"/>
    <w:rsid w:val="00E90278"/>
    <w:rsid w:val="00E902B3"/>
    <w:rsid w:val="00E902E8"/>
    <w:rsid w:val="00E90310"/>
    <w:rsid w:val="00E90564"/>
    <w:rsid w:val="00E90BB2"/>
    <w:rsid w:val="00E90F23"/>
    <w:rsid w:val="00E91083"/>
    <w:rsid w:val="00E915FC"/>
    <w:rsid w:val="00E916BA"/>
    <w:rsid w:val="00E91AAC"/>
    <w:rsid w:val="00E91D25"/>
    <w:rsid w:val="00E91E01"/>
    <w:rsid w:val="00E91F89"/>
    <w:rsid w:val="00E922A1"/>
    <w:rsid w:val="00E9246A"/>
    <w:rsid w:val="00E92521"/>
    <w:rsid w:val="00E928B6"/>
    <w:rsid w:val="00E929BA"/>
    <w:rsid w:val="00E92A95"/>
    <w:rsid w:val="00E92BCE"/>
    <w:rsid w:val="00E92EDA"/>
    <w:rsid w:val="00E932E5"/>
    <w:rsid w:val="00E937C4"/>
    <w:rsid w:val="00E937CF"/>
    <w:rsid w:val="00E93AA0"/>
    <w:rsid w:val="00E93C66"/>
    <w:rsid w:val="00E94103"/>
    <w:rsid w:val="00E943B8"/>
    <w:rsid w:val="00E94477"/>
    <w:rsid w:val="00E94750"/>
    <w:rsid w:val="00E9497A"/>
    <w:rsid w:val="00E94981"/>
    <w:rsid w:val="00E94992"/>
    <w:rsid w:val="00E949CF"/>
    <w:rsid w:val="00E94C20"/>
    <w:rsid w:val="00E94D3B"/>
    <w:rsid w:val="00E94F5A"/>
    <w:rsid w:val="00E94F8E"/>
    <w:rsid w:val="00E954C0"/>
    <w:rsid w:val="00E954CF"/>
    <w:rsid w:val="00E9572D"/>
    <w:rsid w:val="00E9598D"/>
    <w:rsid w:val="00E95A9E"/>
    <w:rsid w:val="00E96D8A"/>
    <w:rsid w:val="00E973AF"/>
    <w:rsid w:val="00E9769A"/>
    <w:rsid w:val="00E97B28"/>
    <w:rsid w:val="00E97DE5"/>
    <w:rsid w:val="00EA03C4"/>
    <w:rsid w:val="00EA04BB"/>
    <w:rsid w:val="00EA0539"/>
    <w:rsid w:val="00EA05DD"/>
    <w:rsid w:val="00EA0901"/>
    <w:rsid w:val="00EA0FAD"/>
    <w:rsid w:val="00EA1585"/>
    <w:rsid w:val="00EA1607"/>
    <w:rsid w:val="00EA1977"/>
    <w:rsid w:val="00EA1AE8"/>
    <w:rsid w:val="00EA1CEE"/>
    <w:rsid w:val="00EA2003"/>
    <w:rsid w:val="00EA202D"/>
    <w:rsid w:val="00EA2479"/>
    <w:rsid w:val="00EA26AB"/>
    <w:rsid w:val="00EA2B4F"/>
    <w:rsid w:val="00EA2C0F"/>
    <w:rsid w:val="00EA344E"/>
    <w:rsid w:val="00EA350D"/>
    <w:rsid w:val="00EA37AA"/>
    <w:rsid w:val="00EA3806"/>
    <w:rsid w:val="00EA38F5"/>
    <w:rsid w:val="00EA399C"/>
    <w:rsid w:val="00EA3AAE"/>
    <w:rsid w:val="00EA408B"/>
    <w:rsid w:val="00EA458C"/>
    <w:rsid w:val="00EA467E"/>
    <w:rsid w:val="00EA47C7"/>
    <w:rsid w:val="00EA489B"/>
    <w:rsid w:val="00EA4905"/>
    <w:rsid w:val="00EA498A"/>
    <w:rsid w:val="00EA4B90"/>
    <w:rsid w:val="00EA4C16"/>
    <w:rsid w:val="00EA4CEF"/>
    <w:rsid w:val="00EA4F4A"/>
    <w:rsid w:val="00EA4FC9"/>
    <w:rsid w:val="00EA50A5"/>
    <w:rsid w:val="00EA5390"/>
    <w:rsid w:val="00EA5625"/>
    <w:rsid w:val="00EA5973"/>
    <w:rsid w:val="00EA5D16"/>
    <w:rsid w:val="00EA6176"/>
    <w:rsid w:val="00EA6886"/>
    <w:rsid w:val="00EA6D85"/>
    <w:rsid w:val="00EA6FBE"/>
    <w:rsid w:val="00EA702A"/>
    <w:rsid w:val="00EA72AE"/>
    <w:rsid w:val="00EA7651"/>
    <w:rsid w:val="00EA7751"/>
    <w:rsid w:val="00EA78F2"/>
    <w:rsid w:val="00EA7FA3"/>
    <w:rsid w:val="00EB01D7"/>
    <w:rsid w:val="00EB0CA7"/>
    <w:rsid w:val="00EB0F37"/>
    <w:rsid w:val="00EB110E"/>
    <w:rsid w:val="00EB17CB"/>
    <w:rsid w:val="00EB18F5"/>
    <w:rsid w:val="00EB1DE4"/>
    <w:rsid w:val="00EB1E2B"/>
    <w:rsid w:val="00EB209E"/>
    <w:rsid w:val="00EB2173"/>
    <w:rsid w:val="00EB225B"/>
    <w:rsid w:val="00EB2372"/>
    <w:rsid w:val="00EB23CD"/>
    <w:rsid w:val="00EB263F"/>
    <w:rsid w:val="00EB2684"/>
    <w:rsid w:val="00EB2746"/>
    <w:rsid w:val="00EB2776"/>
    <w:rsid w:val="00EB32C5"/>
    <w:rsid w:val="00EB3694"/>
    <w:rsid w:val="00EB4005"/>
    <w:rsid w:val="00EB40A2"/>
    <w:rsid w:val="00EB43CC"/>
    <w:rsid w:val="00EB4550"/>
    <w:rsid w:val="00EB4694"/>
    <w:rsid w:val="00EB5180"/>
    <w:rsid w:val="00EB54C3"/>
    <w:rsid w:val="00EB5683"/>
    <w:rsid w:val="00EB5CD1"/>
    <w:rsid w:val="00EB5E6E"/>
    <w:rsid w:val="00EB6049"/>
    <w:rsid w:val="00EB6E8D"/>
    <w:rsid w:val="00EB7208"/>
    <w:rsid w:val="00EB7246"/>
    <w:rsid w:val="00EB779E"/>
    <w:rsid w:val="00EB7C62"/>
    <w:rsid w:val="00EB7C93"/>
    <w:rsid w:val="00EC0227"/>
    <w:rsid w:val="00EC0330"/>
    <w:rsid w:val="00EC0595"/>
    <w:rsid w:val="00EC07DE"/>
    <w:rsid w:val="00EC0B48"/>
    <w:rsid w:val="00EC0D30"/>
    <w:rsid w:val="00EC16E7"/>
    <w:rsid w:val="00EC18A3"/>
    <w:rsid w:val="00EC1A12"/>
    <w:rsid w:val="00EC1C1D"/>
    <w:rsid w:val="00EC1EDF"/>
    <w:rsid w:val="00EC2841"/>
    <w:rsid w:val="00EC2F71"/>
    <w:rsid w:val="00EC2F8D"/>
    <w:rsid w:val="00EC338D"/>
    <w:rsid w:val="00EC349F"/>
    <w:rsid w:val="00EC35D2"/>
    <w:rsid w:val="00EC366D"/>
    <w:rsid w:val="00EC37B9"/>
    <w:rsid w:val="00EC3865"/>
    <w:rsid w:val="00EC3F4A"/>
    <w:rsid w:val="00EC3F7B"/>
    <w:rsid w:val="00EC4075"/>
    <w:rsid w:val="00EC4301"/>
    <w:rsid w:val="00EC433A"/>
    <w:rsid w:val="00EC47F5"/>
    <w:rsid w:val="00EC4CF5"/>
    <w:rsid w:val="00EC52D0"/>
    <w:rsid w:val="00EC5599"/>
    <w:rsid w:val="00EC56D3"/>
    <w:rsid w:val="00EC574C"/>
    <w:rsid w:val="00EC60A7"/>
    <w:rsid w:val="00EC63FF"/>
    <w:rsid w:val="00EC6CC9"/>
    <w:rsid w:val="00EC6EA4"/>
    <w:rsid w:val="00EC6F5A"/>
    <w:rsid w:val="00EC7160"/>
    <w:rsid w:val="00EC7433"/>
    <w:rsid w:val="00EC749E"/>
    <w:rsid w:val="00EC79AE"/>
    <w:rsid w:val="00EC7A3B"/>
    <w:rsid w:val="00EC7B6C"/>
    <w:rsid w:val="00EC7CF0"/>
    <w:rsid w:val="00EC7D13"/>
    <w:rsid w:val="00EC7E28"/>
    <w:rsid w:val="00EC7FC9"/>
    <w:rsid w:val="00ED0097"/>
    <w:rsid w:val="00ED0358"/>
    <w:rsid w:val="00ED03AF"/>
    <w:rsid w:val="00ED0408"/>
    <w:rsid w:val="00ED0840"/>
    <w:rsid w:val="00ED0C3A"/>
    <w:rsid w:val="00ED0DEC"/>
    <w:rsid w:val="00ED103C"/>
    <w:rsid w:val="00ED12F6"/>
    <w:rsid w:val="00ED1352"/>
    <w:rsid w:val="00ED165E"/>
    <w:rsid w:val="00ED1861"/>
    <w:rsid w:val="00ED1BD4"/>
    <w:rsid w:val="00ED20A6"/>
    <w:rsid w:val="00ED30F8"/>
    <w:rsid w:val="00ED3147"/>
    <w:rsid w:val="00ED3488"/>
    <w:rsid w:val="00ED34C3"/>
    <w:rsid w:val="00ED358C"/>
    <w:rsid w:val="00ED380E"/>
    <w:rsid w:val="00ED38AC"/>
    <w:rsid w:val="00ED3B3B"/>
    <w:rsid w:val="00ED3F59"/>
    <w:rsid w:val="00ED3FB5"/>
    <w:rsid w:val="00ED44DA"/>
    <w:rsid w:val="00ED45AC"/>
    <w:rsid w:val="00ED49F2"/>
    <w:rsid w:val="00ED4A9A"/>
    <w:rsid w:val="00ED4B9F"/>
    <w:rsid w:val="00ED518B"/>
    <w:rsid w:val="00ED56AA"/>
    <w:rsid w:val="00ED581E"/>
    <w:rsid w:val="00ED5C63"/>
    <w:rsid w:val="00ED62E8"/>
    <w:rsid w:val="00ED6AA8"/>
    <w:rsid w:val="00ED70DB"/>
    <w:rsid w:val="00ED75E9"/>
    <w:rsid w:val="00ED76B6"/>
    <w:rsid w:val="00ED7768"/>
    <w:rsid w:val="00ED79CA"/>
    <w:rsid w:val="00ED79E5"/>
    <w:rsid w:val="00ED7B32"/>
    <w:rsid w:val="00ED7B39"/>
    <w:rsid w:val="00EE00FC"/>
    <w:rsid w:val="00EE063A"/>
    <w:rsid w:val="00EE0774"/>
    <w:rsid w:val="00EE0DCE"/>
    <w:rsid w:val="00EE0EA0"/>
    <w:rsid w:val="00EE132C"/>
    <w:rsid w:val="00EE1673"/>
    <w:rsid w:val="00EE16D4"/>
    <w:rsid w:val="00EE17C8"/>
    <w:rsid w:val="00EE17DB"/>
    <w:rsid w:val="00EE1C94"/>
    <w:rsid w:val="00EE2495"/>
    <w:rsid w:val="00EE25DF"/>
    <w:rsid w:val="00EE279F"/>
    <w:rsid w:val="00EE2914"/>
    <w:rsid w:val="00EE298B"/>
    <w:rsid w:val="00EE2BB2"/>
    <w:rsid w:val="00EE2C64"/>
    <w:rsid w:val="00EE2C87"/>
    <w:rsid w:val="00EE300D"/>
    <w:rsid w:val="00EE3045"/>
    <w:rsid w:val="00EE30F0"/>
    <w:rsid w:val="00EE337C"/>
    <w:rsid w:val="00EE3602"/>
    <w:rsid w:val="00EE3714"/>
    <w:rsid w:val="00EE37BE"/>
    <w:rsid w:val="00EE3B1A"/>
    <w:rsid w:val="00EE4059"/>
    <w:rsid w:val="00EE413E"/>
    <w:rsid w:val="00EE4378"/>
    <w:rsid w:val="00EE4565"/>
    <w:rsid w:val="00EE4C2D"/>
    <w:rsid w:val="00EE4E10"/>
    <w:rsid w:val="00EE4E39"/>
    <w:rsid w:val="00EE5111"/>
    <w:rsid w:val="00EE5733"/>
    <w:rsid w:val="00EE575E"/>
    <w:rsid w:val="00EE5849"/>
    <w:rsid w:val="00EE5AD6"/>
    <w:rsid w:val="00EE5D35"/>
    <w:rsid w:val="00EE5E27"/>
    <w:rsid w:val="00EE5F03"/>
    <w:rsid w:val="00EE61A2"/>
    <w:rsid w:val="00EE61D8"/>
    <w:rsid w:val="00EE62F0"/>
    <w:rsid w:val="00EE6415"/>
    <w:rsid w:val="00EE658F"/>
    <w:rsid w:val="00EE68BB"/>
    <w:rsid w:val="00EE6D78"/>
    <w:rsid w:val="00EE6DE6"/>
    <w:rsid w:val="00EE72E4"/>
    <w:rsid w:val="00EE7C25"/>
    <w:rsid w:val="00EF0269"/>
    <w:rsid w:val="00EF058C"/>
    <w:rsid w:val="00EF069D"/>
    <w:rsid w:val="00EF0925"/>
    <w:rsid w:val="00EF0DFF"/>
    <w:rsid w:val="00EF0E63"/>
    <w:rsid w:val="00EF0F0B"/>
    <w:rsid w:val="00EF10EC"/>
    <w:rsid w:val="00EF1F50"/>
    <w:rsid w:val="00EF1F65"/>
    <w:rsid w:val="00EF235C"/>
    <w:rsid w:val="00EF265D"/>
    <w:rsid w:val="00EF2805"/>
    <w:rsid w:val="00EF2906"/>
    <w:rsid w:val="00EF2922"/>
    <w:rsid w:val="00EF2D71"/>
    <w:rsid w:val="00EF3582"/>
    <w:rsid w:val="00EF38B7"/>
    <w:rsid w:val="00EF3984"/>
    <w:rsid w:val="00EF39A5"/>
    <w:rsid w:val="00EF3DF0"/>
    <w:rsid w:val="00EF4086"/>
    <w:rsid w:val="00EF4357"/>
    <w:rsid w:val="00EF48D4"/>
    <w:rsid w:val="00EF4EE0"/>
    <w:rsid w:val="00EF5518"/>
    <w:rsid w:val="00EF5A84"/>
    <w:rsid w:val="00EF5B0D"/>
    <w:rsid w:val="00EF5DC1"/>
    <w:rsid w:val="00EF6150"/>
    <w:rsid w:val="00EF65B5"/>
    <w:rsid w:val="00EF699A"/>
    <w:rsid w:val="00EF6AEB"/>
    <w:rsid w:val="00EF6BDB"/>
    <w:rsid w:val="00EF6C2B"/>
    <w:rsid w:val="00EF6E72"/>
    <w:rsid w:val="00EF6EE7"/>
    <w:rsid w:val="00EF70E7"/>
    <w:rsid w:val="00EF74F5"/>
    <w:rsid w:val="00EF76C5"/>
    <w:rsid w:val="00EF772D"/>
    <w:rsid w:val="00EF78EC"/>
    <w:rsid w:val="00EF7906"/>
    <w:rsid w:val="00F005A1"/>
    <w:rsid w:val="00F00797"/>
    <w:rsid w:val="00F00A07"/>
    <w:rsid w:val="00F00E8F"/>
    <w:rsid w:val="00F0115B"/>
    <w:rsid w:val="00F0119D"/>
    <w:rsid w:val="00F01E1E"/>
    <w:rsid w:val="00F01F8E"/>
    <w:rsid w:val="00F0218B"/>
    <w:rsid w:val="00F0232D"/>
    <w:rsid w:val="00F025A6"/>
    <w:rsid w:val="00F025A7"/>
    <w:rsid w:val="00F0263C"/>
    <w:rsid w:val="00F02A9A"/>
    <w:rsid w:val="00F03E36"/>
    <w:rsid w:val="00F0406A"/>
    <w:rsid w:val="00F0434D"/>
    <w:rsid w:val="00F045B9"/>
    <w:rsid w:val="00F04798"/>
    <w:rsid w:val="00F04A98"/>
    <w:rsid w:val="00F04D01"/>
    <w:rsid w:val="00F051E8"/>
    <w:rsid w:val="00F05429"/>
    <w:rsid w:val="00F056BE"/>
    <w:rsid w:val="00F05984"/>
    <w:rsid w:val="00F05988"/>
    <w:rsid w:val="00F05A6E"/>
    <w:rsid w:val="00F05B0D"/>
    <w:rsid w:val="00F05B2B"/>
    <w:rsid w:val="00F05F8E"/>
    <w:rsid w:val="00F060A2"/>
    <w:rsid w:val="00F060D4"/>
    <w:rsid w:val="00F06CAF"/>
    <w:rsid w:val="00F06D86"/>
    <w:rsid w:val="00F0734B"/>
    <w:rsid w:val="00F076D1"/>
    <w:rsid w:val="00F07A43"/>
    <w:rsid w:val="00F10018"/>
    <w:rsid w:val="00F1019C"/>
    <w:rsid w:val="00F10451"/>
    <w:rsid w:val="00F1060A"/>
    <w:rsid w:val="00F1067A"/>
    <w:rsid w:val="00F10694"/>
    <w:rsid w:val="00F10AB3"/>
    <w:rsid w:val="00F10C53"/>
    <w:rsid w:val="00F10CED"/>
    <w:rsid w:val="00F10D06"/>
    <w:rsid w:val="00F10D40"/>
    <w:rsid w:val="00F110C4"/>
    <w:rsid w:val="00F11520"/>
    <w:rsid w:val="00F11697"/>
    <w:rsid w:val="00F117C0"/>
    <w:rsid w:val="00F11AC7"/>
    <w:rsid w:val="00F11DBC"/>
    <w:rsid w:val="00F125DD"/>
    <w:rsid w:val="00F129AD"/>
    <w:rsid w:val="00F12B17"/>
    <w:rsid w:val="00F12C74"/>
    <w:rsid w:val="00F12D1B"/>
    <w:rsid w:val="00F12E10"/>
    <w:rsid w:val="00F12EFB"/>
    <w:rsid w:val="00F131D3"/>
    <w:rsid w:val="00F13455"/>
    <w:rsid w:val="00F1365A"/>
    <w:rsid w:val="00F137B2"/>
    <w:rsid w:val="00F13C10"/>
    <w:rsid w:val="00F14372"/>
    <w:rsid w:val="00F1455C"/>
    <w:rsid w:val="00F14567"/>
    <w:rsid w:val="00F14670"/>
    <w:rsid w:val="00F148FF"/>
    <w:rsid w:val="00F14BFB"/>
    <w:rsid w:val="00F14C99"/>
    <w:rsid w:val="00F14D8C"/>
    <w:rsid w:val="00F14EAC"/>
    <w:rsid w:val="00F14FBD"/>
    <w:rsid w:val="00F1518C"/>
    <w:rsid w:val="00F151E5"/>
    <w:rsid w:val="00F15253"/>
    <w:rsid w:val="00F1535F"/>
    <w:rsid w:val="00F15418"/>
    <w:rsid w:val="00F15667"/>
    <w:rsid w:val="00F15AB0"/>
    <w:rsid w:val="00F15D4D"/>
    <w:rsid w:val="00F15E10"/>
    <w:rsid w:val="00F15EAA"/>
    <w:rsid w:val="00F15F45"/>
    <w:rsid w:val="00F15F5C"/>
    <w:rsid w:val="00F1655A"/>
    <w:rsid w:val="00F165B6"/>
    <w:rsid w:val="00F16C54"/>
    <w:rsid w:val="00F16E5E"/>
    <w:rsid w:val="00F16FD1"/>
    <w:rsid w:val="00F17371"/>
    <w:rsid w:val="00F1782F"/>
    <w:rsid w:val="00F20221"/>
    <w:rsid w:val="00F20347"/>
    <w:rsid w:val="00F206B1"/>
    <w:rsid w:val="00F2093F"/>
    <w:rsid w:val="00F20EF2"/>
    <w:rsid w:val="00F20EF6"/>
    <w:rsid w:val="00F211D6"/>
    <w:rsid w:val="00F218AD"/>
    <w:rsid w:val="00F219CF"/>
    <w:rsid w:val="00F21B3E"/>
    <w:rsid w:val="00F21BFF"/>
    <w:rsid w:val="00F21F8C"/>
    <w:rsid w:val="00F22175"/>
    <w:rsid w:val="00F2242D"/>
    <w:rsid w:val="00F22933"/>
    <w:rsid w:val="00F22AE8"/>
    <w:rsid w:val="00F22C48"/>
    <w:rsid w:val="00F22CF0"/>
    <w:rsid w:val="00F22F93"/>
    <w:rsid w:val="00F22F9B"/>
    <w:rsid w:val="00F230C5"/>
    <w:rsid w:val="00F23266"/>
    <w:rsid w:val="00F23337"/>
    <w:rsid w:val="00F234C6"/>
    <w:rsid w:val="00F234D8"/>
    <w:rsid w:val="00F23537"/>
    <w:rsid w:val="00F23584"/>
    <w:rsid w:val="00F239CE"/>
    <w:rsid w:val="00F23E8A"/>
    <w:rsid w:val="00F24462"/>
    <w:rsid w:val="00F24896"/>
    <w:rsid w:val="00F248DC"/>
    <w:rsid w:val="00F2492B"/>
    <w:rsid w:val="00F24A26"/>
    <w:rsid w:val="00F24EF6"/>
    <w:rsid w:val="00F2503F"/>
    <w:rsid w:val="00F2570B"/>
    <w:rsid w:val="00F2594D"/>
    <w:rsid w:val="00F25A27"/>
    <w:rsid w:val="00F25B25"/>
    <w:rsid w:val="00F25F89"/>
    <w:rsid w:val="00F26429"/>
    <w:rsid w:val="00F268A6"/>
    <w:rsid w:val="00F26A16"/>
    <w:rsid w:val="00F26C17"/>
    <w:rsid w:val="00F26CEA"/>
    <w:rsid w:val="00F27099"/>
    <w:rsid w:val="00F27110"/>
    <w:rsid w:val="00F276A3"/>
    <w:rsid w:val="00F278BB"/>
    <w:rsid w:val="00F2796D"/>
    <w:rsid w:val="00F279EF"/>
    <w:rsid w:val="00F3008F"/>
    <w:rsid w:val="00F30226"/>
    <w:rsid w:val="00F30609"/>
    <w:rsid w:val="00F306BE"/>
    <w:rsid w:val="00F30702"/>
    <w:rsid w:val="00F3081C"/>
    <w:rsid w:val="00F30D2B"/>
    <w:rsid w:val="00F30D78"/>
    <w:rsid w:val="00F31311"/>
    <w:rsid w:val="00F3150F"/>
    <w:rsid w:val="00F31BDA"/>
    <w:rsid w:val="00F3209D"/>
    <w:rsid w:val="00F325C9"/>
    <w:rsid w:val="00F3261F"/>
    <w:rsid w:val="00F3263F"/>
    <w:rsid w:val="00F3276E"/>
    <w:rsid w:val="00F327DA"/>
    <w:rsid w:val="00F32B2B"/>
    <w:rsid w:val="00F32B6C"/>
    <w:rsid w:val="00F32E4E"/>
    <w:rsid w:val="00F3356C"/>
    <w:rsid w:val="00F3375D"/>
    <w:rsid w:val="00F33C06"/>
    <w:rsid w:val="00F33CB3"/>
    <w:rsid w:val="00F34084"/>
    <w:rsid w:val="00F342FA"/>
    <w:rsid w:val="00F34518"/>
    <w:rsid w:val="00F35569"/>
    <w:rsid w:val="00F35A2E"/>
    <w:rsid w:val="00F363B4"/>
    <w:rsid w:val="00F36474"/>
    <w:rsid w:val="00F3647F"/>
    <w:rsid w:val="00F36E05"/>
    <w:rsid w:val="00F36F6B"/>
    <w:rsid w:val="00F3723C"/>
    <w:rsid w:val="00F374AA"/>
    <w:rsid w:val="00F37746"/>
    <w:rsid w:val="00F37AC6"/>
    <w:rsid w:val="00F4009D"/>
    <w:rsid w:val="00F40156"/>
    <w:rsid w:val="00F40209"/>
    <w:rsid w:val="00F406BD"/>
    <w:rsid w:val="00F40740"/>
    <w:rsid w:val="00F40866"/>
    <w:rsid w:val="00F40EA3"/>
    <w:rsid w:val="00F41612"/>
    <w:rsid w:val="00F41D3D"/>
    <w:rsid w:val="00F41D78"/>
    <w:rsid w:val="00F42544"/>
    <w:rsid w:val="00F42A15"/>
    <w:rsid w:val="00F42AC1"/>
    <w:rsid w:val="00F42E46"/>
    <w:rsid w:val="00F4327B"/>
    <w:rsid w:val="00F43349"/>
    <w:rsid w:val="00F435F1"/>
    <w:rsid w:val="00F438A9"/>
    <w:rsid w:val="00F43A3A"/>
    <w:rsid w:val="00F44203"/>
    <w:rsid w:val="00F44427"/>
    <w:rsid w:val="00F445E4"/>
    <w:rsid w:val="00F446C0"/>
    <w:rsid w:val="00F448EC"/>
    <w:rsid w:val="00F451D0"/>
    <w:rsid w:val="00F45228"/>
    <w:rsid w:val="00F4525D"/>
    <w:rsid w:val="00F452BB"/>
    <w:rsid w:val="00F4540B"/>
    <w:rsid w:val="00F454A6"/>
    <w:rsid w:val="00F4572E"/>
    <w:rsid w:val="00F45A54"/>
    <w:rsid w:val="00F46126"/>
    <w:rsid w:val="00F462FD"/>
    <w:rsid w:val="00F46465"/>
    <w:rsid w:val="00F46999"/>
    <w:rsid w:val="00F472B3"/>
    <w:rsid w:val="00F4742B"/>
    <w:rsid w:val="00F475E1"/>
    <w:rsid w:val="00F47968"/>
    <w:rsid w:val="00F479F3"/>
    <w:rsid w:val="00F47AD4"/>
    <w:rsid w:val="00F47C96"/>
    <w:rsid w:val="00F50075"/>
    <w:rsid w:val="00F500E9"/>
    <w:rsid w:val="00F50361"/>
    <w:rsid w:val="00F50456"/>
    <w:rsid w:val="00F5061A"/>
    <w:rsid w:val="00F506EF"/>
    <w:rsid w:val="00F5071F"/>
    <w:rsid w:val="00F5093A"/>
    <w:rsid w:val="00F50D31"/>
    <w:rsid w:val="00F50DF6"/>
    <w:rsid w:val="00F50FA8"/>
    <w:rsid w:val="00F510F7"/>
    <w:rsid w:val="00F5116E"/>
    <w:rsid w:val="00F5140D"/>
    <w:rsid w:val="00F51655"/>
    <w:rsid w:val="00F51900"/>
    <w:rsid w:val="00F519B4"/>
    <w:rsid w:val="00F519D3"/>
    <w:rsid w:val="00F51CE0"/>
    <w:rsid w:val="00F51E9E"/>
    <w:rsid w:val="00F5279E"/>
    <w:rsid w:val="00F52CDE"/>
    <w:rsid w:val="00F53AF0"/>
    <w:rsid w:val="00F53BE6"/>
    <w:rsid w:val="00F54639"/>
    <w:rsid w:val="00F5490D"/>
    <w:rsid w:val="00F54A20"/>
    <w:rsid w:val="00F55170"/>
    <w:rsid w:val="00F553D0"/>
    <w:rsid w:val="00F554A0"/>
    <w:rsid w:val="00F55A86"/>
    <w:rsid w:val="00F55F07"/>
    <w:rsid w:val="00F55FA5"/>
    <w:rsid w:val="00F561A0"/>
    <w:rsid w:val="00F565A3"/>
    <w:rsid w:val="00F565F0"/>
    <w:rsid w:val="00F56723"/>
    <w:rsid w:val="00F568F2"/>
    <w:rsid w:val="00F56953"/>
    <w:rsid w:val="00F56969"/>
    <w:rsid w:val="00F571EC"/>
    <w:rsid w:val="00F57495"/>
    <w:rsid w:val="00F57637"/>
    <w:rsid w:val="00F576D1"/>
    <w:rsid w:val="00F57B87"/>
    <w:rsid w:val="00F57D5A"/>
    <w:rsid w:val="00F57DE9"/>
    <w:rsid w:val="00F57F16"/>
    <w:rsid w:val="00F57F7A"/>
    <w:rsid w:val="00F6020C"/>
    <w:rsid w:val="00F607E2"/>
    <w:rsid w:val="00F60AAA"/>
    <w:rsid w:val="00F60C38"/>
    <w:rsid w:val="00F60D0F"/>
    <w:rsid w:val="00F61142"/>
    <w:rsid w:val="00F61273"/>
    <w:rsid w:val="00F6148D"/>
    <w:rsid w:val="00F614B2"/>
    <w:rsid w:val="00F619E1"/>
    <w:rsid w:val="00F61C79"/>
    <w:rsid w:val="00F61CF1"/>
    <w:rsid w:val="00F622C6"/>
    <w:rsid w:val="00F62BA8"/>
    <w:rsid w:val="00F62D9C"/>
    <w:rsid w:val="00F62F83"/>
    <w:rsid w:val="00F63A2E"/>
    <w:rsid w:val="00F63AD5"/>
    <w:rsid w:val="00F642E7"/>
    <w:rsid w:val="00F64334"/>
    <w:rsid w:val="00F64AA3"/>
    <w:rsid w:val="00F64B02"/>
    <w:rsid w:val="00F64BBD"/>
    <w:rsid w:val="00F65303"/>
    <w:rsid w:val="00F653F2"/>
    <w:rsid w:val="00F657A4"/>
    <w:rsid w:val="00F659C5"/>
    <w:rsid w:val="00F65A5D"/>
    <w:rsid w:val="00F65FC6"/>
    <w:rsid w:val="00F66004"/>
    <w:rsid w:val="00F662C6"/>
    <w:rsid w:val="00F66388"/>
    <w:rsid w:val="00F667A3"/>
    <w:rsid w:val="00F66810"/>
    <w:rsid w:val="00F66C3D"/>
    <w:rsid w:val="00F66C8D"/>
    <w:rsid w:val="00F66DF7"/>
    <w:rsid w:val="00F6723F"/>
    <w:rsid w:val="00F676D5"/>
    <w:rsid w:val="00F6771E"/>
    <w:rsid w:val="00F6787F"/>
    <w:rsid w:val="00F67907"/>
    <w:rsid w:val="00F67986"/>
    <w:rsid w:val="00F67AF2"/>
    <w:rsid w:val="00F67BE7"/>
    <w:rsid w:val="00F70196"/>
    <w:rsid w:val="00F701C7"/>
    <w:rsid w:val="00F70751"/>
    <w:rsid w:val="00F70E5F"/>
    <w:rsid w:val="00F71282"/>
    <w:rsid w:val="00F713EC"/>
    <w:rsid w:val="00F71500"/>
    <w:rsid w:val="00F71740"/>
    <w:rsid w:val="00F71C88"/>
    <w:rsid w:val="00F71CF0"/>
    <w:rsid w:val="00F71D74"/>
    <w:rsid w:val="00F71DD5"/>
    <w:rsid w:val="00F71DD6"/>
    <w:rsid w:val="00F7249C"/>
    <w:rsid w:val="00F72571"/>
    <w:rsid w:val="00F72846"/>
    <w:rsid w:val="00F729F7"/>
    <w:rsid w:val="00F72A3D"/>
    <w:rsid w:val="00F72D9E"/>
    <w:rsid w:val="00F72E93"/>
    <w:rsid w:val="00F73017"/>
    <w:rsid w:val="00F73243"/>
    <w:rsid w:val="00F732B3"/>
    <w:rsid w:val="00F733CB"/>
    <w:rsid w:val="00F73A80"/>
    <w:rsid w:val="00F73B6C"/>
    <w:rsid w:val="00F73D36"/>
    <w:rsid w:val="00F7435C"/>
    <w:rsid w:val="00F745B5"/>
    <w:rsid w:val="00F745C7"/>
    <w:rsid w:val="00F746AA"/>
    <w:rsid w:val="00F74D32"/>
    <w:rsid w:val="00F74DB8"/>
    <w:rsid w:val="00F74E32"/>
    <w:rsid w:val="00F75041"/>
    <w:rsid w:val="00F75183"/>
    <w:rsid w:val="00F751AD"/>
    <w:rsid w:val="00F75331"/>
    <w:rsid w:val="00F759A3"/>
    <w:rsid w:val="00F75B25"/>
    <w:rsid w:val="00F75C1A"/>
    <w:rsid w:val="00F75C48"/>
    <w:rsid w:val="00F75CAC"/>
    <w:rsid w:val="00F75EF6"/>
    <w:rsid w:val="00F76D16"/>
    <w:rsid w:val="00F76E76"/>
    <w:rsid w:val="00F772C3"/>
    <w:rsid w:val="00F773FF"/>
    <w:rsid w:val="00F7744F"/>
    <w:rsid w:val="00F7747E"/>
    <w:rsid w:val="00F77AE6"/>
    <w:rsid w:val="00F77EA7"/>
    <w:rsid w:val="00F80041"/>
    <w:rsid w:val="00F80AF4"/>
    <w:rsid w:val="00F8109E"/>
    <w:rsid w:val="00F810CE"/>
    <w:rsid w:val="00F810D7"/>
    <w:rsid w:val="00F813DB"/>
    <w:rsid w:val="00F818EC"/>
    <w:rsid w:val="00F81B6D"/>
    <w:rsid w:val="00F81E76"/>
    <w:rsid w:val="00F81EE8"/>
    <w:rsid w:val="00F81F14"/>
    <w:rsid w:val="00F82055"/>
    <w:rsid w:val="00F82091"/>
    <w:rsid w:val="00F8231A"/>
    <w:rsid w:val="00F82520"/>
    <w:rsid w:val="00F8256A"/>
    <w:rsid w:val="00F82650"/>
    <w:rsid w:val="00F8294F"/>
    <w:rsid w:val="00F82CAF"/>
    <w:rsid w:val="00F8306E"/>
    <w:rsid w:val="00F83107"/>
    <w:rsid w:val="00F8326F"/>
    <w:rsid w:val="00F83EE8"/>
    <w:rsid w:val="00F84004"/>
    <w:rsid w:val="00F8405B"/>
    <w:rsid w:val="00F8453D"/>
    <w:rsid w:val="00F84828"/>
    <w:rsid w:val="00F85053"/>
    <w:rsid w:val="00F854CB"/>
    <w:rsid w:val="00F85FF8"/>
    <w:rsid w:val="00F8644E"/>
    <w:rsid w:val="00F8660D"/>
    <w:rsid w:val="00F86635"/>
    <w:rsid w:val="00F86655"/>
    <w:rsid w:val="00F8671B"/>
    <w:rsid w:val="00F869E8"/>
    <w:rsid w:val="00F86EFD"/>
    <w:rsid w:val="00F87344"/>
    <w:rsid w:val="00F87391"/>
    <w:rsid w:val="00F8753E"/>
    <w:rsid w:val="00F8772B"/>
    <w:rsid w:val="00F87B2F"/>
    <w:rsid w:val="00F87B70"/>
    <w:rsid w:val="00F87BBF"/>
    <w:rsid w:val="00F87E17"/>
    <w:rsid w:val="00F87F58"/>
    <w:rsid w:val="00F87F99"/>
    <w:rsid w:val="00F8DDCF"/>
    <w:rsid w:val="00F901A4"/>
    <w:rsid w:val="00F90300"/>
    <w:rsid w:val="00F9039C"/>
    <w:rsid w:val="00F90446"/>
    <w:rsid w:val="00F905A0"/>
    <w:rsid w:val="00F909A6"/>
    <w:rsid w:val="00F90ECD"/>
    <w:rsid w:val="00F910C3"/>
    <w:rsid w:val="00F9113D"/>
    <w:rsid w:val="00F91153"/>
    <w:rsid w:val="00F9119D"/>
    <w:rsid w:val="00F9138B"/>
    <w:rsid w:val="00F91667"/>
    <w:rsid w:val="00F91C70"/>
    <w:rsid w:val="00F91D45"/>
    <w:rsid w:val="00F91F4F"/>
    <w:rsid w:val="00F920E1"/>
    <w:rsid w:val="00F92746"/>
    <w:rsid w:val="00F92B20"/>
    <w:rsid w:val="00F930F6"/>
    <w:rsid w:val="00F93296"/>
    <w:rsid w:val="00F935BE"/>
    <w:rsid w:val="00F93740"/>
    <w:rsid w:val="00F93865"/>
    <w:rsid w:val="00F939F5"/>
    <w:rsid w:val="00F93EFB"/>
    <w:rsid w:val="00F9413D"/>
    <w:rsid w:val="00F945CE"/>
    <w:rsid w:val="00F94C16"/>
    <w:rsid w:val="00F94D12"/>
    <w:rsid w:val="00F94D83"/>
    <w:rsid w:val="00F94DB1"/>
    <w:rsid w:val="00F94F8F"/>
    <w:rsid w:val="00F94F94"/>
    <w:rsid w:val="00F95A42"/>
    <w:rsid w:val="00F95D9C"/>
    <w:rsid w:val="00F95E0E"/>
    <w:rsid w:val="00F95F1E"/>
    <w:rsid w:val="00F96165"/>
    <w:rsid w:val="00F96431"/>
    <w:rsid w:val="00F964E2"/>
    <w:rsid w:val="00F966F2"/>
    <w:rsid w:val="00F96868"/>
    <w:rsid w:val="00F9694B"/>
    <w:rsid w:val="00F96AC9"/>
    <w:rsid w:val="00F96C23"/>
    <w:rsid w:val="00F9714E"/>
    <w:rsid w:val="00F973D7"/>
    <w:rsid w:val="00F97480"/>
    <w:rsid w:val="00F97527"/>
    <w:rsid w:val="00F9766F"/>
    <w:rsid w:val="00F977CF"/>
    <w:rsid w:val="00F979DB"/>
    <w:rsid w:val="00F97B36"/>
    <w:rsid w:val="00FA010E"/>
    <w:rsid w:val="00FA0D19"/>
    <w:rsid w:val="00FA0F43"/>
    <w:rsid w:val="00FA0F90"/>
    <w:rsid w:val="00FA0F93"/>
    <w:rsid w:val="00FA10EA"/>
    <w:rsid w:val="00FA113D"/>
    <w:rsid w:val="00FA1667"/>
    <w:rsid w:val="00FA197A"/>
    <w:rsid w:val="00FA1F0C"/>
    <w:rsid w:val="00FA2040"/>
    <w:rsid w:val="00FA2482"/>
    <w:rsid w:val="00FA2846"/>
    <w:rsid w:val="00FA2A0F"/>
    <w:rsid w:val="00FA30B3"/>
    <w:rsid w:val="00FA32E8"/>
    <w:rsid w:val="00FA34F0"/>
    <w:rsid w:val="00FA35A0"/>
    <w:rsid w:val="00FA35CB"/>
    <w:rsid w:val="00FA388F"/>
    <w:rsid w:val="00FA400B"/>
    <w:rsid w:val="00FA401C"/>
    <w:rsid w:val="00FA4108"/>
    <w:rsid w:val="00FA4961"/>
    <w:rsid w:val="00FA4985"/>
    <w:rsid w:val="00FA4993"/>
    <w:rsid w:val="00FA518E"/>
    <w:rsid w:val="00FA5426"/>
    <w:rsid w:val="00FA5DD2"/>
    <w:rsid w:val="00FA5ED9"/>
    <w:rsid w:val="00FA6138"/>
    <w:rsid w:val="00FA663C"/>
    <w:rsid w:val="00FA6958"/>
    <w:rsid w:val="00FA6B29"/>
    <w:rsid w:val="00FA6EC4"/>
    <w:rsid w:val="00FA71CB"/>
    <w:rsid w:val="00FA7243"/>
    <w:rsid w:val="00FA7806"/>
    <w:rsid w:val="00FA7932"/>
    <w:rsid w:val="00FA7D38"/>
    <w:rsid w:val="00FB025A"/>
    <w:rsid w:val="00FB03D0"/>
    <w:rsid w:val="00FB054A"/>
    <w:rsid w:val="00FB05F5"/>
    <w:rsid w:val="00FB0C2C"/>
    <w:rsid w:val="00FB0D02"/>
    <w:rsid w:val="00FB0E85"/>
    <w:rsid w:val="00FB0F9B"/>
    <w:rsid w:val="00FB1003"/>
    <w:rsid w:val="00FB129A"/>
    <w:rsid w:val="00FB133D"/>
    <w:rsid w:val="00FB17B4"/>
    <w:rsid w:val="00FB1E6B"/>
    <w:rsid w:val="00FB1ED8"/>
    <w:rsid w:val="00FB20C1"/>
    <w:rsid w:val="00FB229C"/>
    <w:rsid w:val="00FB2353"/>
    <w:rsid w:val="00FB23BB"/>
    <w:rsid w:val="00FB2577"/>
    <w:rsid w:val="00FB25C1"/>
    <w:rsid w:val="00FB2700"/>
    <w:rsid w:val="00FB2A96"/>
    <w:rsid w:val="00FB2BED"/>
    <w:rsid w:val="00FB2D83"/>
    <w:rsid w:val="00FB2E95"/>
    <w:rsid w:val="00FB2F3E"/>
    <w:rsid w:val="00FB32BE"/>
    <w:rsid w:val="00FB352C"/>
    <w:rsid w:val="00FB36A9"/>
    <w:rsid w:val="00FB3DBA"/>
    <w:rsid w:val="00FB3F07"/>
    <w:rsid w:val="00FB3FF9"/>
    <w:rsid w:val="00FB40D7"/>
    <w:rsid w:val="00FB4316"/>
    <w:rsid w:val="00FB47F5"/>
    <w:rsid w:val="00FB49DD"/>
    <w:rsid w:val="00FB4F82"/>
    <w:rsid w:val="00FB4FC5"/>
    <w:rsid w:val="00FB51FD"/>
    <w:rsid w:val="00FB5731"/>
    <w:rsid w:val="00FB58ED"/>
    <w:rsid w:val="00FB5A6E"/>
    <w:rsid w:val="00FB5AC7"/>
    <w:rsid w:val="00FB5CB0"/>
    <w:rsid w:val="00FB65E3"/>
    <w:rsid w:val="00FB65EF"/>
    <w:rsid w:val="00FB664F"/>
    <w:rsid w:val="00FB67F4"/>
    <w:rsid w:val="00FB68C1"/>
    <w:rsid w:val="00FB6BE9"/>
    <w:rsid w:val="00FB6C38"/>
    <w:rsid w:val="00FB6F4C"/>
    <w:rsid w:val="00FB714A"/>
    <w:rsid w:val="00FB7644"/>
    <w:rsid w:val="00FB7648"/>
    <w:rsid w:val="00FB7671"/>
    <w:rsid w:val="00FB76CA"/>
    <w:rsid w:val="00FB7782"/>
    <w:rsid w:val="00FB77B7"/>
    <w:rsid w:val="00FB786D"/>
    <w:rsid w:val="00FB7B5A"/>
    <w:rsid w:val="00FC049B"/>
    <w:rsid w:val="00FC0AAA"/>
    <w:rsid w:val="00FC0C19"/>
    <w:rsid w:val="00FC0CB5"/>
    <w:rsid w:val="00FC0F22"/>
    <w:rsid w:val="00FC125B"/>
    <w:rsid w:val="00FC13CA"/>
    <w:rsid w:val="00FC146B"/>
    <w:rsid w:val="00FC19C8"/>
    <w:rsid w:val="00FC1A91"/>
    <w:rsid w:val="00FC1E59"/>
    <w:rsid w:val="00FC2104"/>
    <w:rsid w:val="00FC223E"/>
    <w:rsid w:val="00FC239B"/>
    <w:rsid w:val="00FC28D6"/>
    <w:rsid w:val="00FC2B0D"/>
    <w:rsid w:val="00FC2BD6"/>
    <w:rsid w:val="00FC2E85"/>
    <w:rsid w:val="00FC301F"/>
    <w:rsid w:val="00FC3063"/>
    <w:rsid w:val="00FC3776"/>
    <w:rsid w:val="00FC38C3"/>
    <w:rsid w:val="00FC3A87"/>
    <w:rsid w:val="00FC44BF"/>
    <w:rsid w:val="00FC44C2"/>
    <w:rsid w:val="00FC45AB"/>
    <w:rsid w:val="00FC4DE7"/>
    <w:rsid w:val="00FC509A"/>
    <w:rsid w:val="00FC5117"/>
    <w:rsid w:val="00FC54A5"/>
    <w:rsid w:val="00FC55A6"/>
    <w:rsid w:val="00FC56D5"/>
    <w:rsid w:val="00FC58E0"/>
    <w:rsid w:val="00FC5C06"/>
    <w:rsid w:val="00FC5F38"/>
    <w:rsid w:val="00FC6122"/>
    <w:rsid w:val="00FC615B"/>
    <w:rsid w:val="00FC626E"/>
    <w:rsid w:val="00FC62A0"/>
    <w:rsid w:val="00FC633F"/>
    <w:rsid w:val="00FC6363"/>
    <w:rsid w:val="00FC6543"/>
    <w:rsid w:val="00FC6951"/>
    <w:rsid w:val="00FC6C68"/>
    <w:rsid w:val="00FC6ED2"/>
    <w:rsid w:val="00FC6F77"/>
    <w:rsid w:val="00FC7167"/>
    <w:rsid w:val="00FC7287"/>
    <w:rsid w:val="00FC7496"/>
    <w:rsid w:val="00FC76B0"/>
    <w:rsid w:val="00FC7875"/>
    <w:rsid w:val="00FC7B32"/>
    <w:rsid w:val="00FC7BAC"/>
    <w:rsid w:val="00FC7C5F"/>
    <w:rsid w:val="00FD002E"/>
    <w:rsid w:val="00FD0346"/>
    <w:rsid w:val="00FD0658"/>
    <w:rsid w:val="00FD0760"/>
    <w:rsid w:val="00FD07C2"/>
    <w:rsid w:val="00FD0A1F"/>
    <w:rsid w:val="00FD0F9E"/>
    <w:rsid w:val="00FD0FEB"/>
    <w:rsid w:val="00FD117A"/>
    <w:rsid w:val="00FD122C"/>
    <w:rsid w:val="00FD1680"/>
    <w:rsid w:val="00FD1689"/>
    <w:rsid w:val="00FD1D12"/>
    <w:rsid w:val="00FD233A"/>
    <w:rsid w:val="00FD247C"/>
    <w:rsid w:val="00FD2B50"/>
    <w:rsid w:val="00FD31FF"/>
    <w:rsid w:val="00FD390F"/>
    <w:rsid w:val="00FD3DD7"/>
    <w:rsid w:val="00FD4049"/>
    <w:rsid w:val="00FD417E"/>
    <w:rsid w:val="00FD4370"/>
    <w:rsid w:val="00FD48E8"/>
    <w:rsid w:val="00FD4C6C"/>
    <w:rsid w:val="00FD4D9E"/>
    <w:rsid w:val="00FD505C"/>
    <w:rsid w:val="00FD50FF"/>
    <w:rsid w:val="00FD512C"/>
    <w:rsid w:val="00FD5421"/>
    <w:rsid w:val="00FD55A1"/>
    <w:rsid w:val="00FD5818"/>
    <w:rsid w:val="00FD5D94"/>
    <w:rsid w:val="00FD5E53"/>
    <w:rsid w:val="00FD655E"/>
    <w:rsid w:val="00FD6A71"/>
    <w:rsid w:val="00FD6B42"/>
    <w:rsid w:val="00FD6DE3"/>
    <w:rsid w:val="00FD78B2"/>
    <w:rsid w:val="00FD7A7D"/>
    <w:rsid w:val="00FD7CBA"/>
    <w:rsid w:val="00FD7D79"/>
    <w:rsid w:val="00FE03C3"/>
    <w:rsid w:val="00FE0B85"/>
    <w:rsid w:val="00FE0EBD"/>
    <w:rsid w:val="00FE11A7"/>
    <w:rsid w:val="00FE120E"/>
    <w:rsid w:val="00FE133C"/>
    <w:rsid w:val="00FE1C12"/>
    <w:rsid w:val="00FE204A"/>
    <w:rsid w:val="00FE2254"/>
    <w:rsid w:val="00FE2407"/>
    <w:rsid w:val="00FE263D"/>
    <w:rsid w:val="00FE2B4B"/>
    <w:rsid w:val="00FE2FFB"/>
    <w:rsid w:val="00FE31A1"/>
    <w:rsid w:val="00FE31BD"/>
    <w:rsid w:val="00FE3330"/>
    <w:rsid w:val="00FE3745"/>
    <w:rsid w:val="00FE37FB"/>
    <w:rsid w:val="00FE384A"/>
    <w:rsid w:val="00FE40A8"/>
    <w:rsid w:val="00FE434B"/>
    <w:rsid w:val="00FE46EC"/>
    <w:rsid w:val="00FE4943"/>
    <w:rsid w:val="00FE4B51"/>
    <w:rsid w:val="00FE4B8E"/>
    <w:rsid w:val="00FE4D54"/>
    <w:rsid w:val="00FE4FD4"/>
    <w:rsid w:val="00FE5388"/>
    <w:rsid w:val="00FE56C5"/>
    <w:rsid w:val="00FE589D"/>
    <w:rsid w:val="00FE59CC"/>
    <w:rsid w:val="00FE5F1A"/>
    <w:rsid w:val="00FE635C"/>
    <w:rsid w:val="00FE66A9"/>
    <w:rsid w:val="00FE6872"/>
    <w:rsid w:val="00FE6C76"/>
    <w:rsid w:val="00FE6C8D"/>
    <w:rsid w:val="00FE6D1D"/>
    <w:rsid w:val="00FE6DF6"/>
    <w:rsid w:val="00FE7173"/>
    <w:rsid w:val="00FE718A"/>
    <w:rsid w:val="00FE73A6"/>
    <w:rsid w:val="00FE7828"/>
    <w:rsid w:val="00FE7AB7"/>
    <w:rsid w:val="00FE7BBD"/>
    <w:rsid w:val="00FE7C0A"/>
    <w:rsid w:val="00FE7E6F"/>
    <w:rsid w:val="00FF00BE"/>
    <w:rsid w:val="00FF017C"/>
    <w:rsid w:val="00FF0440"/>
    <w:rsid w:val="00FF05B9"/>
    <w:rsid w:val="00FF0897"/>
    <w:rsid w:val="00FF08B6"/>
    <w:rsid w:val="00FF0E24"/>
    <w:rsid w:val="00FF0F52"/>
    <w:rsid w:val="00FF1549"/>
    <w:rsid w:val="00FF1642"/>
    <w:rsid w:val="00FF164D"/>
    <w:rsid w:val="00FF1A0B"/>
    <w:rsid w:val="00FF1A74"/>
    <w:rsid w:val="00FF1A79"/>
    <w:rsid w:val="00FF1D0C"/>
    <w:rsid w:val="00FF1D62"/>
    <w:rsid w:val="00FF1E8D"/>
    <w:rsid w:val="00FF2562"/>
    <w:rsid w:val="00FF26F2"/>
    <w:rsid w:val="00FF271A"/>
    <w:rsid w:val="00FF283A"/>
    <w:rsid w:val="00FF2B7D"/>
    <w:rsid w:val="00FF2F17"/>
    <w:rsid w:val="00FF306E"/>
    <w:rsid w:val="00FF321F"/>
    <w:rsid w:val="00FF3976"/>
    <w:rsid w:val="00FF3AC6"/>
    <w:rsid w:val="00FF3D3E"/>
    <w:rsid w:val="00FF3D89"/>
    <w:rsid w:val="00FF4237"/>
    <w:rsid w:val="00FF42A8"/>
    <w:rsid w:val="00FF436E"/>
    <w:rsid w:val="00FF44A2"/>
    <w:rsid w:val="00FF4717"/>
    <w:rsid w:val="00FF49E1"/>
    <w:rsid w:val="00FF4C35"/>
    <w:rsid w:val="00FF4C3A"/>
    <w:rsid w:val="00FF4D33"/>
    <w:rsid w:val="00FF52C0"/>
    <w:rsid w:val="00FF52CD"/>
    <w:rsid w:val="00FF52D8"/>
    <w:rsid w:val="00FF5B2F"/>
    <w:rsid w:val="00FF5CDF"/>
    <w:rsid w:val="00FF6142"/>
    <w:rsid w:val="00FF621F"/>
    <w:rsid w:val="00FF632C"/>
    <w:rsid w:val="00FF64B1"/>
    <w:rsid w:val="00FF66E6"/>
    <w:rsid w:val="00FF6A0A"/>
    <w:rsid w:val="00FF6A9F"/>
    <w:rsid w:val="00FF6D36"/>
    <w:rsid w:val="00FF6D7C"/>
    <w:rsid w:val="00FF6DDB"/>
    <w:rsid w:val="00FF6EF3"/>
    <w:rsid w:val="00FF7114"/>
    <w:rsid w:val="00FF71BF"/>
    <w:rsid w:val="00FF76A1"/>
    <w:rsid w:val="0168BB13"/>
    <w:rsid w:val="01DAE0E0"/>
    <w:rsid w:val="0450AD9D"/>
    <w:rsid w:val="05DC2D94"/>
    <w:rsid w:val="05F8F01C"/>
    <w:rsid w:val="0B8CCA5D"/>
    <w:rsid w:val="1108DABD"/>
    <w:rsid w:val="11D671BE"/>
    <w:rsid w:val="12C203BD"/>
    <w:rsid w:val="138CCCAE"/>
    <w:rsid w:val="149B5F04"/>
    <w:rsid w:val="1529A3B0"/>
    <w:rsid w:val="169E88D9"/>
    <w:rsid w:val="174E094D"/>
    <w:rsid w:val="18C9AC08"/>
    <w:rsid w:val="1BB9A00D"/>
    <w:rsid w:val="1D74B2AB"/>
    <w:rsid w:val="1FCC80E9"/>
    <w:rsid w:val="21FA719D"/>
    <w:rsid w:val="225E2C55"/>
    <w:rsid w:val="22A2C28D"/>
    <w:rsid w:val="233F7269"/>
    <w:rsid w:val="2612912C"/>
    <w:rsid w:val="26D8AB60"/>
    <w:rsid w:val="28B40333"/>
    <w:rsid w:val="2C3B8FF1"/>
    <w:rsid w:val="2C5EC45E"/>
    <w:rsid w:val="31E62144"/>
    <w:rsid w:val="33206C0F"/>
    <w:rsid w:val="374F00F6"/>
    <w:rsid w:val="37EA7932"/>
    <w:rsid w:val="38D3F49E"/>
    <w:rsid w:val="38F8AAD9"/>
    <w:rsid w:val="3A96C87A"/>
    <w:rsid w:val="3ABF3164"/>
    <w:rsid w:val="41789E75"/>
    <w:rsid w:val="48BC7C73"/>
    <w:rsid w:val="49E8F990"/>
    <w:rsid w:val="4BAA3AE9"/>
    <w:rsid w:val="4C9781F9"/>
    <w:rsid w:val="4CB58F48"/>
    <w:rsid w:val="4DDFFBFD"/>
    <w:rsid w:val="4E9C5331"/>
    <w:rsid w:val="4EB8FEAB"/>
    <w:rsid w:val="4ED113BE"/>
    <w:rsid w:val="4ED8D9CC"/>
    <w:rsid w:val="4EE6899F"/>
    <w:rsid w:val="4FEE237B"/>
    <w:rsid w:val="51EDF527"/>
    <w:rsid w:val="53066A84"/>
    <w:rsid w:val="54AE37BE"/>
    <w:rsid w:val="55394B6D"/>
    <w:rsid w:val="5888719E"/>
    <w:rsid w:val="591C64FD"/>
    <w:rsid w:val="5956CB4A"/>
    <w:rsid w:val="5A3BEEDC"/>
    <w:rsid w:val="5A43CB00"/>
    <w:rsid w:val="5B119195"/>
    <w:rsid w:val="5F1610AE"/>
    <w:rsid w:val="5F83B32D"/>
    <w:rsid w:val="61A2CC66"/>
    <w:rsid w:val="625BE318"/>
    <w:rsid w:val="64868D99"/>
    <w:rsid w:val="657E21C5"/>
    <w:rsid w:val="669D24D5"/>
    <w:rsid w:val="68F02CD6"/>
    <w:rsid w:val="6A31107E"/>
    <w:rsid w:val="6CA8810E"/>
    <w:rsid w:val="714DDB99"/>
    <w:rsid w:val="71F7E2FE"/>
    <w:rsid w:val="73904DF9"/>
    <w:rsid w:val="78CA29EC"/>
    <w:rsid w:val="793E584E"/>
    <w:rsid w:val="79A0B833"/>
    <w:rsid w:val="7AD7E322"/>
    <w:rsid w:val="7BCD7207"/>
    <w:rsid w:val="7CC4451F"/>
    <w:rsid w:val="7E5A6A12"/>
    <w:rsid w:val="7E647FC8"/>
    <w:rsid w:val="7F1F82D1"/>
    <w:rsid w:val="7FFA0F7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EC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10" w:unhideWhenUsed="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iPriority="3"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BA2"/>
    <w:pPr>
      <w:spacing w:after="170"/>
    </w:pPr>
    <w:rPr>
      <w:lang w:val="en-AU"/>
    </w:rPr>
  </w:style>
  <w:style w:type="paragraph" w:styleId="Heading1">
    <w:name w:val="heading 1"/>
    <w:basedOn w:val="Normal"/>
    <w:next w:val="Normal"/>
    <w:link w:val="Heading1Char"/>
    <w:uiPriority w:val="9"/>
    <w:qFormat/>
    <w:rsid w:val="009E2F33"/>
    <w:pPr>
      <w:keepNext/>
      <w:keepLines/>
      <w:pageBreakBefore/>
      <w:numPr>
        <w:numId w:val="1"/>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9"/>
    <w:qFormat/>
    <w:rsid w:val="00CF23CD"/>
    <w:pPr>
      <w:keepNext/>
      <w:keepLines/>
      <w:numPr>
        <w:ilvl w:val="1"/>
        <w:numId w:val="1"/>
      </w:numPr>
      <w:spacing w:before="240" w:after="0"/>
      <w:outlineLvl w:val="1"/>
    </w:pPr>
    <w:rPr>
      <w:rFonts w:eastAsiaTheme="majorEastAsia" w:cstheme="majorBidi"/>
      <w:b/>
      <w:bCs/>
      <w:color w:val="62B5E5" w:themeColor="accent3"/>
      <w:szCs w:val="26"/>
    </w:rPr>
  </w:style>
  <w:style w:type="paragraph" w:styleId="Heading3">
    <w:name w:val="heading 3"/>
    <w:basedOn w:val="Normal"/>
    <w:next w:val="Normal"/>
    <w:link w:val="Heading3Char"/>
    <w:uiPriority w:val="9"/>
    <w:qFormat/>
    <w:rsid w:val="00F9113D"/>
    <w:pPr>
      <w:keepNext/>
      <w:keepLines/>
      <w:numPr>
        <w:ilvl w:val="2"/>
        <w:numId w:val="1"/>
      </w:numPr>
      <w:spacing w:after="0"/>
      <w:outlineLvl w:val="2"/>
    </w:pPr>
    <w:rPr>
      <w:rFonts w:eastAsiaTheme="majorEastAsia" w:cstheme="majorBidi"/>
      <w:b/>
      <w:bCs/>
    </w:rPr>
  </w:style>
  <w:style w:type="paragraph" w:styleId="Heading4">
    <w:name w:val="heading 4"/>
    <w:basedOn w:val="Normal"/>
    <w:next w:val="Normal"/>
    <w:link w:val="Heading4Char"/>
    <w:uiPriority w:val="9"/>
    <w:qFormat/>
    <w:rsid w:val="00F9113D"/>
    <w:pPr>
      <w:keepNext/>
      <w:keepLines/>
      <w:numPr>
        <w:ilvl w:val="3"/>
        <w:numId w:val="1"/>
      </w:numPr>
      <w:tabs>
        <w:tab w:val="left" w:pos="340"/>
      </w:tabs>
      <w:spacing w:after="0"/>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9"/>
    <w:qFormat/>
    <w:rsid w:val="00F9113D"/>
    <w:pPr>
      <w:keepNext/>
      <w:keepLines/>
      <w:numPr>
        <w:ilvl w:val="4"/>
        <w:numId w:val="1"/>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numPr>
        <w:ilvl w:val="5"/>
        <w:numId w:val="1"/>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F33"/>
    <w:rPr>
      <w:rFonts w:eastAsiaTheme="majorEastAsia" w:cstheme="majorBidi"/>
      <w:bCs/>
      <w:sz w:val="60"/>
      <w:szCs w:val="28"/>
      <w:lang w:val="en-AU"/>
    </w:rPr>
  </w:style>
  <w:style w:type="character" w:customStyle="1" w:styleId="Heading2Char">
    <w:name w:val="Heading 2 Char"/>
    <w:basedOn w:val="DefaultParagraphFont"/>
    <w:link w:val="Heading2"/>
    <w:uiPriority w:val="9"/>
    <w:rsid w:val="00CF23CD"/>
    <w:rPr>
      <w:rFonts w:eastAsiaTheme="majorEastAsia" w:cstheme="majorBidi"/>
      <w:b/>
      <w:bCs/>
      <w:color w:val="62B5E5" w:themeColor="accent3"/>
      <w:szCs w:val="26"/>
      <w:lang w:val="en-AU"/>
    </w:rPr>
  </w:style>
  <w:style w:type="table" w:styleId="TableGrid">
    <w:name w:val="Table Grid"/>
    <w:basedOn w:val="TableNormal"/>
    <w:uiPriority w:val="99"/>
    <w:rsid w:val="00D93FF0"/>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10"/>
    <w:semiHidden/>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10"/>
    <w:semiHidden/>
    <w:rsid w:val="00F9113D"/>
    <w:rPr>
      <w:sz w:val="16"/>
      <w:lang w:val="en-AU"/>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lang w:val="en-AU"/>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CC7525"/>
    <w:pPr>
      <w:numPr>
        <w:numId w:val="12"/>
      </w:numPr>
      <w:contextualSpacing/>
    </w:pPr>
    <w:rPr>
      <w:szCs w:val="17"/>
    </w:rPr>
  </w:style>
  <w:style w:type="paragraph" w:styleId="ListBullet2">
    <w:name w:val="List Bullet 2"/>
    <w:basedOn w:val="Normal"/>
    <w:uiPriority w:val="3"/>
    <w:rsid w:val="00CC7525"/>
    <w:pPr>
      <w:numPr>
        <w:numId w:val="13"/>
      </w:numPr>
      <w:contextualSpacing/>
    </w:pPr>
    <w:rPr>
      <w:szCs w:val="17"/>
    </w:rPr>
  </w:style>
  <w:style w:type="paragraph" w:styleId="ListNumber">
    <w:name w:val="List Number"/>
    <w:basedOn w:val="Normal"/>
    <w:uiPriority w:val="3"/>
    <w:qFormat/>
    <w:rsid w:val="007F7A8C"/>
    <w:pPr>
      <w:spacing w:after="0"/>
      <w:ind w:left="340" w:hanging="340"/>
      <w:contextualSpacing/>
    </w:pPr>
    <w:rPr>
      <w:szCs w:val="17"/>
    </w:rPr>
  </w:style>
  <w:style w:type="paragraph" w:styleId="ListNumber2">
    <w:name w:val="List Number 2"/>
    <w:basedOn w:val="Normal"/>
    <w:uiPriority w:val="3"/>
    <w:qFormat/>
    <w:rsid w:val="007F7A8C"/>
    <w:pPr>
      <w:spacing w:after="0"/>
      <w:ind w:left="680" w:hanging="340"/>
      <w:contextualSpacing/>
    </w:pPr>
  </w:style>
  <w:style w:type="character" w:customStyle="1" w:styleId="Heading3Char">
    <w:name w:val="Heading 3 Char"/>
    <w:basedOn w:val="DefaultParagraphFont"/>
    <w:link w:val="Heading3"/>
    <w:uiPriority w:val="9"/>
    <w:rsid w:val="00C50447"/>
    <w:rPr>
      <w:rFonts w:eastAsiaTheme="majorEastAsia" w:cstheme="majorBidi"/>
      <w:b/>
      <w:bCs/>
      <w:lang w:val="en-AU"/>
    </w:rPr>
  </w:style>
  <w:style w:type="character" w:customStyle="1" w:styleId="Heading4Char">
    <w:name w:val="Heading 4 Char"/>
    <w:basedOn w:val="DefaultParagraphFont"/>
    <w:link w:val="Heading4"/>
    <w:uiPriority w:val="9"/>
    <w:rsid w:val="00C50447"/>
    <w:rPr>
      <w:rFonts w:eastAsiaTheme="majorEastAsia" w:cstheme="majorBidi"/>
      <w:b/>
      <w:bCs/>
      <w:iCs/>
      <w:color w:val="75787B" w:themeColor="accent6"/>
      <w:lang w:val="en-AU"/>
    </w:rPr>
  </w:style>
  <w:style w:type="paragraph" w:styleId="FootnoteText">
    <w:name w:val="footnote text"/>
    <w:aliases w:val="single space,ft,Footnote Text Char1 Char"/>
    <w:basedOn w:val="Normal"/>
    <w:link w:val="FootnoteTextChar"/>
    <w:uiPriority w:val="10"/>
    <w:rsid w:val="00F9113D"/>
    <w:pPr>
      <w:spacing w:after="0" w:line="240" w:lineRule="auto"/>
    </w:pPr>
    <w:rPr>
      <w:sz w:val="16"/>
      <w:szCs w:val="20"/>
    </w:rPr>
  </w:style>
  <w:style w:type="character" w:customStyle="1" w:styleId="FootnoteTextChar">
    <w:name w:val="Footnote Text Char"/>
    <w:aliases w:val="single space Char,ft Char,Footnote Text Char1 Char Char"/>
    <w:basedOn w:val="DefaultParagraphFont"/>
    <w:link w:val="FootnoteText"/>
    <w:uiPriority w:val="10"/>
    <w:rsid w:val="00F9113D"/>
    <w:rPr>
      <w:sz w:val="16"/>
      <w:szCs w:val="20"/>
      <w:lang w:val="en-AU"/>
    </w:rPr>
  </w:style>
  <w:style w:type="paragraph" w:customStyle="1" w:styleId="Documenttitle">
    <w:name w:val="Document title"/>
    <w:next w:val="Documentsubtitle"/>
    <w:uiPriority w:val="7"/>
    <w:rsid w:val="00EA4B90"/>
    <w:pPr>
      <w:spacing w:line="440" w:lineRule="atLeast"/>
    </w:pPr>
    <w:rPr>
      <w:rFonts w:eastAsiaTheme="majorEastAsia" w:cstheme="majorBidi"/>
      <w:b/>
      <w:bCs/>
      <w:color w:val="000000" w:themeColor="text1"/>
      <w:sz w:val="36"/>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5D6648"/>
    <w:pPr>
      <w:keepNext/>
      <w:keepLines/>
      <w:spacing w:before="240" w:after="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F9113D"/>
    <w:pPr>
      <w:spacing w:after="120" w:line="440" w:lineRule="atLeast"/>
    </w:pPr>
    <w:rPr>
      <w:sz w:val="36"/>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A242DE"/>
    <w:pPr>
      <w:tabs>
        <w:tab w:val="left" w:pos="567"/>
        <w:tab w:val="right" w:pos="6917"/>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D93FF0"/>
    <w:rPr>
      <w:sz w:val="17"/>
      <w:lang w:val="en-AU"/>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D93FF0"/>
    <w:pPr>
      <w:spacing w:after="0" w:line="200" w:lineRule="atLeast"/>
      <w:ind w:right="57"/>
    </w:pPr>
    <w:rPr>
      <w:sz w:val="17"/>
    </w:rPr>
  </w:style>
  <w:style w:type="paragraph" w:customStyle="1" w:styleId="TableHeadingLeft">
    <w:name w:val="Table Heading Left"/>
    <w:basedOn w:val="TabletextLeft"/>
    <w:uiPriority w:val="5"/>
    <w:rsid w:val="00F9113D"/>
    <w:rPr>
      <w:b/>
      <w:color w:val="62B5E5" w:themeColor="accent3"/>
    </w:rPr>
  </w:style>
  <w:style w:type="paragraph" w:customStyle="1" w:styleId="Source">
    <w:name w:val="Source"/>
    <w:basedOn w:val="Caption"/>
    <w:next w:val="Normal"/>
    <w:uiPriority w:val="6"/>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8"/>
      </w:numPr>
      <w:suppressOverlap/>
    </w:pPr>
  </w:style>
  <w:style w:type="paragraph" w:customStyle="1" w:styleId="Tablenumbered">
    <w:name w:val="Table numbered"/>
    <w:basedOn w:val="TabletextLeft"/>
    <w:uiPriority w:val="5"/>
    <w:rsid w:val="00F9113D"/>
    <w:pPr>
      <w:framePr w:hSpace="180" w:wrap="around" w:vAnchor="text" w:hAnchor="text" w:y="1"/>
      <w:numPr>
        <w:numId w:val="9"/>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rPr>
      <w:lang w:val="en-AU"/>
    </w:rPr>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rPr>
      <w:lang w:val="en-AU"/>
    </w:rPr>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lang w:val="en-AU"/>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rPr>
      <w:lang w:val="en-AU"/>
    </w:rPr>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rPr>
      <w:lang w:val="en-AU"/>
    </w:rPr>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rPr>
      <w:lang w:val="en-AU"/>
    </w:rPr>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rPr>
      <w:lang w:val="en-AU"/>
    </w:rPr>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lang w:val="en-AU"/>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rPr>
      <w:lang w:val="en-AU"/>
    </w:rPr>
  </w:style>
  <w:style w:type="table" w:styleId="ColorfulGrid">
    <w:name w:val="Colorful Grid"/>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lang w:val="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lang w:val="en-AU"/>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lang w:val="en-AU"/>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lang w:val="en-AU"/>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lang w:val="en-AU"/>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lang w:val="en-AU"/>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lang w:val="en-AU"/>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lang w:val="en-AU"/>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lang w:val="en-AU"/>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lang w:val="en-AU"/>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lang w:val="en-AU"/>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lang w:val="en-AU"/>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lang w:val="en-AU"/>
    </w:rPr>
  </w:style>
  <w:style w:type="table" w:styleId="DarkList">
    <w:name w:val="Dark List"/>
    <w:basedOn w:val="TableNormal"/>
    <w:uiPriority w:val="70"/>
    <w:rsid w:val="00F9113D"/>
    <w:pPr>
      <w:spacing w:line="240" w:lineRule="auto"/>
    </w:pPr>
    <w:rPr>
      <w:color w:val="FFFFFF" w:themeColor="background1"/>
      <w:lang w:val="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lang w:val="en-AU"/>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lang w:val="en-AU"/>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lang w:val="en-AU"/>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lang w:val="en-AU"/>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lang w:val="en-AU"/>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lang w:val="en-AU"/>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rPr>
      <w:lang w:val="en-AU"/>
    </w:rPr>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lang w:val="en-AU"/>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rPr>
      <w:lang w:val="en-AU"/>
    </w:rPr>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F9113D"/>
    <w:pPr>
      <w:spacing w:line="240" w:lineRule="auto"/>
    </w:pPr>
    <w:rPr>
      <w:sz w:val="20"/>
      <w:szCs w:val="20"/>
    </w:rPr>
  </w:style>
  <w:style w:type="character" w:customStyle="1" w:styleId="EndnoteTextChar">
    <w:name w:val="Endnote Text Char"/>
    <w:basedOn w:val="DefaultParagraphFont"/>
    <w:link w:val="EndnoteText"/>
    <w:uiPriority w:val="99"/>
    <w:semiHidden/>
    <w:rsid w:val="00F9113D"/>
    <w:rPr>
      <w:sz w:val="20"/>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9"/>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lang w:val="en-AU"/>
    </w:rPr>
  </w:style>
  <w:style w:type="character" w:customStyle="1" w:styleId="Heading8Char">
    <w:name w:val="Heading 8 Char"/>
    <w:basedOn w:val="DefaultParagraphFont"/>
    <w:link w:val="Heading8"/>
    <w:uiPriority w:val="1"/>
    <w:semiHidden/>
    <w:rsid w:val="00F9113D"/>
    <w:rPr>
      <w:rFonts w:eastAsiaTheme="majorEastAsia" w:cstheme="majorBidi"/>
      <w:b/>
      <w:szCs w:val="20"/>
      <w:lang w:val="en-AU"/>
    </w:rPr>
  </w:style>
  <w:style w:type="character" w:customStyle="1" w:styleId="Heading9Char">
    <w:name w:val="Heading 9 Char"/>
    <w:basedOn w:val="DefaultParagraphFont"/>
    <w:link w:val="Heading9"/>
    <w:uiPriority w:val="1"/>
    <w:semiHidden/>
    <w:rsid w:val="00F9113D"/>
    <w:rPr>
      <w:rFonts w:eastAsiaTheme="majorEastAsia" w:cstheme="majorBidi"/>
      <w:b/>
      <w:iCs/>
      <w:szCs w:val="20"/>
      <w:lang w:val="en-AU"/>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lang w:val="en-AU"/>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lang w:val="en-AU"/>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lang w:val="en-AU"/>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lang w:val="en-AU"/>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lang w:val="en-AU"/>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lang w:val="en-AU"/>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lang w:val="en-AU"/>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lang w:val="en-AU"/>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lang w:val="en-AU"/>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CC7525"/>
    <w:pPr>
      <w:numPr>
        <w:numId w:val="14"/>
      </w:numPr>
      <w:ind w:left="1020"/>
      <w:contextualSpacing/>
    </w:pPr>
  </w:style>
  <w:style w:type="paragraph" w:styleId="ListBullet4">
    <w:name w:val="List Bullet 4"/>
    <w:basedOn w:val="Normal"/>
    <w:uiPriority w:val="99"/>
    <w:semiHidden/>
    <w:rsid w:val="00F9113D"/>
    <w:pPr>
      <w:numPr>
        <w:numId w:val="3"/>
      </w:numPr>
      <w:contextualSpacing/>
    </w:pPr>
  </w:style>
  <w:style w:type="paragraph" w:styleId="ListBullet5">
    <w:name w:val="List Bullet 5"/>
    <w:basedOn w:val="Normal"/>
    <w:uiPriority w:val="99"/>
    <w:semiHidden/>
    <w:rsid w:val="00F9113D"/>
    <w:pPr>
      <w:numPr>
        <w:numId w:val="4"/>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ind w:left="1020" w:hanging="340"/>
      <w:contextualSpacing/>
    </w:pPr>
  </w:style>
  <w:style w:type="paragraph" w:styleId="ListNumber4">
    <w:name w:val="List Number 4"/>
    <w:basedOn w:val="Normal"/>
    <w:uiPriority w:val="99"/>
    <w:semiHidden/>
    <w:rsid w:val="00F9113D"/>
    <w:pPr>
      <w:numPr>
        <w:numId w:val="5"/>
      </w:numPr>
      <w:contextualSpacing/>
    </w:pPr>
  </w:style>
  <w:style w:type="paragraph" w:styleId="ListNumber5">
    <w:name w:val="List Number 5"/>
    <w:basedOn w:val="Normal"/>
    <w:uiPriority w:val="99"/>
    <w:semiHidden/>
    <w:rsid w:val="00F9113D"/>
    <w:pPr>
      <w:numPr>
        <w:numId w:val="6"/>
      </w:numPr>
      <w:contextualSpacing/>
    </w:pPr>
  </w:style>
  <w:style w:type="paragraph" w:styleId="ListParagraph">
    <w:name w:val="List Paragraph"/>
    <w:basedOn w:val="Normal"/>
    <w:uiPriority w:val="34"/>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lang w:val="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lang w:val="en-AU"/>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lang w:val="en-AU"/>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lang w:val="en-AU"/>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lang w:val="en-AU"/>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lang w:val="en-AU"/>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lang w:val="en-AU"/>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lang w:val="en-AU"/>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rPr>
      <w:lang w:val="en-AU"/>
    </w:rPr>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lang w:val="en-AU"/>
    </w:rPr>
  </w:style>
  <w:style w:type="paragraph" w:styleId="Quote">
    <w:name w:val="Quote"/>
    <w:basedOn w:val="Normal"/>
    <w:next w:val="Normal"/>
    <w:link w:val="QuoteChar"/>
    <w:uiPriority w:val="29"/>
    <w:semiHidden/>
    <w:qFormat/>
    <w:rsid w:val="00F9113D"/>
    <w:pPr>
      <w:spacing w:after="0"/>
    </w:pPr>
    <w:rPr>
      <w:i/>
      <w:iCs/>
      <w:color w:val="000000" w:themeColor="text1"/>
    </w:rPr>
  </w:style>
  <w:style w:type="character" w:customStyle="1" w:styleId="QuoteChar">
    <w:name w:val="Quote Char"/>
    <w:basedOn w:val="DefaultParagraphFont"/>
    <w:link w:val="Quote"/>
    <w:uiPriority w:val="29"/>
    <w:semiHidden/>
    <w:rsid w:val="00F9113D"/>
    <w:rPr>
      <w:i/>
      <w:iCs/>
      <w:color w:val="000000" w:themeColor="text1"/>
      <w:lang w:val="en-AU"/>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rPr>
      <w:lang w:val="en-AU"/>
    </w:rPr>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rPr>
      <w:lang w:val="en-AU"/>
    </w:rPr>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eastAsiaTheme="majorEastAsia" w:cstheme="majorBidi"/>
      <w:i/>
      <w:iCs/>
      <w:color w:val="86BC25" w:themeColor="accent1"/>
      <w:spacing w:val="15"/>
      <w:sz w:val="24"/>
      <w:szCs w:val="24"/>
      <w:lang w:val="en-AU"/>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rPr>
      <w:lang w:val="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rPr>
      <w:lang w:val="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rPr>
      <w:lang w:val="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lang w:val="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rPr>
      <w:lang w:val="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lang w:val="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rPr>
      <w:lang w:val="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rPr>
      <w:lang w:val="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lang w:val="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lang w:val="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lang w:val="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rPr>
      <w:lang w:val="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rPr>
      <w:lang w:val="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rPr>
      <w:lang w:val="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rPr>
      <w:lang w:val="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rPr>
      <w:lang w:val="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rPr>
      <w:lang w:val="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rPr>
      <w:lang w:val="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rPr>
      <w:lang w:val="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rPr>
      <w:lang w:val="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rPr>
      <w:lang w:val="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rPr>
      <w:lang w:val="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rPr>
      <w:lang w:val="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rPr>
      <w:lang w:val="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rPr>
      <w:lang w:val="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rPr>
      <w:lang w:val="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rPr>
      <w:lang w:val="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rPr>
      <w:lang w:val="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rPr>
      <w:lang w:val="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rPr>
      <w:lang w:val="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lang w:val="en-AU"/>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A242DE"/>
    <w:pPr>
      <w:tabs>
        <w:tab w:val="left" w:pos="567"/>
        <w:tab w:val="right" w:pos="6917"/>
      </w:tabs>
      <w:spacing w:after="100"/>
      <w:ind w:left="1134" w:right="567" w:hanging="567"/>
      <w:contextualSpacing/>
    </w:pPr>
  </w:style>
  <w:style w:type="paragraph" w:styleId="TOC3">
    <w:name w:val="toc 3"/>
    <w:basedOn w:val="Normal"/>
    <w:next w:val="Normal"/>
    <w:uiPriority w:val="39"/>
    <w:rsid w:val="00A242DE"/>
    <w:pPr>
      <w:tabs>
        <w:tab w:val="left" w:pos="1021"/>
        <w:tab w:val="right" w:pos="6917"/>
      </w:tabs>
      <w:spacing w:after="100"/>
      <w:ind w:left="567" w:right="567"/>
      <w:contextualSpacing/>
    </w:pPr>
  </w:style>
  <w:style w:type="paragraph" w:styleId="TOC4">
    <w:name w:val="toc 4"/>
    <w:basedOn w:val="Normal"/>
    <w:next w:val="Normal"/>
    <w:uiPriority w:val="39"/>
    <w:rsid w:val="00F0232D"/>
    <w:pPr>
      <w:spacing w:after="100"/>
      <w:ind w:right="567"/>
      <w:contextualSpacing/>
    </w:pPr>
  </w:style>
  <w:style w:type="paragraph" w:styleId="TOC5">
    <w:name w:val="toc 5"/>
    <w:basedOn w:val="Normal"/>
    <w:next w:val="Normal"/>
    <w:uiPriority w:val="39"/>
    <w:semiHidden/>
    <w:rsid w:val="00F9113D"/>
    <w:pPr>
      <w:spacing w:after="100"/>
      <w:ind w:left="567" w:right="567"/>
      <w:contextualSpacing/>
    </w:pPr>
  </w:style>
  <w:style w:type="paragraph" w:styleId="TOC6">
    <w:name w:val="toc 6"/>
    <w:basedOn w:val="Normal"/>
    <w:next w:val="Normal"/>
    <w:uiPriority w:val="39"/>
    <w:rsid w:val="00F0232D"/>
    <w:pPr>
      <w:spacing w:after="100"/>
      <w:ind w:right="567"/>
      <w:contextualSpacing/>
    </w:pPr>
  </w:style>
  <w:style w:type="paragraph" w:styleId="TOC7">
    <w:name w:val="toc 7"/>
    <w:basedOn w:val="Normal"/>
    <w:next w:val="Normal"/>
    <w:uiPriority w:val="39"/>
    <w:rsid w:val="00F0232D"/>
    <w:pPr>
      <w:spacing w:after="100"/>
      <w:ind w:right="567"/>
      <w:contextualSpacing/>
    </w:pPr>
  </w:style>
  <w:style w:type="paragraph" w:styleId="TOC8">
    <w:name w:val="toc 8"/>
    <w:basedOn w:val="Normal"/>
    <w:next w:val="Normal"/>
    <w:uiPriority w:val="39"/>
    <w:rsid w:val="00F0232D"/>
    <w:pPr>
      <w:spacing w:after="100"/>
      <w:ind w:right="567"/>
      <w:contextualSpacing/>
    </w:pPr>
  </w:style>
  <w:style w:type="paragraph" w:styleId="TOC9">
    <w:name w:val="toc 9"/>
    <w:basedOn w:val="Normal"/>
    <w:next w:val="Normal"/>
    <w:uiPriority w:val="39"/>
    <w:semiHidden/>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CF23CD"/>
    <w:pPr>
      <w:numPr>
        <w:ilvl w:val="0"/>
        <w:numId w:val="0"/>
      </w:numPr>
    </w:p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F9113D"/>
    <w:pPr>
      <w:numPr>
        <w:ilvl w:val="0"/>
        <w:numId w:val="0"/>
      </w:numPr>
      <w:tabs>
        <w:tab w:val="clear" w:pos="340"/>
      </w:tabs>
    </w:pPr>
  </w:style>
  <w:style w:type="paragraph" w:customStyle="1" w:styleId="BulletedText1">
    <w:name w:val="Bulleted Text 1"/>
    <w:basedOn w:val="Normal"/>
    <w:uiPriority w:val="4"/>
    <w:semiHidden/>
    <w:qFormat/>
    <w:rsid w:val="00F9113D"/>
    <w:pPr>
      <w:numPr>
        <w:numId w:val="2"/>
      </w:numPr>
      <w:suppressAutoHyphens/>
      <w:spacing w:after="0" w:line="250" w:lineRule="atLeast"/>
    </w:pPr>
  </w:style>
  <w:style w:type="paragraph" w:customStyle="1" w:styleId="BulletedText2">
    <w:name w:val="Bulleted Text 2"/>
    <w:basedOn w:val="Normal"/>
    <w:uiPriority w:val="4"/>
    <w:semiHidden/>
    <w:rsid w:val="00F9113D"/>
    <w:pPr>
      <w:numPr>
        <w:ilvl w:val="1"/>
        <w:numId w:val="2"/>
      </w:numPr>
      <w:suppressAutoHyphens/>
      <w:spacing w:after="0" w:line="250" w:lineRule="atLeast"/>
    </w:pPr>
  </w:style>
  <w:style w:type="paragraph" w:customStyle="1" w:styleId="Numberslevel1">
    <w:name w:val="Numbers level 1"/>
    <w:basedOn w:val="Normal"/>
    <w:uiPriority w:val="4"/>
    <w:semiHidden/>
    <w:qFormat/>
    <w:rsid w:val="00F9113D"/>
    <w:pPr>
      <w:numPr>
        <w:numId w:val="7"/>
      </w:numPr>
      <w:suppressAutoHyphens/>
      <w:spacing w:after="0" w:line="250" w:lineRule="atLeast"/>
    </w:pPr>
  </w:style>
  <w:style w:type="paragraph" w:customStyle="1" w:styleId="Numberslevel2">
    <w:name w:val="Numbers level 2"/>
    <w:basedOn w:val="Normal"/>
    <w:uiPriority w:val="4"/>
    <w:semiHidden/>
    <w:rsid w:val="00F9113D"/>
    <w:pPr>
      <w:numPr>
        <w:ilvl w:val="1"/>
        <w:numId w:val="7"/>
      </w:numPr>
      <w:suppressAutoHyphens/>
      <w:spacing w:after="0" w:line="250" w:lineRule="atLeast"/>
    </w:pPr>
  </w:style>
  <w:style w:type="paragraph" w:customStyle="1" w:styleId="Numberslevel3">
    <w:name w:val="Numbers level 3"/>
    <w:basedOn w:val="Normal"/>
    <w:uiPriority w:val="4"/>
    <w:semiHidden/>
    <w:rsid w:val="00F9113D"/>
    <w:pPr>
      <w:numPr>
        <w:ilvl w:val="2"/>
        <w:numId w:val="7"/>
      </w:numPr>
      <w:suppressAutoHyphens/>
      <w:spacing w:after="0" w:line="250" w:lineRule="atLeast"/>
    </w:pPr>
  </w:style>
  <w:style w:type="paragraph" w:customStyle="1" w:styleId="TabletextLeftTotal">
    <w:name w:val="Table text Left Total"/>
    <w:basedOn w:val="TabletextLeft"/>
    <w:uiPriority w:val="5"/>
    <w:rsid w:val="002E67BC"/>
    <w:rPr>
      <w:b/>
    </w:rPr>
  </w:style>
  <w:style w:type="paragraph" w:customStyle="1" w:styleId="TabletextRightTotal">
    <w:name w:val="Table text Right Total"/>
    <w:basedOn w:val="TabletextRight"/>
    <w:uiPriority w:val="5"/>
    <w:rsid w:val="002C7E6E"/>
    <w:rPr>
      <w:b/>
    </w:rPr>
  </w:style>
  <w:style w:type="table" w:customStyle="1" w:styleId="DeloitteBandedrows">
    <w:name w:val="Deloitte Banded rows"/>
    <w:basedOn w:val="TableNormal"/>
    <w:uiPriority w:val="99"/>
    <w:rsid w:val="00464FD2"/>
    <w:pPr>
      <w:spacing w:line="200" w:lineRule="atLeast"/>
    </w:pPr>
    <w:rPr>
      <w:sz w:val="17"/>
      <w:lang w:val="en-AU"/>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5E5001"/>
    <w:pPr>
      <w:keepNext/>
      <w:keepLines/>
      <w:spacing w:before="240"/>
    </w:pPr>
    <w:rPr>
      <w:rFonts w:eastAsia="Times New Roman" w:cs="Times New Roman"/>
      <w:b/>
      <w:color w:val="62B5E5" w:themeColor="accent3"/>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qFormat/>
    <w:rsid w:val="006C74B8"/>
    <w:pPr>
      <w:keepNext/>
      <w:keepLines/>
      <w:numPr>
        <w:ilvl w:val="6"/>
        <w:numId w:val="1"/>
      </w:numPr>
      <w:spacing w:before="240" w:after="240"/>
    </w:pPr>
    <w:rPr>
      <w:rFonts w:eastAsia="Times New Roman" w:cs="Times New Roman"/>
      <w:color w:val="75787B" w:themeColor="accent6"/>
      <w:sz w:val="17"/>
      <w:szCs w:val="20"/>
    </w:rPr>
  </w:style>
  <w:style w:type="paragraph" w:customStyle="1" w:styleId="CaptionFigure">
    <w:name w:val="Caption_Figure"/>
    <w:basedOn w:val="Normal"/>
    <w:next w:val="Normal"/>
    <w:qFormat/>
    <w:rsid w:val="006C74B8"/>
    <w:pPr>
      <w:keepNext/>
      <w:keepLines/>
      <w:numPr>
        <w:ilvl w:val="8"/>
        <w:numId w:val="1"/>
      </w:numPr>
    </w:pPr>
    <w:rPr>
      <w:bCs/>
      <w:color w:val="75787B" w:themeColor="accent6"/>
      <w:sz w:val="17"/>
      <w:szCs w:val="22"/>
    </w:rPr>
  </w:style>
  <w:style w:type="paragraph" w:customStyle="1" w:styleId="CaptionChart">
    <w:name w:val="Caption_Chart"/>
    <w:basedOn w:val="Normal"/>
    <w:next w:val="Normal"/>
    <w:qFormat/>
    <w:rsid w:val="006C74B8"/>
    <w:pPr>
      <w:keepNext/>
      <w:keepLines/>
      <w:numPr>
        <w:ilvl w:val="7"/>
        <w:numId w:val="1"/>
      </w:numPr>
    </w:pPr>
    <w:rPr>
      <w:color w:val="75787B" w:themeColor="accent6"/>
      <w:sz w:val="17"/>
    </w:rPr>
  </w:style>
  <w:style w:type="paragraph" w:customStyle="1" w:styleId="ExecutiveHeading">
    <w:name w:val="Executive Heading"/>
    <w:basedOn w:val="Heading1un-numbered"/>
    <w:next w:val="Normal"/>
    <w:uiPriority w:val="3"/>
    <w:rsid w:val="005E5001"/>
    <w:pPr>
      <w:numPr>
        <w:numId w:val="10"/>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10"/>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0"/>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10"/>
      </w:numPr>
    </w:pPr>
    <w:rPr>
      <w:rFonts w:eastAsia="Times New Roman" w:cs="Times New Roman"/>
      <w:szCs w:val="20"/>
    </w:rPr>
  </w:style>
  <w:style w:type="paragraph" w:customStyle="1" w:styleId="Appendixhead2">
    <w:name w:val="Appendix_head_2"/>
    <w:basedOn w:val="Heading2"/>
    <w:next w:val="Normal"/>
    <w:link w:val="Appendixhead2Char"/>
    <w:uiPriority w:val="3"/>
    <w:rsid w:val="00A95553"/>
    <w:pPr>
      <w:numPr>
        <w:ilvl w:val="0"/>
        <w:numId w:val="0"/>
      </w:numPr>
      <w:tabs>
        <w:tab w:val="left" w:pos="851"/>
      </w:tabs>
      <w:ind w:left="792" w:hanging="792"/>
      <w:outlineLvl w:val="9"/>
    </w:pPr>
    <w:rPr>
      <w:rFonts w:eastAsia="Times New Roman" w:cs="Times New Roman"/>
      <w:bCs w:val="0"/>
      <w:szCs w:val="28"/>
    </w:rPr>
  </w:style>
  <w:style w:type="paragraph" w:customStyle="1" w:styleId="Appendixhead3">
    <w:name w:val="Appendix_head_3"/>
    <w:basedOn w:val="Heading3"/>
    <w:next w:val="Normal"/>
    <w:link w:val="Appendixhead3Char"/>
    <w:uiPriority w:val="3"/>
    <w:rsid w:val="00E06F2E"/>
    <w:pPr>
      <w:numPr>
        <w:ilvl w:val="0"/>
        <w:numId w:val="0"/>
      </w:numPr>
      <w:ind w:left="794" w:hanging="794"/>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numPr>
        <w:ilvl w:val="0"/>
        <w:numId w:val="0"/>
      </w:numPr>
      <w:tabs>
        <w:tab w:val="clear" w:pos="340"/>
      </w:tabs>
      <w:ind w:left="794" w:hanging="794"/>
      <w:outlineLvl w:val="9"/>
    </w:pPr>
    <w:rPr>
      <w:rFonts w:eastAsia="Times New Roman" w:cs="Times New Roman"/>
      <w:bCs w:val="0"/>
      <w:iCs w:val="0"/>
      <w:szCs w:val="24"/>
    </w:rPr>
  </w:style>
  <w:style w:type="paragraph" w:customStyle="1" w:styleId="Appendixhead1">
    <w:name w:val="Appendix_head_1"/>
    <w:basedOn w:val="Normal"/>
    <w:next w:val="Normal"/>
    <w:link w:val="Appendixhead1Char"/>
    <w:uiPriority w:val="3"/>
    <w:rsid w:val="009E2F33"/>
    <w:pPr>
      <w:keepNext/>
      <w:keepLines/>
      <w:pageBreakBefore/>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spacing w:after="240"/>
      <w:ind w:left="0" w:firstLine="0"/>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outlineLvl w:val="5"/>
    </w:pPr>
  </w:style>
  <w:style w:type="paragraph" w:customStyle="1" w:styleId="AppendixFigureCaption">
    <w:name w:val="Appendix Figure Caption"/>
    <w:basedOn w:val="AppendixChartCaption"/>
    <w:next w:val="Normal"/>
    <w:link w:val="AppendixFigureCaptionChar"/>
    <w:uiPriority w:val="4"/>
    <w:rsid w:val="00CA0756"/>
    <w:pPr>
      <w:outlineLvl w:val="6"/>
    </w:pPr>
  </w:style>
  <w:style w:type="character" w:customStyle="1" w:styleId="Appendixhead2Char">
    <w:name w:val="Appendix_head_2 Char"/>
    <w:basedOn w:val="DefaultParagraphFont"/>
    <w:link w:val="Appendixhead2"/>
    <w:uiPriority w:val="3"/>
    <w:rsid w:val="00A95553"/>
    <w:rPr>
      <w:rFonts w:eastAsia="Times New Roman" w:cs="Times New Roman"/>
      <w:b/>
      <w:color w:val="62B5E5" w:themeColor="accent3"/>
      <w:szCs w:val="28"/>
      <w:lang w:val="en-AU"/>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rPr>
  </w:style>
  <w:style w:type="character" w:customStyle="1" w:styleId="Appendixhead3Char">
    <w:name w:val="Appendix_head_3 Char"/>
    <w:basedOn w:val="DefaultParagraphFont"/>
    <w:link w:val="Appendixhead3"/>
    <w:uiPriority w:val="3"/>
    <w:rsid w:val="00E06F2E"/>
    <w:rPr>
      <w:rFonts w:eastAsia="Times New Roman"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AU"/>
    </w:r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rPr>
  </w:style>
  <w:style w:type="paragraph" w:customStyle="1" w:styleId="SourcetextTableorChart">
    <w:name w:val="Source text Table or Chart"/>
    <w:basedOn w:val="Caption"/>
    <w:next w:val="Normal"/>
    <w:uiPriority w:val="6"/>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11"/>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2E67BC"/>
    <w:pPr>
      <w:jc w:val="center"/>
    </w:pPr>
  </w:style>
  <w:style w:type="paragraph" w:customStyle="1" w:styleId="TableHeadingRight">
    <w:name w:val="Table Heading Right"/>
    <w:basedOn w:val="TableHeadingCentre"/>
    <w:uiPriority w:val="5"/>
    <w:rsid w:val="002E67BC"/>
    <w:pPr>
      <w:jc w:val="right"/>
    </w:pPr>
  </w:style>
  <w:style w:type="paragraph" w:customStyle="1" w:styleId="TabletextRight">
    <w:name w:val="Table text Right"/>
    <w:basedOn w:val="TabletextLeft"/>
    <w:uiPriority w:val="5"/>
    <w:rsid w:val="002E67BC"/>
    <w:pPr>
      <w:jc w:val="right"/>
    </w:pPr>
  </w:style>
  <w:style w:type="paragraph" w:customStyle="1" w:styleId="TabletextCentre">
    <w:name w:val="Table text Centre"/>
    <w:basedOn w:val="TabletextRight"/>
    <w:uiPriority w:val="5"/>
    <w:rsid w:val="002E67BC"/>
    <w:pPr>
      <w:jc w:val="center"/>
    </w:pPr>
  </w:style>
  <w:style w:type="paragraph" w:customStyle="1" w:styleId="TableNote">
    <w:name w:val="Table Note"/>
    <w:basedOn w:val="TabletextLeft"/>
    <w:uiPriority w:val="5"/>
    <w:rsid w:val="002E67BC"/>
    <w:rPr>
      <w:sz w:val="15"/>
    </w:rPr>
  </w:style>
  <w:style w:type="paragraph" w:customStyle="1" w:styleId="TabletextCentreTotal">
    <w:name w:val="Table text Centre Total"/>
    <w:basedOn w:val="TabletextCentre"/>
    <w:uiPriority w:val="5"/>
    <w:rsid w:val="002C7E6E"/>
    <w:rPr>
      <w:b/>
    </w:rPr>
  </w:style>
  <w:style w:type="paragraph" w:customStyle="1" w:styleId="AlphabeticList2">
    <w:name w:val="Alphabetic List 2"/>
    <w:basedOn w:val="AlphabeticList"/>
    <w:uiPriority w:val="4"/>
    <w:qFormat/>
    <w:rsid w:val="000A0317"/>
    <w:pPr>
      <w:numPr>
        <w:ilvl w:val="1"/>
      </w:numPr>
    </w:pPr>
  </w:style>
  <w:style w:type="table" w:styleId="GridTable1Light">
    <w:name w:val="Grid Table 1 Light"/>
    <w:basedOn w:val="TableNormal"/>
    <w:uiPriority w:val="46"/>
    <w:rsid w:val="000116B0"/>
    <w:pPr>
      <w:spacing w:line="240" w:lineRule="auto"/>
    </w:pPr>
    <w:rPr>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rPr>
      <w:lang w:val="en-AU"/>
    </w:r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rPr>
      <w:lang w:val="en-AU"/>
    </w:r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rPr>
      <w:lang w:val="en-AU"/>
    </w:r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rPr>
      <w:lang w:val="en-AU"/>
    </w:r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rPr>
      <w:lang w:val="en-AU"/>
    </w:r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rPr>
      <w:lang w:val="en-AU"/>
    </w:r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rPr>
      <w:lang w:val="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rPr>
      <w:lang w:val="en-AU"/>
    </w:r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rPr>
      <w:lang w:val="en-AU"/>
    </w:r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rPr>
      <w:lang w:val="en-AU"/>
    </w:r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rPr>
      <w:lang w:val="en-AU"/>
    </w:r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rPr>
      <w:lang w:val="en-AU"/>
    </w:r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rPr>
      <w:lang w:val="en-AU"/>
    </w:r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rPr>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rPr>
      <w:lang w:val="en-AU"/>
    </w:r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rPr>
      <w:lang w:val="en-AU"/>
    </w:r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rPr>
      <w:lang w:val="en-AU"/>
    </w:r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rPr>
      <w:lang w:val="en-AU"/>
    </w:r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rPr>
      <w:lang w:val="en-AU"/>
    </w:r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rPr>
      <w:lang w:val="en-AU"/>
    </w:r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rPr>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rPr>
      <w:lang w:val="en-AU"/>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rPr>
      <w:lang w:val="en-AU"/>
    </w:r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rPr>
      <w:lang w:val="en-AU"/>
    </w:r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rPr>
      <w:lang w:val="en-AU"/>
    </w:r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rPr>
      <w:lang w:val="en-AU"/>
    </w:r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rPr>
      <w:lang w:val="en-AU"/>
    </w:r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lang w:val="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rPr>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rPr>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rPr>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efault">
    <w:name w:val="Default"/>
    <w:rsid w:val="00924B60"/>
    <w:pPr>
      <w:autoSpaceDE w:val="0"/>
      <w:autoSpaceDN w:val="0"/>
      <w:adjustRightInd w:val="0"/>
      <w:spacing w:line="240" w:lineRule="auto"/>
    </w:pPr>
    <w:rPr>
      <w:rFonts w:cs="Verdana"/>
      <w:color w:val="000000"/>
      <w:sz w:val="24"/>
      <w:szCs w:val="24"/>
      <w:lang w:val="en-AU"/>
    </w:rPr>
  </w:style>
  <w:style w:type="paragraph" w:customStyle="1" w:styleId="Bullet1">
    <w:name w:val="Bullet 1"/>
    <w:basedOn w:val="Normal"/>
    <w:link w:val="Bullet1Char"/>
    <w:qFormat/>
    <w:rsid w:val="00051339"/>
    <w:pPr>
      <w:numPr>
        <w:numId w:val="16"/>
      </w:numPr>
      <w:spacing w:before="60" w:after="0" w:line="240" w:lineRule="auto"/>
      <w:jc w:val="both"/>
    </w:pPr>
    <w:rPr>
      <w:rFonts w:ascii="Calibri" w:eastAsia="Times New Roman" w:hAnsi="Calibri" w:cs="Arial"/>
      <w:sz w:val="22"/>
      <w:szCs w:val="20"/>
      <w:lang w:eastAsia="en-AU"/>
    </w:rPr>
  </w:style>
  <w:style w:type="character" w:customStyle="1" w:styleId="Bullet1Char">
    <w:name w:val="Bullet 1 Char"/>
    <w:link w:val="Bullet1"/>
    <w:rsid w:val="00051339"/>
    <w:rPr>
      <w:rFonts w:ascii="Calibri" w:eastAsia="Times New Roman" w:hAnsi="Calibri" w:cs="Arial"/>
      <w:sz w:val="22"/>
      <w:szCs w:val="20"/>
      <w:lang w:val="en-AU" w:eastAsia="en-AU"/>
    </w:rPr>
  </w:style>
  <w:style w:type="paragraph" w:styleId="Revision">
    <w:name w:val="Revision"/>
    <w:hidden/>
    <w:uiPriority w:val="99"/>
    <w:semiHidden/>
    <w:rsid w:val="008822E3"/>
    <w:pPr>
      <w:spacing w:line="240" w:lineRule="auto"/>
    </w:pPr>
    <w:rPr>
      <w:lang w:val="en-AU"/>
    </w:rPr>
  </w:style>
  <w:style w:type="character" w:styleId="UnresolvedMention">
    <w:name w:val="Unresolved Mention"/>
    <w:basedOn w:val="DefaultParagraphFont"/>
    <w:uiPriority w:val="99"/>
    <w:unhideWhenUsed/>
    <w:rsid w:val="006B3925"/>
    <w:rPr>
      <w:color w:val="605E5C"/>
      <w:shd w:val="clear" w:color="auto" w:fill="E1DFDD"/>
    </w:rPr>
  </w:style>
  <w:style w:type="character" w:styleId="Mention">
    <w:name w:val="Mention"/>
    <w:basedOn w:val="DefaultParagraphFont"/>
    <w:uiPriority w:val="99"/>
    <w:unhideWhenUsed/>
    <w:rsid w:val="006B39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6931">
      <w:bodyDiv w:val="1"/>
      <w:marLeft w:val="0"/>
      <w:marRight w:val="0"/>
      <w:marTop w:val="0"/>
      <w:marBottom w:val="0"/>
      <w:divBdr>
        <w:top w:val="none" w:sz="0" w:space="0" w:color="auto"/>
        <w:left w:val="none" w:sz="0" w:space="0" w:color="auto"/>
        <w:bottom w:val="none" w:sz="0" w:space="0" w:color="auto"/>
        <w:right w:val="none" w:sz="0" w:space="0" w:color="auto"/>
      </w:divBdr>
    </w:div>
    <w:div w:id="51122631">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185020619">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357783182">
      <w:bodyDiv w:val="1"/>
      <w:marLeft w:val="0"/>
      <w:marRight w:val="0"/>
      <w:marTop w:val="0"/>
      <w:marBottom w:val="0"/>
      <w:divBdr>
        <w:top w:val="none" w:sz="0" w:space="0" w:color="auto"/>
        <w:left w:val="none" w:sz="0" w:space="0" w:color="auto"/>
        <w:bottom w:val="none" w:sz="0" w:space="0" w:color="auto"/>
        <w:right w:val="none" w:sz="0" w:space="0" w:color="auto"/>
      </w:divBdr>
    </w:div>
    <w:div w:id="470637908">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614873989">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769131314">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892157950">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950550097">
      <w:bodyDiv w:val="1"/>
      <w:marLeft w:val="0"/>
      <w:marRight w:val="0"/>
      <w:marTop w:val="0"/>
      <w:marBottom w:val="0"/>
      <w:divBdr>
        <w:top w:val="none" w:sz="0" w:space="0" w:color="auto"/>
        <w:left w:val="none" w:sz="0" w:space="0" w:color="auto"/>
        <w:bottom w:val="none" w:sz="0" w:space="0" w:color="auto"/>
        <w:right w:val="none" w:sz="0" w:space="0" w:color="auto"/>
      </w:divBdr>
    </w:div>
    <w:div w:id="1092703622">
      <w:bodyDiv w:val="1"/>
      <w:marLeft w:val="0"/>
      <w:marRight w:val="0"/>
      <w:marTop w:val="0"/>
      <w:marBottom w:val="0"/>
      <w:divBdr>
        <w:top w:val="none" w:sz="0" w:space="0" w:color="auto"/>
        <w:left w:val="none" w:sz="0" w:space="0" w:color="auto"/>
        <w:bottom w:val="none" w:sz="0" w:space="0" w:color="auto"/>
        <w:right w:val="none" w:sz="0" w:space="0" w:color="auto"/>
      </w:divBdr>
    </w:div>
    <w:div w:id="1122963522">
      <w:bodyDiv w:val="1"/>
      <w:marLeft w:val="0"/>
      <w:marRight w:val="0"/>
      <w:marTop w:val="0"/>
      <w:marBottom w:val="0"/>
      <w:divBdr>
        <w:top w:val="none" w:sz="0" w:space="0" w:color="auto"/>
        <w:left w:val="none" w:sz="0" w:space="0" w:color="auto"/>
        <w:bottom w:val="none" w:sz="0" w:space="0" w:color="auto"/>
        <w:right w:val="none" w:sz="0" w:space="0" w:color="auto"/>
      </w:divBdr>
    </w:div>
    <w:div w:id="1148209095">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68344093">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48158942">
      <w:bodyDiv w:val="1"/>
      <w:marLeft w:val="0"/>
      <w:marRight w:val="0"/>
      <w:marTop w:val="0"/>
      <w:marBottom w:val="0"/>
      <w:divBdr>
        <w:top w:val="none" w:sz="0" w:space="0" w:color="auto"/>
        <w:left w:val="none" w:sz="0" w:space="0" w:color="auto"/>
        <w:bottom w:val="none" w:sz="0" w:space="0" w:color="auto"/>
        <w:right w:val="none" w:sz="0" w:space="0" w:color="auto"/>
      </w:divBdr>
    </w:div>
    <w:div w:id="1463427078">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627931203">
      <w:bodyDiv w:val="1"/>
      <w:marLeft w:val="0"/>
      <w:marRight w:val="0"/>
      <w:marTop w:val="0"/>
      <w:marBottom w:val="0"/>
      <w:divBdr>
        <w:top w:val="none" w:sz="0" w:space="0" w:color="auto"/>
        <w:left w:val="none" w:sz="0" w:space="0" w:color="auto"/>
        <w:bottom w:val="none" w:sz="0" w:space="0" w:color="auto"/>
        <w:right w:val="none" w:sz="0" w:space="0" w:color="auto"/>
      </w:divBdr>
    </w:div>
    <w:div w:id="1752040644">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13448159">
      <w:bodyDiv w:val="1"/>
      <w:marLeft w:val="0"/>
      <w:marRight w:val="0"/>
      <w:marTop w:val="0"/>
      <w:marBottom w:val="0"/>
      <w:divBdr>
        <w:top w:val="none" w:sz="0" w:space="0" w:color="auto"/>
        <w:left w:val="none" w:sz="0" w:space="0" w:color="auto"/>
        <w:bottom w:val="none" w:sz="0" w:space="0" w:color="auto"/>
        <w:right w:val="none" w:sz="0" w:space="0" w:color="auto"/>
      </w:divBdr>
    </w:div>
    <w:div w:id="1818910534">
      <w:bodyDiv w:val="1"/>
      <w:marLeft w:val="0"/>
      <w:marRight w:val="0"/>
      <w:marTop w:val="0"/>
      <w:marBottom w:val="0"/>
      <w:divBdr>
        <w:top w:val="none" w:sz="0" w:space="0" w:color="auto"/>
        <w:left w:val="none" w:sz="0" w:space="0" w:color="auto"/>
        <w:bottom w:val="none" w:sz="0" w:space="0" w:color="auto"/>
        <w:right w:val="none" w:sz="0" w:space="0" w:color="auto"/>
      </w:divBdr>
    </w:div>
    <w:div w:id="1845702535">
      <w:bodyDiv w:val="1"/>
      <w:marLeft w:val="0"/>
      <w:marRight w:val="0"/>
      <w:marTop w:val="0"/>
      <w:marBottom w:val="0"/>
      <w:divBdr>
        <w:top w:val="none" w:sz="0" w:space="0" w:color="auto"/>
        <w:left w:val="none" w:sz="0" w:space="0" w:color="auto"/>
        <w:bottom w:val="none" w:sz="0" w:space="0" w:color="auto"/>
        <w:right w:val="none" w:sz="0" w:space="0" w:color="auto"/>
      </w:divBdr>
    </w:div>
    <w:div w:id="1851792782">
      <w:bodyDiv w:val="1"/>
      <w:marLeft w:val="0"/>
      <w:marRight w:val="0"/>
      <w:marTop w:val="0"/>
      <w:marBottom w:val="0"/>
      <w:divBdr>
        <w:top w:val="none" w:sz="0" w:space="0" w:color="auto"/>
        <w:left w:val="none" w:sz="0" w:space="0" w:color="auto"/>
        <w:bottom w:val="none" w:sz="0" w:space="0" w:color="auto"/>
        <w:right w:val="none" w:sz="0" w:space="0" w:color="auto"/>
      </w:divBdr>
    </w:div>
    <w:div w:id="1877153337">
      <w:bodyDiv w:val="1"/>
      <w:marLeft w:val="0"/>
      <w:marRight w:val="0"/>
      <w:marTop w:val="0"/>
      <w:marBottom w:val="0"/>
      <w:divBdr>
        <w:top w:val="none" w:sz="0" w:space="0" w:color="auto"/>
        <w:left w:val="none" w:sz="0" w:space="0" w:color="auto"/>
        <w:bottom w:val="none" w:sz="0" w:space="0" w:color="auto"/>
        <w:right w:val="none" w:sz="0" w:space="0" w:color="auto"/>
      </w:divBdr>
    </w:div>
    <w:div w:id="1918202784">
      <w:bodyDiv w:val="1"/>
      <w:marLeft w:val="0"/>
      <w:marRight w:val="0"/>
      <w:marTop w:val="0"/>
      <w:marBottom w:val="0"/>
      <w:divBdr>
        <w:top w:val="none" w:sz="0" w:space="0" w:color="auto"/>
        <w:left w:val="none" w:sz="0" w:space="0" w:color="auto"/>
        <w:bottom w:val="none" w:sz="0" w:space="0" w:color="auto"/>
        <w:right w:val="none" w:sz="0" w:space="0" w:color="auto"/>
      </w:divBdr>
    </w:div>
    <w:div w:id="2020153363">
      <w:bodyDiv w:val="1"/>
      <w:marLeft w:val="0"/>
      <w:marRight w:val="0"/>
      <w:marTop w:val="0"/>
      <w:marBottom w:val="0"/>
      <w:divBdr>
        <w:top w:val="none" w:sz="0" w:space="0" w:color="auto"/>
        <w:left w:val="none" w:sz="0" w:space="0" w:color="auto"/>
        <w:bottom w:val="none" w:sz="0" w:space="0" w:color="auto"/>
        <w:right w:val="none" w:sz="0" w:space="0" w:color="auto"/>
      </w:divBdr>
    </w:div>
    <w:div w:id="2034769034">
      <w:bodyDiv w:val="1"/>
      <w:marLeft w:val="0"/>
      <w:marRight w:val="0"/>
      <w:marTop w:val="0"/>
      <w:marBottom w:val="0"/>
      <w:divBdr>
        <w:top w:val="none" w:sz="0" w:space="0" w:color="auto"/>
        <w:left w:val="none" w:sz="0" w:space="0" w:color="auto"/>
        <w:bottom w:val="none" w:sz="0" w:space="0" w:color="auto"/>
        <w:right w:val="none" w:sz="0" w:space="0" w:color="auto"/>
      </w:divBdr>
    </w:div>
    <w:div w:id="213281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chart" Target="charts/chart1.xml"/><Relationship Id="rId42" Type="http://schemas.openxmlformats.org/officeDocument/2006/relationships/chart" Target="charts/chart20.xml"/><Relationship Id="rId47" Type="http://schemas.openxmlformats.org/officeDocument/2006/relationships/chart" Target="charts/chart25.xml"/><Relationship Id="rId63" Type="http://schemas.openxmlformats.org/officeDocument/2006/relationships/chart" Target="charts/chart41.xml"/><Relationship Id="rId68" Type="http://schemas.openxmlformats.org/officeDocument/2006/relationships/chart" Target="charts/chart46.xml"/><Relationship Id="rId84" Type="http://schemas.openxmlformats.org/officeDocument/2006/relationships/chart" Target="charts/chart55.xml"/><Relationship Id="rId89" Type="http://schemas.openxmlformats.org/officeDocument/2006/relationships/chart" Target="charts/chart60.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chart" Target="charts/chart10.xml"/><Relationship Id="rId37" Type="http://schemas.openxmlformats.org/officeDocument/2006/relationships/chart" Target="charts/chart15.xml"/><Relationship Id="rId53" Type="http://schemas.openxmlformats.org/officeDocument/2006/relationships/chart" Target="charts/chart31.xml"/><Relationship Id="rId58" Type="http://schemas.openxmlformats.org/officeDocument/2006/relationships/chart" Target="charts/chart36.xml"/><Relationship Id="rId74" Type="http://schemas.openxmlformats.org/officeDocument/2006/relationships/chart" Target="charts/chart52.xml"/><Relationship Id="rId79" Type="http://schemas.openxmlformats.org/officeDocument/2006/relationships/header" Target="header7.xml"/><Relationship Id="rId5" Type="http://schemas.openxmlformats.org/officeDocument/2006/relationships/webSettings" Target="webSettings.xml"/><Relationship Id="rId90" Type="http://schemas.openxmlformats.org/officeDocument/2006/relationships/chart" Target="charts/chart61.xml"/><Relationship Id="rId95" Type="http://schemas.openxmlformats.org/officeDocument/2006/relationships/theme" Target="theme/theme1.xml"/><Relationship Id="rId22" Type="http://schemas.openxmlformats.org/officeDocument/2006/relationships/header" Target="header6.xml"/><Relationship Id="rId27" Type="http://schemas.openxmlformats.org/officeDocument/2006/relationships/chart" Target="charts/chart5.xml"/><Relationship Id="rId43" Type="http://schemas.openxmlformats.org/officeDocument/2006/relationships/chart" Target="charts/chart21.xml"/><Relationship Id="rId48" Type="http://schemas.openxmlformats.org/officeDocument/2006/relationships/chart" Target="charts/chart26.xml"/><Relationship Id="rId64" Type="http://schemas.openxmlformats.org/officeDocument/2006/relationships/chart" Target="charts/chart42.xml"/><Relationship Id="rId69" Type="http://schemas.openxmlformats.org/officeDocument/2006/relationships/chart" Target="charts/chart47.xml"/><Relationship Id="rId8" Type="http://schemas.openxmlformats.org/officeDocument/2006/relationships/image" Target="media/image1.emf"/><Relationship Id="rId51" Type="http://schemas.openxmlformats.org/officeDocument/2006/relationships/chart" Target="charts/chart29.xml"/><Relationship Id="rId72" Type="http://schemas.openxmlformats.org/officeDocument/2006/relationships/chart" Target="charts/chart50.xml"/><Relationship Id="rId80" Type="http://schemas.openxmlformats.org/officeDocument/2006/relationships/footer" Target="footer7.xml"/><Relationship Id="rId85" Type="http://schemas.openxmlformats.org/officeDocument/2006/relationships/chart" Target="charts/chart56.xml"/><Relationship Id="rId93" Type="http://schemas.openxmlformats.org/officeDocument/2006/relationships/hyperlink" Target="http://www.deloitte.com/au/deloitte-access-economic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chart" Target="charts/chart24.xml"/><Relationship Id="rId59" Type="http://schemas.openxmlformats.org/officeDocument/2006/relationships/chart" Target="charts/chart37.xml"/><Relationship Id="rId67" Type="http://schemas.openxmlformats.org/officeDocument/2006/relationships/chart" Target="charts/chart45.xml"/><Relationship Id="rId20" Type="http://schemas.openxmlformats.org/officeDocument/2006/relationships/footer" Target="footer5.xml"/><Relationship Id="rId41" Type="http://schemas.openxmlformats.org/officeDocument/2006/relationships/chart" Target="charts/chart19.xml"/><Relationship Id="rId54" Type="http://schemas.openxmlformats.org/officeDocument/2006/relationships/chart" Target="charts/chart32.xml"/><Relationship Id="rId62" Type="http://schemas.openxmlformats.org/officeDocument/2006/relationships/chart" Target="charts/chart40.xml"/><Relationship Id="rId70" Type="http://schemas.openxmlformats.org/officeDocument/2006/relationships/chart" Target="charts/chart48.xml"/><Relationship Id="rId75" Type="http://schemas.openxmlformats.org/officeDocument/2006/relationships/chart" Target="charts/chart53.xml"/><Relationship Id="rId83" Type="http://schemas.openxmlformats.org/officeDocument/2006/relationships/image" Target="media/image8.emf"/><Relationship Id="rId88" Type="http://schemas.openxmlformats.org/officeDocument/2006/relationships/chart" Target="charts/chart59.xml"/><Relationship Id="rId91" Type="http://schemas.openxmlformats.org/officeDocument/2006/relationships/chart" Target="charts/chart6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chart" Target="charts/chart27.xml"/><Relationship Id="rId57" Type="http://schemas.openxmlformats.org/officeDocument/2006/relationships/chart" Target="charts/chart35.xml"/><Relationship Id="rId10" Type="http://schemas.openxmlformats.org/officeDocument/2006/relationships/image" Target="media/image3.emf"/><Relationship Id="rId31" Type="http://schemas.openxmlformats.org/officeDocument/2006/relationships/chart" Target="charts/chart9.xml"/><Relationship Id="rId44" Type="http://schemas.openxmlformats.org/officeDocument/2006/relationships/chart" Target="charts/chart22.xml"/><Relationship Id="rId52" Type="http://schemas.openxmlformats.org/officeDocument/2006/relationships/chart" Target="charts/chart30.xml"/><Relationship Id="rId60" Type="http://schemas.openxmlformats.org/officeDocument/2006/relationships/chart" Target="charts/chart38.xml"/><Relationship Id="rId65" Type="http://schemas.openxmlformats.org/officeDocument/2006/relationships/chart" Target="charts/chart43.xml"/><Relationship Id="rId73" Type="http://schemas.openxmlformats.org/officeDocument/2006/relationships/chart" Target="charts/chart51.xml"/><Relationship Id="rId78" Type="http://schemas.openxmlformats.org/officeDocument/2006/relationships/image" Target="media/image6.emf"/><Relationship Id="rId81" Type="http://schemas.openxmlformats.org/officeDocument/2006/relationships/hyperlink" Target="mailto:HEcosting@deloitte.com.au" TargetMode="External"/><Relationship Id="rId86" Type="http://schemas.openxmlformats.org/officeDocument/2006/relationships/chart" Target="charts/chart57.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chart" Target="charts/chart17.xml"/><Relationship Id="rId34" Type="http://schemas.openxmlformats.org/officeDocument/2006/relationships/chart" Target="charts/chart12.xml"/><Relationship Id="rId50" Type="http://schemas.openxmlformats.org/officeDocument/2006/relationships/chart" Target="charts/chart28.xml"/><Relationship Id="rId55" Type="http://schemas.openxmlformats.org/officeDocument/2006/relationships/chart" Target="charts/chart33.xml"/><Relationship Id="rId76" Type="http://schemas.openxmlformats.org/officeDocument/2006/relationships/chart" Target="charts/chart54.xml"/><Relationship Id="rId7" Type="http://schemas.openxmlformats.org/officeDocument/2006/relationships/endnotes" Target="endnotes.xml"/><Relationship Id="rId71" Type="http://schemas.openxmlformats.org/officeDocument/2006/relationships/chart" Target="charts/chart49.xml"/><Relationship Id="rId92" Type="http://schemas.openxmlformats.org/officeDocument/2006/relationships/image" Target="media/image9.PNG"/><Relationship Id="rId2" Type="http://schemas.openxmlformats.org/officeDocument/2006/relationships/numbering" Target="numbering.xml"/><Relationship Id="rId29" Type="http://schemas.openxmlformats.org/officeDocument/2006/relationships/chart" Target="charts/chart7.xml"/><Relationship Id="rId24" Type="http://schemas.openxmlformats.org/officeDocument/2006/relationships/chart" Target="charts/chart2.xml"/><Relationship Id="rId40" Type="http://schemas.openxmlformats.org/officeDocument/2006/relationships/chart" Target="charts/chart18.xml"/><Relationship Id="rId45" Type="http://schemas.openxmlformats.org/officeDocument/2006/relationships/chart" Target="charts/chart23.xml"/><Relationship Id="rId66" Type="http://schemas.openxmlformats.org/officeDocument/2006/relationships/chart" Target="charts/chart44.xml"/><Relationship Id="rId87" Type="http://schemas.openxmlformats.org/officeDocument/2006/relationships/chart" Target="charts/chart58.xml"/><Relationship Id="rId61" Type="http://schemas.openxmlformats.org/officeDocument/2006/relationships/chart" Target="charts/chart39.xml"/><Relationship Id="rId82" Type="http://schemas.openxmlformats.org/officeDocument/2006/relationships/image" Target="media/image7.emf"/><Relationship Id="rId19" Type="http://schemas.openxmlformats.org/officeDocument/2006/relationships/header" Target="header5.xml"/><Relationship Id="rId14" Type="http://schemas.openxmlformats.org/officeDocument/2006/relationships/footer" Target="footer2.xml"/><Relationship Id="rId30" Type="http://schemas.openxmlformats.org/officeDocument/2006/relationships/chart" Target="charts/chart8.xml"/><Relationship Id="rId35" Type="http://schemas.openxmlformats.org/officeDocument/2006/relationships/chart" Target="charts/chart13.xml"/><Relationship Id="rId56" Type="http://schemas.openxmlformats.org/officeDocument/2006/relationships/chart" Target="charts/chart34.xml"/><Relationship Id="rId77" Type="http://schemas.openxmlformats.org/officeDocument/2006/relationships/image" Target="media/image5.e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14-3-202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11.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14-3-2022.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4.xml"/></Relationships>
</file>

<file path=word/charts/_rels/chart13.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0.xml"/><Relationship Id="rId1" Type="http://schemas.microsoft.com/office/2011/relationships/chartStyle" Target="style10.xml"/></Relationships>
</file>

<file path=word/charts/_rels/chart14.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5.xml"/></Relationships>
</file>

<file path=word/charts/_rels/chart15.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2.xml"/><Relationship Id="rId1" Type="http://schemas.microsoft.com/office/2011/relationships/chartStyle" Target="style12.xml"/></Relationships>
</file>

<file path=word/charts/_rels/chart16.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3.xml"/><Relationship Id="rId1" Type="http://schemas.microsoft.com/office/2011/relationships/chartStyle" Target="style13.xml"/></Relationships>
</file>

<file path=word/charts/_rels/chart17.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4.xml"/><Relationship Id="rId1" Type="http://schemas.microsoft.com/office/2011/relationships/chartStyle" Target="style14.xml"/></Relationships>
</file>

<file path=word/charts/_rels/chart18.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5.xml"/><Relationship Id="rId1" Type="http://schemas.microsoft.com/office/2011/relationships/chartStyle" Target="style15.xml"/></Relationships>
</file>

<file path=word/charts/_rels/chart19.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7.xml"/><Relationship Id="rId1" Type="http://schemas.microsoft.com/office/2011/relationships/chartStyle" Target="style17.xml"/></Relationships>
</file>

<file path=word/charts/_rels/chart21.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8.xml"/><Relationship Id="rId1" Type="http://schemas.microsoft.com/office/2011/relationships/chartStyle" Target="style18.xml"/></Relationships>
</file>

<file path=word/charts/_rels/chart22.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19.xml"/><Relationship Id="rId1" Type="http://schemas.microsoft.com/office/2011/relationships/chartStyle" Target="style19.xml"/></Relationships>
</file>

<file path=word/charts/_rels/chart23.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0.xml"/><Relationship Id="rId1" Type="http://schemas.microsoft.com/office/2011/relationships/chartStyle" Target="style20.xml"/></Relationships>
</file>

<file path=word/charts/_rels/chart24.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1.xml"/><Relationship Id="rId1" Type="http://schemas.microsoft.com/office/2011/relationships/chartStyle" Target="style21.xml"/></Relationships>
</file>

<file path=word/charts/_rels/chart25.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2.xml"/><Relationship Id="rId1" Type="http://schemas.microsoft.com/office/2011/relationships/chartStyle" Target="style22.xml"/></Relationships>
</file>

<file path=word/charts/_rels/chart26.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3.xml"/><Relationship Id="rId1" Type="http://schemas.microsoft.com/office/2011/relationships/chartStyle" Target="style23.xml"/></Relationships>
</file>

<file path=word/charts/_rels/chart29.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4.xml"/><Relationship Id="rId1" Type="http://schemas.microsoft.com/office/2011/relationships/chartStyle" Target="style24.xml"/></Relationships>
</file>

<file path=word/charts/_rels/chart3.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25-7-2022.xlsx" TargetMode="External"/><Relationship Id="rId2" Type="http://schemas.microsoft.com/office/2011/relationships/chartColorStyle" Target="colors25.xml"/><Relationship Id="rId1" Type="http://schemas.microsoft.com/office/2011/relationships/chartStyle" Target="style25.xml"/></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33.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6.xml"/><Relationship Id="rId1" Type="http://schemas.microsoft.com/office/2011/relationships/chartStyle" Target="style26.xml"/></Relationships>
</file>

<file path=word/charts/_rels/chart34.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1.xml"/></Relationships>
</file>

<file path=word/charts/_rels/chart35.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2.xml"/></Relationships>
</file>

<file path=word/charts/_rels/chart36.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3.xml"/></Relationships>
</file>

<file path=word/charts/_rels/chart37.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7.xml"/><Relationship Id="rId1" Type="http://schemas.microsoft.com/office/2011/relationships/chartStyle" Target="style27.xml"/></Relationships>
</file>

<file path=word/charts/_rels/chart38.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8.xml"/><Relationship Id="rId1" Type="http://schemas.microsoft.com/office/2011/relationships/chartStyle" Target="style28.xml"/></Relationships>
</file>

<file path=word/charts/_rels/chart39.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9.xml"/><Relationship Id="rId1" Type="http://schemas.microsoft.com/office/2011/relationships/chartStyle" Target="style29.xml"/></Relationships>
</file>

<file path=word/charts/_rels/chart4.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30.xml"/><Relationship Id="rId1" Type="http://schemas.microsoft.com/office/2011/relationships/chartStyle" Target="style30.xml"/></Relationships>
</file>

<file path=word/charts/_rels/chart41.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2020%20COVID%20Analysis_7062022.xlsx" TargetMode="Externa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2.xml"/><Relationship Id="rId1" Type="http://schemas.microsoft.com/office/2011/relationships/chartStyle" Target="style2.xml"/></Relationships>
</file>

<file path=word/charts/_rels/chart50.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53.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31.xml"/><Relationship Id="rId1" Type="http://schemas.microsoft.com/office/2011/relationships/chartStyle" Target="style31.xml"/></Relationships>
</file>

<file path=word/charts/_rels/chart54.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32.xml"/><Relationship Id="rId1" Type="http://schemas.microsoft.com/office/2011/relationships/chartStyle" Target="style32.xml"/></Relationships>
</file>

<file path=word/charts/_rels/chart55.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4.xml"/></Relationships>
</file>

<file path=word/charts/_rels/chart56.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5.xml"/></Relationships>
</file>

<file path=word/charts/_rels/chart57.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6.xml"/></Relationships>
</file>

<file path=word/charts/_rels/chart58.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oleObject" Target="https://ausdeloitte.sharepoint.com/sites/HECosting2021/Shared%20Documents/General/6.%20Modelling%20and%20analysis/Transparent%20Costing%20-%20Data%20Compilation%20-%2030-4-2022.xlsx" TargetMode="External"/><Relationship Id="rId1" Type="http://schemas.openxmlformats.org/officeDocument/2006/relationships/themeOverride" Target="../theme/themeOverride7.xml"/></Relationships>
</file>

<file path=word/charts/_rels/chart59.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33.xml"/><Relationship Id="rId1" Type="http://schemas.microsoft.com/office/2011/relationships/chartStyle" Target="style33.xml"/></Relationships>
</file>

<file path=word/charts/_rels/chart6.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25-7-2022.xlsx" TargetMode="External"/><Relationship Id="rId2" Type="http://schemas.microsoft.com/office/2011/relationships/chartColorStyle" Target="colors3.xml"/><Relationship Id="rId1" Type="http://schemas.microsoft.com/office/2011/relationships/chartStyle" Target="style3.xml"/></Relationships>
</file>

<file path=word/charts/_rels/chart60.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34.xml"/><Relationship Id="rId1" Type="http://schemas.microsoft.com/office/2011/relationships/chartStyle" Target="style34.xml"/></Relationships>
</file>

<file path=word/charts/_rels/chart61.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ausdeloitte.sharepoint.com/sites/HECosting2021/Shared%20Documents/General/6.%20Modelling%20and%20analysis/Transparent%20Costing%20-%20Data%20Compilation%20-%2030-4-2022.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9.xml.rels><?xml version="1.0" encoding="UTF-8" standalone="yes"?>
<Relationships xmlns="http://schemas.openxmlformats.org/package/2006/relationships"><Relationship Id="rId3" Type="http://schemas.openxmlformats.org/officeDocument/2006/relationships/oleObject" Target="https://ausdeloitte.sharepoint.com/sites/HECosting2021/Shared%20Documents/General/6.%20Modelling%20and%20analysis/Transparent%20Costing%20-%20Data%20Compilation%20-%2030-4-202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223757253593122"/>
          <c:h val="0.77401624528324864"/>
        </c:manualLayout>
      </c:layout>
      <c:barChart>
        <c:barDir val="col"/>
        <c:grouping val="clustered"/>
        <c:varyColors val="0"/>
        <c:ser>
          <c:idx val="0"/>
          <c:order val="0"/>
          <c:tx>
            <c:v>2019</c:v>
          </c:tx>
          <c:spPr>
            <a:solidFill>
              <a:srgbClr val="00ABAB"/>
            </a:solidFill>
            <a:ln>
              <a:noFill/>
            </a:ln>
            <a:effectLst/>
          </c:spPr>
          <c:invertIfNegative val="0"/>
          <c:cat>
            <c:numRef>
              <c:f>ES_data!$V$4:$V$40</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ES_data!$X$4:$X$40</c:f>
              <c:numCache>
                <c:formatCode>_-"$"* #,##0_-;\-"$"* #,##0_-;_-"$"* "-"??_-;_-@_-</c:formatCode>
                <c:ptCount val="37"/>
                <c:pt idx="0">
                  <c:v>12814.530156902363</c:v>
                </c:pt>
                <c:pt idx="1">
                  <c:v>13748.549450770888</c:v>
                </c:pt>
                <c:pt idx="2">
                  <c:v>13980.924181869892</c:v>
                </c:pt>
                <c:pt idx="3">
                  <c:v>14385.700336396521</c:v>
                </c:pt>
                <c:pt idx="4">
                  <c:v>14401.185752126341</c:v>
                </c:pt>
                <c:pt idx="5">
                  <c:v>14706.293913608943</c:v>
                </c:pt>
                <c:pt idx="6">
                  <c:v>15266.364811361409</c:v>
                </c:pt>
                <c:pt idx="7">
                  <c:v>15443.889696214877</c:v>
                </c:pt>
                <c:pt idx="8">
                  <c:v>15638.557264045025</c:v>
                </c:pt>
                <c:pt idx="9">
                  <c:v>15708.528170250092</c:v>
                </c:pt>
                <c:pt idx="10">
                  <c:v>15740.529923598619</c:v>
                </c:pt>
                <c:pt idx="11">
                  <c:v>15985.119938863701</c:v>
                </c:pt>
                <c:pt idx="12">
                  <c:v>16017.623767531264</c:v>
                </c:pt>
                <c:pt idx="13">
                  <c:v>16140.591500218801</c:v>
                </c:pt>
                <c:pt idx="14">
                  <c:v>16691.193514240447</c:v>
                </c:pt>
                <c:pt idx="15">
                  <c:v>17321.845063730012</c:v>
                </c:pt>
                <c:pt idx="16">
                  <c:v>17446.972882403901</c:v>
                </c:pt>
                <c:pt idx="17">
                  <c:v>17563.051098965407</c:v>
                </c:pt>
                <c:pt idx="18">
                  <c:v>17783.018951898095</c:v>
                </c:pt>
                <c:pt idx="19">
                  <c:v>18242.605559103351</c:v>
                </c:pt>
                <c:pt idx="20">
                  <c:v>18269.854384262053</c:v>
                </c:pt>
                <c:pt idx="21">
                  <c:v>18577.865184604918</c:v>
                </c:pt>
                <c:pt idx="22">
                  <c:v>18604.603682420991</c:v>
                </c:pt>
                <c:pt idx="23">
                  <c:v>19153.043694724332</c:v>
                </c:pt>
                <c:pt idx="24">
                  <c:v>19181.053754080938</c:v>
                </c:pt>
                <c:pt idx="25">
                  <c:v>19362.066343688697</c:v>
                </c:pt>
                <c:pt idx="26">
                  <c:v>19880.750459975327</c:v>
                </c:pt>
                <c:pt idx="27">
                  <c:v>19890.810834286065</c:v>
                </c:pt>
                <c:pt idx="28">
                  <c:v>20007.667578811161</c:v>
                </c:pt>
                <c:pt idx="29">
                  <c:v>20112.815002372605</c:v>
                </c:pt>
                <c:pt idx="30">
                  <c:v>20628.034724731784</c:v>
                </c:pt>
                <c:pt idx="31">
                  <c:v>20893.80515653265</c:v>
                </c:pt>
                <c:pt idx="32">
                  <c:v>21127.42601367733</c:v>
                </c:pt>
                <c:pt idx="33">
                  <c:v>21366.019604637491</c:v>
                </c:pt>
                <c:pt idx="34">
                  <c:v>21433.989011356509</c:v>
                </c:pt>
                <c:pt idx="35">
                  <c:v>22780.327201337401</c:v>
                </c:pt>
                <c:pt idx="36">
                  <c:v>24368.560271898536</c:v>
                </c:pt>
              </c:numCache>
            </c:numRef>
          </c:val>
          <c:extLst>
            <c:ext xmlns:c16="http://schemas.microsoft.com/office/drawing/2014/chart" uri="{C3380CC4-5D6E-409C-BE32-E72D297353CC}">
              <c16:uniqueId val="{00000000-FEB2-4F7C-B765-6BA28522A7C5}"/>
            </c:ext>
          </c:extLst>
        </c:ser>
        <c:ser>
          <c:idx val="2"/>
          <c:order val="2"/>
          <c:tx>
            <c:v>2020</c:v>
          </c:tx>
          <c:spPr>
            <a:solidFill>
              <a:srgbClr val="BFBFBF"/>
            </a:solidFill>
            <a:ln>
              <a:noFill/>
            </a:ln>
            <a:effectLst/>
          </c:spPr>
          <c:invertIfNegative val="0"/>
          <c:cat>
            <c:numRef>
              <c:f>ES_data!$V$4:$V$40</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ES_data!$Y$4:$Y$40</c:f>
              <c:numCache>
                <c:formatCode>_-"$"* #,##0_-;\-"$"* #,##0_-;_-"$"* "-"??_-;_-@_-</c:formatCode>
                <c:ptCount val="37"/>
                <c:pt idx="0">
                  <c:v>12831.921189840901</c:v>
                </c:pt>
                <c:pt idx="1">
                  <c:v>13056.940915453362</c:v>
                </c:pt>
                <c:pt idx="2">
                  <c:v>14521.319769424763</c:v>
                </c:pt>
                <c:pt idx="3">
                  <c:v>14768.878622021337</c:v>
                </c:pt>
                <c:pt idx="4">
                  <c:v>15151.791552578808</c:v>
                </c:pt>
                <c:pt idx="5">
                  <c:v>15209.021916532596</c:v>
                </c:pt>
                <c:pt idx="6">
                  <c:v>15909.610368359068</c:v>
                </c:pt>
                <c:pt idx="7">
                  <c:v>20385.95798928753</c:v>
                </c:pt>
                <c:pt idx="8">
                  <c:v>15771.097044306049</c:v>
                </c:pt>
                <c:pt idx="9">
                  <c:v>16104.470602518897</c:v>
                </c:pt>
                <c:pt idx="10">
                  <c:v>15606.526232522299</c:v>
                </c:pt>
                <c:pt idx="11">
                  <c:v>14905.309760059194</c:v>
                </c:pt>
                <c:pt idx="12">
                  <c:v>15827.701951402591</c:v>
                </c:pt>
                <c:pt idx="13">
                  <c:v>16363.721813609278</c:v>
                </c:pt>
                <c:pt idx="14">
                  <c:v>16627.376730443295</c:v>
                </c:pt>
                <c:pt idx="15">
                  <c:v>16361.360310299788</c:v>
                </c:pt>
                <c:pt idx="16">
                  <c:v>15714.521479315199</c:v>
                </c:pt>
                <c:pt idx="17">
                  <c:v>18830.051865241869</c:v>
                </c:pt>
                <c:pt idx="18">
                  <c:v>16764.93728098071</c:v>
                </c:pt>
                <c:pt idx="19">
                  <c:v>19313.824814978434</c:v>
                </c:pt>
                <c:pt idx="20">
                  <c:v>18366.933161044388</c:v>
                </c:pt>
                <c:pt idx="21">
                  <c:v>18083.509762873382</c:v>
                </c:pt>
                <c:pt idx="22">
                  <c:v>15735.57803170322</c:v>
                </c:pt>
                <c:pt idx="23">
                  <c:v>19332.372934841198</c:v>
                </c:pt>
                <c:pt idx="24">
                  <c:v>20304.205064588888</c:v>
                </c:pt>
                <c:pt idx="25">
                  <c:v>19601.870861611882</c:v>
                </c:pt>
                <c:pt idx="26">
                  <c:v>21270.178180015857</c:v>
                </c:pt>
                <c:pt idx="27">
                  <c:v>20346.746508657583</c:v>
                </c:pt>
                <c:pt idx="28">
                  <c:v>18640.649800669511</c:v>
                </c:pt>
                <c:pt idx="29">
                  <c:v>20074.327840208367</c:v>
                </c:pt>
                <c:pt idx="30">
                  <c:v>19384.495588900489</c:v>
                </c:pt>
                <c:pt idx="31">
                  <c:v>21482.306699028584</c:v>
                </c:pt>
                <c:pt idx="32">
                  <c:v>22333.218175444326</c:v>
                </c:pt>
                <c:pt idx="33">
                  <c:v>19728.025441746835</c:v>
                </c:pt>
                <c:pt idx="34">
                  <c:v>21855.618918609747</c:v>
                </c:pt>
                <c:pt idx="35">
                  <c:v>24942.466061198258</c:v>
                </c:pt>
                <c:pt idx="36">
                  <c:v>25682.678111644484</c:v>
                </c:pt>
              </c:numCache>
            </c:numRef>
          </c:val>
          <c:extLst>
            <c:ext xmlns:c16="http://schemas.microsoft.com/office/drawing/2014/chart" uri="{C3380CC4-5D6E-409C-BE32-E72D297353CC}">
              <c16:uniqueId val="{00000001-FEB2-4F7C-B765-6BA28522A7C5}"/>
            </c:ext>
          </c:extLst>
        </c:ser>
        <c:dLbls>
          <c:showLegendKey val="0"/>
          <c:showVal val="0"/>
          <c:showCatName val="0"/>
          <c:showSerName val="0"/>
          <c:showPercent val="0"/>
          <c:showBubbleSize val="0"/>
        </c:dLbls>
        <c:gapWidth val="150"/>
        <c:axId val="556177936"/>
        <c:axId val="556201232"/>
      </c:barChart>
      <c:lineChart>
        <c:grouping val="standard"/>
        <c:varyColors val="0"/>
        <c:ser>
          <c:idx val="1"/>
          <c:order val="1"/>
          <c:tx>
            <c:v>Average 2019 </c:v>
          </c:tx>
          <c:spPr>
            <a:ln w="28575" cap="rnd">
              <a:solidFill>
                <a:srgbClr val="00ABAB"/>
              </a:solidFill>
              <a:prstDash val="sysDash"/>
              <a:round/>
            </a:ln>
            <a:effectLst/>
          </c:spPr>
          <c:marker>
            <c:symbol val="none"/>
          </c:marker>
          <c:cat>
            <c:numRef>
              <c:f>ES_data!$V$4:$V$40</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ES_data!$Z$4:$Z$40</c:f>
              <c:numCache>
                <c:formatCode>"$"#,##0</c:formatCode>
                <c:ptCount val="37"/>
                <c:pt idx="0">
                  <c:v>17863.368408973845</c:v>
                </c:pt>
                <c:pt idx="1">
                  <c:v>17863.368408973845</c:v>
                </c:pt>
                <c:pt idx="2">
                  <c:v>17863.368408973845</c:v>
                </c:pt>
                <c:pt idx="3">
                  <c:v>17863.368408973845</c:v>
                </c:pt>
                <c:pt idx="4">
                  <c:v>17863.368408973845</c:v>
                </c:pt>
                <c:pt idx="5">
                  <c:v>17863.368408973845</c:v>
                </c:pt>
                <c:pt idx="6">
                  <c:v>17863.368408973845</c:v>
                </c:pt>
                <c:pt idx="7">
                  <c:v>17863.368408973845</c:v>
                </c:pt>
                <c:pt idx="8">
                  <c:v>17863.368408973845</c:v>
                </c:pt>
                <c:pt idx="9">
                  <c:v>17863.368408973845</c:v>
                </c:pt>
                <c:pt idx="10">
                  <c:v>17863.368408973845</c:v>
                </c:pt>
                <c:pt idx="11">
                  <c:v>17863.368408973845</c:v>
                </c:pt>
                <c:pt idx="12">
                  <c:v>17863.368408973845</c:v>
                </c:pt>
                <c:pt idx="13">
                  <c:v>17863.368408973845</c:v>
                </c:pt>
                <c:pt idx="14">
                  <c:v>17863.368408973845</c:v>
                </c:pt>
                <c:pt idx="15">
                  <c:v>17863.368408973845</c:v>
                </c:pt>
                <c:pt idx="16">
                  <c:v>17863.368408973845</c:v>
                </c:pt>
                <c:pt idx="17">
                  <c:v>17863.368408973845</c:v>
                </c:pt>
                <c:pt idx="18">
                  <c:v>17863.368408973845</c:v>
                </c:pt>
                <c:pt idx="19">
                  <c:v>17863.368408973845</c:v>
                </c:pt>
                <c:pt idx="20">
                  <c:v>17863.368408973845</c:v>
                </c:pt>
                <c:pt idx="21">
                  <c:v>17863.368408973845</c:v>
                </c:pt>
                <c:pt idx="22">
                  <c:v>17863.368408973845</c:v>
                </c:pt>
                <c:pt idx="23">
                  <c:v>17863.368408973845</c:v>
                </c:pt>
                <c:pt idx="24">
                  <c:v>17863.368408973845</c:v>
                </c:pt>
                <c:pt idx="25">
                  <c:v>17863.368408973845</c:v>
                </c:pt>
                <c:pt idx="26">
                  <c:v>17863.368408973845</c:v>
                </c:pt>
                <c:pt idx="27">
                  <c:v>17863.368408973845</c:v>
                </c:pt>
                <c:pt idx="28">
                  <c:v>17863.368408973845</c:v>
                </c:pt>
                <c:pt idx="29">
                  <c:v>17863.368408973845</c:v>
                </c:pt>
                <c:pt idx="30">
                  <c:v>17863.368408973845</c:v>
                </c:pt>
                <c:pt idx="31">
                  <c:v>17863.368408973845</c:v>
                </c:pt>
                <c:pt idx="32">
                  <c:v>17863.368408973845</c:v>
                </c:pt>
                <c:pt idx="33">
                  <c:v>17863.368408973845</c:v>
                </c:pt>
                <c:pt idx="34">
                  <c:v>17863.368408973845</c:v>
                </c:pt>
                <c:pt idx="35">
                  <c:v>17863.368408973845</c:v>
                </c:pt>
                <c:pt idx="36">
                  <c:v>17863.368408973845</c:v>
                </c:pt>
              </c:numCache>
            </c:numRef>
          </c:val>
          <c:smooth val="0"/>
          <c:extLst>
            <c:ext xmlns:c16="http://schemas.microsoft.com/office/drawing/2014/chart" uri="{C3380CC4-5D6E-409C-BE32-E72D297353CC}">
              <c16:uniqueId val="{00000002-FEB2-4F7C-B765-6BA28522A7C5}"/>
            </c:ext>
          </c:extLst>
        </c:ser>
        <c:ser>
          <c:idx val="3"/>
          <c:order val="3"/>
          <c:tx>
            <c:v>Average 2020 </c:v>
          </c:tx>
          <c:spPr>
            <a:ln w="28575" cap="rnd">
              <a:solidFill>
                <a:srgbClr val="BFBFBF"/>
              </a:solidFill>
              <a:prstDash val="dash"/>
              <a:round/>
            </a:ln>
            <a:effectLst/>
          </c:spPr>
          <c:marker>
            <c:symbol val="none"/>
          </c:marker>
          <c:cat>
            <c:numRef>
              <c:f>ES_data!$V$4:$V$40</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ES_data!$AA$4:$AA$40</c:f>
              <c:numCache>
                <c:formatCode>"$"#,##0</c:formatCode>
                <c:ptCount val="37"/>
                <c:pt idx="0">
                  <c:v>17937.311611692348</c:v>
                </c:pt>
                <c:pt idx="1">
                  <c:v>17937.311611692348</c:v>
                </c:pt>
                <c:pt idx="2">
                  <c:v>17937.311611692348</c:v>
                </c:pt>
                <c:pt idx="3">
                  <c:v>17937.311611692348</c:v>
                </c:pt>
                <c:pt idx="4">
                  <c:v>17937.311611692348</c:v>
                </c:pt>
                <c:pt idx="5">
                  <c:v>17937.311611692348</c:v>
                </c:pt>
                <c:pt idx="6">
                  <c:v>17937.311611692348</c:v>
                </c:pt>
                <c:pt idx="7">
                  <c:v>17937.311611692348</c:v>
                </c:pt>
                <c:pt idx="8">
                  <c:v>17937.311611692348</c:v>
                </c:pt>
                <c:pt idx="9">
                  <c:v>17937.311611692348</c:v>
                </c:pt>
                <c:pt idx="10">
                  <c:v>17937.311611692348</c:v>
                </c:pt>
                <c:pt idx="11">
                  <c:v>17937.311611692348</c:v>
                </c:pt>
                <c:pt idx="12">
                  <c:v>17937.311611692348</c:v>
                </c:pt>
                <c:pt idx="13">
                  <c:v>17937.311611692348</c:v>
                </c:pt>
                <c:pt idx="14">
                  <c:v>17937.311611692348</c:v>
                </c:pt>
                <c:pt idx="15">
                  <c:v>17937.311611692348</c:v>
                </c:pt>
                <c:pt idx="16">
                  <c:v>17937.311611692348</c:v>
                </c:pt>
                <c:pt idx="17">
                  <c:v>17937.311611692348</c:v>
                </c:pt>
                <c:pt idx="18">
                  <c:v>17937.311611692348</c:v>
                </c:pt>
                <c:pt idx="19">
                  <c:v>17937.311611692348</c:v>
                </c:pt>
                <c:pt idx="20">
                  <c:v>17937.311611692348</c:v>
                </c:pt>
                <c:pt idx="21">
                  <c:v>17937.311611692348</c:v>
                </c:pt>
                <c:pt idx="22">
                  <c:v>17937.311611692348</c:v>
                </c:pt>
                <c:pt idx="23">
                  <c:v>17937.311611692348</c:v>
                </c:pt>
                <c:pt idx="24">
                  <c:v>17937.311611692348</c:v>
                </c:pt>
                <c:pt idx="25">
                  <c:v>17937.311611692348</c:v>
                </c:pt>
                <c:pt idx="26">
                  <c:v>17937.311611692348</c:v>
                </c:pt>
                <c:pt idx="27">
                  <c:v>17937.311611692348</c:v>
                </c:pt>
                <c:pt idx="28">
                  <c:v>17937.311611692348</c:v>
                </c:pt>
                <c:pt idx="29">
                  <c:v>17937.311611692348</c:v>
                </c:pt>
                <c:pt idx="30">
                  <c:v>17937.311611692348</c:v>
                </c:pt>
                <c:pt idx="31">
                  <c:v>17937.311611692348</c:v>
                </c:pt>
                <c:pt idx="32">
                  <c:v>17937.311611692348</c:v>
                </c:pt>
                <c:pt idx="33">
                  <c:v>17937.311611692348</c:v>
                </c:pt>
                <c:pt idx="34">
                  <c:v>17937.311611692348</c:v>
                </c:pt>
                <c:pt idx="35">
                  <c:v>17937.311611692348</c:v>
                </c:pt>
                <c:pt idx="36">
                  <c:v>17937.311611692348</c:v>
                </c:pt>
              </c:numCache>
            </c:numRef>
          </c:val>
          <c:smooth val="0"/>
          <c:extLst>
            <c:ext xmlns:c16="http://schemas.microsoft.com/office/drawing/2014/chart" uri="{C3380CC4-5D6E-409C-BE32-E72D297353CC}">
              <c16:uniqueId val="{00000003-FEB2-4F7C-B765-6BA28522A7C5}"/>
            </c:ext>
          </c:extLst>
        </c:ser>
        <c:dLbls>
          <c:showLegendKey val="0"/>
          <c:showVal val="0"/>
          <c:showCatName val="0"/>
          <c:showSerName val="0"/>
          <c:showPercent val="0"/>
          <c:showBubbleSize val="0"/>
        </c:dLbls>
        <c:marker val="1"/>
        <c:smooth val="0"/>
        <c:axId val="556177936"/>
        <c:axId val="556201232"/>
      </c:lineChart>
      <c:catAx>
        <c:axId val="556177936"/>
        <c:scaling>
          <c:orientation val="minMax"/>
        </c:scaling>
        <c:delete val="0"/>
        <c:axPos val="b"/>
        <c:title>
          <c:tx>
            <c:strRef>
              <c:f>ES_data!$I$43</c:f>
              <c:strCache>
                <c:ptCount val="1"/>
                <c:pt idx="0">
                  <c:v>Universities (37)</c:v>
                </c:pt>
              </c:strCache>
            </c:strRef>
          </c:tx>
          <c:layout>
            <c:manualLayout>
              <c:xMode val="edge"/>
              <c:yMode val="edge"/>
              <c:x val="0.42108981411044966"/>
              <c:y val="0.8604948043972561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56201232"/>
        <c:crosses val="autoZero"/>
        <c:auto val="1"/>
        <c:lblAlgn val="ctr"/>
        <c:lblOffset val="100"/>
        <c:noMultiLvlLbl val="0"/>
      </c:catAx>
      <c:valAx>
        <c:axId val="556201232"/>
        <c:scaling>
          <c:orientation val="minMax"/>
        </c:scaling>
        <c:delete val="0"/>
        <c:axPos val="l"/>
        <c:majorGridlines>
          <c:spPr>
            <a:ln w="9525" cap="flat" cmpd="sng" algn="ctr">
              <a:noFill/>
              <a:round/>
            </a:ln>
            <a:effectLst/>
          </c:spPr>
        </c:majorGridlines>
        <c:numFmt formatCode="&quot;$&quot;#,##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56177936"/>
        <c:crosses val="autoZero"/>
        <c:crossBetween val="between"/>
      </c:valAx>
      <c:spPr>
        <a:noFill/>
        <a:ln>
          <a:noFill/>
        </a:ln>
        <a:effectLst/>
      </c:spPr>
    </c:plotArea>
    <c:legend>
      <c:legendPos val="b"/>
      <c:layout>
        <c:manualLayout>
          <c:xMode val="edge"/>
          <c:yMode val="edge"/>
          <c:x val="6.8764653883400473E-2"/>
          <c:y val="0.91768731744062848"/>
          <c:w val="0.89999983113998239"/>
          <c:h val="6.905619740680882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47033562041151E-2"/>
          <c:y val="8.1457635952895679E-2"/>
          <c:w val="0.91223864159959933"/>
          <c:h val="0.61746238365365003"/>
        </c:manualLayout>
      </c:layout>
      <c:barChart>
        <c:barDir val="col"/>
        <c:grouping val="stacked"/>
        <c:varyColors val="0"/>
        <c:ser>
          <c:idx val="0"/>
          <c:order val="0"/>
          <c:tx>
            <c:strRef>
              <c:f>'1.4 data'!$A$124</c:f>
              <c:strCache>
                <c:ptCount val="1"/>
                <c:pt idx="0">
                  <c:v>Academic employee costs</c:v>
                </c:pt>
              </c:strCache>
            </c:strRef>
          </c:tx>
          <c:spPr>
            <a:solidFill>
              <a:srgbClr val="0097A9"/>
            </a:solidFill>
            <a:ln>
              <a:noFill/>
            </a:ln>
            <a:effectLst/>
          </c:spPr>
          <c:invertIfNegative val="0"/>
          <c:cat>
            <c:numRef>
              <c:f>'1.4 data'!$B$123:$K$123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data'!$B$124:$K$124</c:f>
              <c:numCache>
                <c:formatCode>#,##0_);[Red]\(#,##0\)</c:formatCode>
                <c:ptCount val="10"/>
                <c:pt idx="0">
                  <c:v>6723826000</c:v>
                </c:pt>
                <c:pt idx="1">
                  <c:v>7252635000</c:v>
                </c:pt>
                <c:pt idx="2">
                  <c:v>7468915000</c:v>
                </c:pt>
                <c:pt idx="3">
                  <c:v>7881628000</c:v>
                </c:pt>
                <c:pt idx="4">
                  <c:v>8120573000</c:v>
                </c:pt>
                <c:pt idx="5">
                  <c:v>8574895000</c:v>
                </c:pt>
                <c:pt idx="6">
                  <c:v>9005989000</c:v>
                </c:pt>
                <c:pt idx="7">
                  <c:v>9489303000</c:v>
                </c:pt>
                <c:pt idx="8">
                  <c:v>10028880000</c:v>
                </c:pt>
                <c:pt idx="9">
                  <c:v>10552106000</c:v>
                </c:pt>
              </c:numCache>
            </c:numRef>
          </c:val>
          <c:extLst>
            <c:ext xmlns:c16="http://schemas.microsoft.com/office/drawing/2014/chart" uri="{C3380CC4-5D6E-409C-BE32-E72D297353CC}">
              <c16:uniqueId val="{00000000-ED55-4E92-AF41-D875E093B31C}"/>
            </c:ext>
          </c:extLst>
        </c:ser>
        <c:ser>
          <c:idx val="1"/>
          <c:order val="1"/>
          <c:tx>
            <c:strRef>
              <c:f>'1.4 data'!$A$125</c:f>
              <c:strCache>
                <c:ptCount val="1"/>
                <c:pt idx="0">
                  <c:v>Non-academic employee costs</c:v>
                </c:pt>
              </c:strCache>
            </c:strRef>
          </c:tx>
          <c:spPr>
            <a:solidFill>
              <a:srgbClr val="75787B"/>
            </a:solidFill>
            <a:ln>
              <a:noFill/>
            </a:ln>
            <a:effectLst/>
          </c:spPr>
          <c:invertIfNegative val="0"/>
          <c:cat>
            <c:numRef>
              <c:f>'1.4 data'!$B$123:$K$123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data'!$B$125:$K$125</c:f>
              <c:numCache>
                <c:formatCode>#,##0_);[Red]\(#,##0\)</c:formatCode>
                <c:ptCount val="10"/>
                <c:pt idx="0">
                  <c:v>5911610000</c:v>
                </c:pt>
                <c:pt idx="1">
                  <c:v>6375751000</c:v>
                </c:pt>
                <c:pt idx="2">
                  <c:v>6667213000</c:v>
                </c:pt>
                <c:pt idx="3">
                  <c:v>7094965000</c:v>
                </c:pt>
                <c:pt idx="4">
                  <c:v>7322705000</c:v>
                </c:pt>
                <c:pt idx="5">
                  <c:v>7730509000</c:v>
                </c:pt>
                <c:pt idx="6">
                  <c:v>8135254000</c:v>
                </c:pt>
                <c:pt idx="7">
                  <c:v>8607510000</c:v>
                </c:pt>
                <c:pt idx="8">
                  <c:v>9130299000</c:v>
                </c:pt>
                <c:pt idx="9">
                  <c:v>9596049000</c:v>
                </c:pt>
              </c:numCache>
            </c:numRef>
          </c:val>
          <c:extLst>
            <c:ext xmlns:c16="http://schemas.microsoft.com/office/drawing/2014/chart" uri="{C3380CC4-5D6E-409C-BE32-E72D297353CC}">
              <c16:uniqueId val="{00000001-ED55-4E92-AF41-D875E093B31C}"/>
            </c:ext>
          </c:extLst>
        </c:ser>
        <c:ser>
          <c:idx val="3"/>
          <c:order val="2"/>
          <c:tx>
            <c:strRef>
              <c:f>'1.4 data'!$A$127</c:f>
              <c:strCache>
                <c:ptCount val="1"/>
                <c:pt idx="0">
                  <c:v>Other expenses</c:v>
                </c:pt>
              </c:strCache>
            </c:strRef>
          </c:tx>
          <c:spPr>
            <a:solidFill>
              <a:schemeClr val="tx2"/>
            </a:solidFill>
            <a:ln>
              <a:noFill/>
            </a:ln>
            <a:effectLst/>
          </c:spPr>
          <c:invertIfNegative val="0"/>
          <c:cat>
            <c:numRef>
              <c:f>'1.4 data'!$B$123:$K$123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data'!$B$127:$K$127</c:f>
              <c:numCache>
                <c:formatCode>#,##0_);[Red]\(#,##0\)</c:formatCode>
                <c:ptCount val="10"/>
                <c:pt idx="0">
                  <c:v>7549126000</c:v>
                </c:pt>
                <c:pt idx="1">
                  <c:v>7981572000</c:v>
                </c:pt>
                <c:pt idx="2">
                  <c:v>8403006000</c:v>
                </c:pt>
                <c:pt idx="3">
                  <c:v>8928051000</c:v>
                </c:pt>
                <c:pt idx="4">
                  <c:v>9399725000</c:v>
                </c:pt>
                <c:pt idx="5">
                  <c:v>10010698000</c:v>
                </c:pt>
                <c:pt idx="6">
                  <c:v>10533757000</c:v>
                </c:pt>
                <c:pt idx="7">
                  <c:v>11709684000</c:v>
                </c:pt>
                <c:pt idx="8">
                  <c:v>12113776000</c:v>
                </c:pt>
                <c:pt idx="9">
                  <c:v>10814418000</c:v>
                </c:pt>
              </c:numCache>
            </c:numRef>
          </c:val>
          <c:extLst>
            <c:ext xmlns:c16="http://schemas.microsoft.com/office/drawing/2014/chart" uri="{C3380CC4-5D6E-409C-BE32-E72D297353CC}">
              <c16:uniqueId val="{00000002-ED55-4E92-AF41-D875E093B31C}"/>
            </c:ext>
          </c:extLst>
        </c:ser>
        <c:ser>
          <c:idx val="2"/>
          <c:order val="3"/>
          <c:tx>
            <c:strRef>
              <c:f>'1.4 data'!$A$126</c:f>
              <c:strCache>
                <c:ptCount val="1"/>
                <c:pt idx="0">
                  <c:v>Depreciation, amortisation and finance costs</c:v>
                </c:pt>
              </c:strCache>
            </c:strRef>
          </c:tx>
          <c:spPr>
            <a:solidFill>
              <a:schemeClr val="tx2">
                <a:lumMod val="20000"/>
                <a:lumOff val="80000"/>
              </a:schemeClr>
            </a:solidFill>
            <a:ln>
              <a:noFill/>
            </a:ln>
            <a:effectLst/>
          </c:spPr>
          <c:invertIfNegative val="0"/>
          <c:cat>
            <c:numRef>
              <c:f>'1.4 data'!$B$123:$K$123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data'!$B$126:$K$126</c:f>
              <c:numCache>
                <c:formatCode>#,##0_);[Red]\(#,##0\)</c:formatCode>
                <c:ptCount val="10"/>
                <c:pt idx="0">
                  <c:v>1534410000</c:v>
                </c:pt>
                <c:pt idx="1">
                  <c:v>1666569000</c:v>
                </c:pt>
                <c:pt idx="2">
                  <c:v>1752516000</c:v>
                </c:pt>
                <c:pt idx="3">
                  <c:v>1954816000</c:v>
                </c:pt>
                <c:pt idx="4">
                  <c:v>2115444000</c:v>
                </c:pt>
                <c:pt idx="5">
                  <c:v>2269756000</c:v>
                </c:pt>
                <c:pt idx="6">
                  <c:v>2364071000</c:v>
                </c:pt>
                <c:pt idx="7">
                  <c:v>2472648000</c:v>
                </c:pt>
                <c:pt idx="8">
                  <c:v>2961522000</c:v>
                </c:pt>
                <c:pt idx="9">
                  <c:v>3016827000</c:v>
                </c:pt>
              </c:numCache>
            </c:numRef>
          </c:val>
          <c:extLst>
            <c:ext xmlns:c16="http://schemas.microsoft.com/office/drawing/2014/chart" uri="{C3380CC4-5D6E-409C-BE32-E72D297353CC}">
              <c16:uniqueId val="{00000003-ED55-4E92-AF41-D875E093B31C}"/>
            </c:ext>
          </c:extLst>
        </c:ser>
        <c:ser>
          <c:idx val="4"/>
          <c:order val="4"/>
          <c:tx>
            <c:strRef>
              <c:f>'1.4 data'!$A$128</c:f>
              <c:strCache>
                <c:ptCount val="1"/>
                <c:pt idx="0">
                  <c:v>Net operating result</c:v>
                </c:pt>
              </c:strCache>
            </c:strRef>
          </c:tx>
          <c:spPr>
            <a:solidFill>
              <a:schemeClr val="accent3"/>
            </a:solidFill>
            <a:ln>
              <a:noFill/>
            </a:ln>
            <a:effectLst/>
          </c:spPr>
          <c:invertIfNegative val="0"/>
          <c:cat>
            <c:numRef>
              <c:f>'1.4 data'!$B$123:$K$123</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data'!$B$128:$K$128</c:f>
              <c:numCache>
                <c:formatCode>#,##0_);[Red]\(#,##0\)</c:formatCode>
                <c:ptCount val="10"/>
                <c:pt idx="0">
                  <c:v>1938694000</c:v>
                </c:pt>
                <c:pt idx="1">
                  <c:v>1931210000</c:v>
                </c:pt>
                <c:pt idx="2">
                  <c:v>1996055000</c:v>
                </c:pt>
                <c:pt idx="3">
                  <c:v>1888270000</c:v>
                </c:pt>
                <c:pt idx="4">
                  <c:v>1647899000</c:v>
                </c:pt>
                <c:pt idx="5">
                  <c:v>1557176000</c:v>
                </c:pt>
                <c:pt idx="6">
                  <c:v>1990351000</c:v>
                </c:pt>
                <c:pt idx="7">
                  <c:v>1460744000</c:v>
                </c:pt>
                <c:pt idx="8">
                  <c:v>2280194000</c:v>
                </c:pt>
                <c:pt idx="9">
                  <c:v>668763000</c:v>
                </c:pt>
              </c:numCache>
            </c:numRef>
          </c:val>
          <c:extLst>
            <c:ext xmlns:c16="http://schemas.microsoft.com/office/drawing/2014/chart" uri="{C3380CC4-5D6E-409C-BE32-E72D297353CC}">
              <c16:uniqueId val="{00000004-ED55-4E92-AF41-D875E093B31C}"/>
            </c:ext>
          </c:extLst>
        </c:ser>
        <c:dLbls>
          <c:showLegendKey val="0"/>
          <c:showVal val="0"/>
          <c:showCatName val="0"/>
          <c:showSerName val="0"/>
          <c:showPercent val="0"/>
          <c:showBubbleSize val="0"/>
        </c:dLbls>
        <c:gapWidth val="150"/>
        <c:overlap val="100"/>
        <c:axId val="439143727"/>
        <c:axId val="439145391"/>
      </c:barChart>
      <c:catAx>
        <c:axId val="439143727"/>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39145391"/>
        <c:crosses val="autoZero"/>
        <c:auto val="1"/>
        <c:lblAlgn val="ctr"/>
        <c:lblOffset val="100"/>
        <c:noMultiLvlLbl val="0"/>
      </c:catAx>
      <c:valAx>
        <c:axId val="439145391"/>
        <c:scaling>
          <c:orientation val="minMax"/>
        </c:scaling>
        <c:delete val="0"/>
        <c:axPos val="l"/>
        <c:majorGridlines>
          <c:spPr>
            <a:ln w="9525" cap="flat" cmpd="sng" algn="ctr">
              <a:noFill/>
              <a:round/>
            </a:ln>
            <a:effectLst/>
          </c:spPr>
        </c:majorGridlines>
        <c:numFmt formatCode="#,##0_);[Red]\(#,##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39143727"/>
        <c:crosses val="autoZero"/>
        <c:crossBetween val="between"/>
        <c:dispUnits>
          <c:builtInUnit val="billions"/>
        </c:dispUnits>
      </c:valAx>
      <c:spPr>
        <a:noFill/>
        <a:ln>
          <a:noFill/>
        </a:ln>
        <a:effectLst/>
      </c:spPr>
    </c:plotArea>
    <c:legend>
      <c:legendPos val="b"/>
      <c:layout>
        <c:manualLayout>
          <c:xMode val="edge"/>
          <c:yMode val="edge"/>
          <c:x val="2.981018376428312E-2"/>
          <c:y val="0.786932412779903"/>
          <c:w val="0.94753777368209113"/>
          <c:h val="0.189576865896358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noFill/>
            </a:ln>
            <a:effectLst/>
          </c:spPr>
          <c:invertIfNegative val="0"/>
          <c:cat>
            <c:strRef>
              <c:f>'1.4 data'!$Z$124:$Z$128</c:f>
              <c:strCache>
                <c:ptCount val="5"/>
                <c:pt idx="0">
                  <c:v>Academic employee costs</c:v>
                </c:pt>
                <c:pt idx="1">
                  <c:v>Non-academic employee costs</c:v>
                </c:pt>
                <c:pt idx="2">
                  <c:v>Depreciation, amortisation and finance costs</c:v>
                </c:pt>
                <c:pt idx="3">
                  <c:v>Other expenses</c:v>
                </c:pt>
                <c:pt idx="4">
                  <c:v>Total expenses</c:v>
                </c:pt>
              </c:strCache>
              <c:extLst/>
            </c:strRef>
          </c:cat>
          <c:val>
            <c:numRef>
              <c:f>'1.4 data'!$AA$124:$AA$128</c:f>
              <c:numCache>
                <c:formatCode>0.0%</c:formatCode>
                <c:ptCount val="5"/>
                <c:pt idx="0">
                  <c:v>5.217192747345667E-2</c:v>
                </c:pt>
                <c:pt idx="1">
                  <c:v>5.1011472899189725E-2</c:v>
                </c:pt>
                <c:pt idx="2">
                  <c:v>1.8674519385640131E-2</c:v>
                </c:pt>
                <c:pt idx="3">
                  <c:v>-0.10726283860622809</c:v>
                </c:pt>
                <c:pt idx="4">
                  <c:v>-7.4508805845054926E-3</c:v>
                </c:pt>
              </c:numCache>
              <c:extLst/>
            </c:numRef>
          </c:val>
          <c:extLst>
            <c:ext xmlns:c16="http://schemas.microsoft.com/office/drawing/2014/chart" uri="{C3380CC4-5D6E-409C-BE32-E72D297353CC}">
              <c16:uniqueId val="{00000000-60F7-4807-894B-61A9DD090BA4}"/>
            </c:ext>
          </c:extLst>
        </c:ser>
        <c:dLbls>
          <c:showLegendKey val="0"/>
          <c:showVal val="0"/>
          <c:showCatName val="0"/>
          <c:showSerName val="0"/>
          <c:showPercent val="0"/>
          <c:showBubbleSize val="0"/>
        </c:dLbls>
        <c:gapWidth val="182"/>
        <c:axId val="1521557679"/>
        <c:axId val="1521560591"/>
      </c:barChart>
      <c:catAx>
        <c:axId val="1521557679"/>
        <c:scaling>
          <c:orientation val="minMax"/>
        </c:scaling>
        <c:delete val="0"/>
        <c:axPos val="l"/>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1521560591"/>
        <c:crosses val="autoZero"/>
        <c:auto val="1"/>
        <c:lblAlgn val="ctr"/>
        <c:lblOffset val="100"/>
        <c:noMultiLvlLbl val="0"/>
      </c:catAx>
      <c:valAx>
        <c:axId val="15215605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1521557679"/>
        <c:crosses val="autoZero"/>
        <c:crossBetween val="between"/>
        <c:majorUnit val="4.0000000000000008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47033562041151E-2"/>
          <c:y val="8.1457635952895679E-2"/>
          <c:w val="0.91223864159959933"/>
          <c:h val="0.55811517625578699"/>
        </c:manualLayout>
      </c:layout>
      <c:barChart>
        <c:barDir val="col"/>
        <c:grouping val="stacked"/>
        <c:varyColors val="0"/>
        <c:ser>
          <c:idx val="0"/>
          <c:order val="0"/>
          <c:tx>
            <c:strRef>
              <c:f>'1.4 data'!$A$151</c:f>
              <c:strCache>
                <c:ptCount val="1"/>
                <c:pt idx="0">
                  <c:v>CGS and Other Student Grants</c:v>
                </c:pt>
              </c:strCache>
            </c:strRef>
          </c:tx>
          <c:spPr>
            <a:solidFill>
              <a:srgbClr val="0097A9"/>
            </a:solidFill>
            <a:ln>
              <a:noFill/>
            </a:ln>
            <a:effectLst/>
          </c:spPr>
          <c:invertIfNegative val="0"/>
          <c:cat>
            <c:numRef>
              <c:f>'1.4 data'!$B$150:$K$150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data'!$B$151:$K$151</c:f>
              <c:numCache>
                <c:formatCode>#,##0_);[Red]\(#,##0\)</c:formatCode>
                <c:ptCount val="10"/>
                <c:pt idx="0">
                  <c:v>5457127000</c:v>
                </c:pt>
                <c:pt idx="1">
                  <c:v>6350518000</c:v>
                </c:pt>
                <c:pt idx="2">
                  <c:v>6579964000</c:v>
                </c:pt>
                <c:pt idx="3">
                  <c:v>6747733000</c:v>
                </c:pt>
                <c:pt idx="4">
                  <c:v>6999856000</c:v>
                </c:pt>
                <c:pt idx="5">
                  <c:v>7460759000</c:v>
                </c:pt>
                <c:pt idx="6">
                  <c:v>7416233000</c:v>
                </c:pt>
                <c:pt idx="7">
                  <c:v>7416226000</c:v>
                </c:pt>
                <c:pt idx="8">
                  <c:v>7469813000</c:v>
                </c:pt>
                <c:pt idx="9">
                  <c:v>7677507000</c:v>
                </c:pt>
              </c:numCache>
            </c:numRef>
          </c:val>
          <c:extLst>
            <c:ext xmlns:c16="http://schemas.microsoft.com/office/drawing/2014/chart" uri="{C3380CC4-5D6E-409C-BE32-E72D297353CC}">
              <c16:uniqueId val="{00000000-34CA-46A7-BEC7-F2848CA25A00}"/>
            </c:ext>
          </c:extLst>
        </c:ser>
        <c:ser>
          <c:idx val="1"/>
          <c:order val="1"/>
          <c:tx>
            <c:strRef>
              <c:f>'1.4 data'!$A$152</c:f>
              <c:strCache>
                <c:ptCount val="1"/>
                <c:pt idx="0">
                  <c:v>HELP Payments and Upfront Contributions</c:v>
                </c:pt>
              </c:strCache>
            </c:strRef>
          </c:tx>
          <c:spPr>
            <a:solidFill>
              <a:schemeClr val="bg1">
                <a:lumMod val="75000"/>
              </a:schemeClr>
            </a:solidFill>
            <a:ln>
              <a:noFill/>
            </a:ln>
            <a:effectLst/>
          </c:spPr>
          <c:invertIfNegative val="0"/>
          <c:cat>
            <c:numRef>
              <c:f>'1.4 data'!$B$150:$K$150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data'!$B$152:$K$152</c:f>
              <c:numCache>
                <c:formatCode>#,##0_);[Red]\(#,##0\)</c:formatCode>
                <c:ptCount val="10"/>
                <c:pt idx="0">
                  <c:v>3819059000</c:v>
                </c:pt>
                <c:pt idx="1">
                  <c:v>4264453000</c:v>
                </c:pt>
                <c:pt idx="2">
                  <c:v>5032104000</c:v>
                </c:pt>
                <c:pt idx="3">
                  <c:v>5404078000</c:v>
                </c:pt>
                <c:pt idx="4">
                  <c:v>5575419000</c:v>
                </c:pt>
                <c:pt idx="5">
                  <c:v>5757872000</c:v>
                </c:pt>
                <c:pt idx="6">
                  <c:v>5919861000</c:v>
                </c:pt>
                <c:pt idx="7">
                  <c:v>6063752000</c:v>
                </c:pt>
                <c:pt idx="8">
                  <c:v>6228432000</c:v>
                </c:pt>
                <c:pt idx="9">
                  <c:v>6481181000</c:v>
                </c:pt>
              </c:numCache>
            </c:numRef>
          </c:val>
          <c:extLst>
            <c:ext xmlns:c16="http://schemas.microsoft.com/office/drawing/2014/chart" uri="{C3380CC4-5D6E-409C-BE32-E72D297353CC}">
              <c16:uniqueId val="{00000001-34CA-46A7-BEC7-F2848CA25A00}"/>
            </c:ext>
          </c:extLst>
        </c:ser>
        <c:ser>
          <c:idx val="3"/>
          <c:order val="2"/>
          <c:tx>
            <c:strRef>
              <c:f>'1.4 data'!$A$153</c:f>
              <c:strCache>
                <c:ptCount val="1"/>
                <c:pt idx="0">
                  <c:v>Research Grants (Block Grant and ARC)</c:v>
                </c:pt>
              </c:strCache>
            </c:strRef>
          </c:tx>
          <c:spPr>
            <a:solidFill>
              <a:schemeClr val="tx2"/>
            </a:solidFill>
            <a:ln>
              <a:noFill/>
            </a:ln>
            <a:effectLst/>
          </c:spPr>
          <c:invertIfNegative val="0"/>
          <c:cat>
            <c:numRef>
              <c:f>'1.4 data'!$B$150:$K$150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data'!$B$153:$K$153</c:f>
              <c:numCache>
                <c:formatCode>#,##0_);[Red]\(#,##0\)</c:formatCode>
                <c:ptCount val="10"/>
                <c:pt idx="0">
                  <c:v>1976967000</c:v>
                </c:pt>
                <c:pt idx="1">
                  <c:v>2144999000</c:v>
                </c:pt>
                <c:pt idx="2">
                  <c:v>2161111000</c:v>
                </c:pt>
                <c:pt idx="3">
                  <c:v>2281138000</c:v>
                </c:pt>
                <c:pt idx="4">
                  <c:v>2222341000</c:v>
                </c:pt>
                <c:pt idx="5">
                  <c:v>2215087000</c:v>
                </c:pt>
                <c:pt idx="6">
                  <c:v>2604078000</c:v>
                </c:pt>
                <c:pt idx="7">
                  <c:v>2572733000</c:v>
                </c:pt>
                <c:pt idx="8">
                  <c:v>2531603000</c:v>
                </c:pt>
                <c:pt idx="9">
                  <c:v>2531214000</c:v>
                </c:pt>
              </c:numCache>
            </c:numRef>
          </c:val>
          <c:extLst>
            <c:ext xmlns:c16="http://schemas.microsoft.com/office/drawing/2014/chart" uri="{C3380CC4-5D6E-409C-BE32-E72D297353CC}">
              <c16:uniqueId val="{00000002-34CA-46A7-BEC7-F2848CA25A00}"/>
            </c:ext>
          </c:extLst>
        </c:ser>
        <c:ser>
          <c:idx val="2"/>
          <c:order val="3"/>
          <c:tx>
            <c:strRef>
              <c:f>'1.4 data'!$A$154</c:f>
              <c:strCache>
                <c:ptCount val="1"/>
                <c:pt idx="0">
                  <c:v>Other Government Grants</c:v>
                </c:pt>
              </c:strCache>
            </c:strRef>
          </c:tx>
          <c:spPr>
            <a:solidFill>
              <a:schemeClr val="tx2">
                <a:lumMod val="20000"/>
                <a:lumOff val="80000"/>
              </a:schemeClr>
            </a:solidFill>
            <a:ln>
              <a:noFill/>
            </a:ln>
            <a:effectLst/>
          </c:spPr>
          <c:invertIfNegative val="0"/>
          <c:cat>
            <c:numRef>
              <c:f>'1.4 data'!$B$150:$K$150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data'!$B$154:$K$154</c:f>
              <c:numCache>
                <c:formatCode>#,##0_);[Red]\(#,##0\)</c:formatCode>
                <c:ptCount val="10"/>
                <c:pt idx="0">
                  <c:v>3411379000</c:v>
                </c:pt>
                <c:pt idx="1">
                  <c:v>3286270000</c:v>
                </c:pt>
                <c:pt idx="2">
                  <c:v>2892597000</c:v>
                </c:pt>
                <c:pt idx="3">
                  <c:v>2829787000</c:v>
                </c:pt>
                <c:pt idx="4">
                  <c:v>2673628000</c:v>
                </c:pt>
                <c:pt idx="5">
                  <c:v>2622040000</c:v>
                </c:pt>
                <c:pt idx="6">
                  <c:v>2365986000</c:v>
                </c:pt>
                <c:pt idx="7">
                  <c:v>2702186000</c:v>
                </c:pt>
                <c:pt idx="8">
                  <c:v>2700375000</c:v>
                </c:pt>
                <c:pt idx="9">
                  <c:v>2677329000</c:v>
                </c:pt>
              </c:numCache>
            </c:numRef>
          </c:val>
          <c:extLst>
            <c:ext xmlns:c16="http://schemas.microsoft.com/office/drawing/2014/chart" uri="{C3380CC4-5D6E-409C-BE32-E72D297353CC}">
              <c16:uniqueId val="{00000003-34CA-46A7-BEC7-F2848CA25A00}"/>
            </c:ext>
          </c:extLst>
        </c:ser>
        <c:ser>
          <c:idx val="4"/>
          <c:order val="4"/>
          <c:tx>
            <c:strRef>
              <c:f>'1.4 data'!$A$155</c:f>
              <c:strCache>
                <c:ptCount val="1"/>
                <c:pt idx="0">
                  <c:v>Fees and Charges</c:v>
                </c:pt>
              </c:strCache>
            </c:strRef>
          </c:tx>
          <c:spPr>
            <a:solidFill>
              <a:schemeClr val="accent3"/>
            </a:solidFill>
            <a:ln>
              <a:noFill/>
            </a:ln>
            <a:effectLst/>
          </c:spPr>
          <c:invertIfNegative val="0"/>
          <c:cat>
            <c:numRef>
              <c:f>'1.4 data'!$B$150:$K$150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data'!$B$155:$K$155</c:f>
              <c:numCache>
                <c:formatCode>#,##0_);[Red]\(#,##0\)</c:formatCode>
                <c:ptCount val="10"/>
                <c:pt idx="0">
                  <c:v>5448800000</c:v>
                </c:pt>
                <c:pt idx="1">
                  <c:v>5591481000</c:v>
                </c:pt>
                <c:pt idx="2">
                  <c:v>5788263000</c:v>
                </c:pt>
                <c:pt idx="3">
                  <c:v>6342162000</c:v>
                </c:pt>
                <c:pt idx="4">
                  <c:v>7045747000</c:v>
                </c:pt>
                <c:pt idx="5">
                  <c:v>7976956000</c:v>
                </c:pt>
                <c:pt idx="6">
                  <c:v>9143085000</c:v>
                </c:pt>
                <c:pt idx="7">
                  <c:v>10597356000</c:v>
                </c:pt>
                <c:pt idx="8">
                  <c:v>11793094000</c:v>
                </c:pt>
                <c:pt idx="9">
                  <c:v>10677190000</c:v>
                </c:pt>
              </c:numCache>
            </c:numRef>
          </c:val>
          <c:extLst>
            <c:ext xmlns:c16="http://schemas.microsoft.com/office/drawing/2014/chart" uri="{C3380CC4-5D6E-409C-BE32-E72D297353CC}">
              <c16:uniqueId val="{00000004-34CA-46A7-BEC7-F2848CA25A00}"/>
            </c:ext>
          </c:extLst>
        </c:ser>
        <c:ser>
          <c:idx val="5"/>
          <c:order val="5"/>
          <c:tx>
            <c:strRef>
              <c:f>'1.4 data'!$A$156</c:f>
              <c:strCache>
                <c:ptCount val="1"/>
                <c:pt idx="0">
                  <c:v>Other Income</c:v>
                </c:pt>
              </c:strCache>
            </c:strRef>
          </c:tx>
          <c:spPr>
            <a:solidFill>
              <a:schemeClr val="accent6"/>
            </a:solidFill>
            <a:ln>
              <a:noFill/>
            </a:ln>
            <a:effectLst/>
          </c:spPr>
          <c:invertIfNegative val="0"/>
          <c:cat>
            <c:numRef>
              <c:f>'1.4 data'!$B$150:$K$150</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'1.4 data'!$B$156:$K$156</c:f>
              <c:numCache>
                <c:formatCode>#,##0_);[Red]\(#,##0\)</c:formatCode>
                <c:ptCount val="10"/>
                <c:pt idx="0">
                  <c:v>3545410000</c:v>
                </c:pt>
                <c:pt idx="1">
                  <c:v>3572312000</c:v>
                </c:pt>
                <c:pt idx="2">
                  <c:v>3878925000</c:v>
                </c:pt>
                <c:pt idx="3">
                  <c:v>4146960000</c:v>
                </c:pt>
                <c:pt idx="4">
                  <c:v>4042494000</c:v>
                </c:pt>
                <c:pt idx="5">
                  <c:v>4061818000</c:v>
                </c:pt>
                <c:pt idx="6">
                  <c:v>4533940000</c:v>
                </c:pt>
                <c:pt idx="7">
                  <c:v>4350532000</c:v>
                </c:pt>
                <c:pt idx="8">
                  <c:v>5759120000</c:v>
                </c:pt>
                <c:pt idx="9">
                  <c:v>4568350000</c:v>
                </c:pt>
              </c:numCache>
            </c:numRef>
          </c:val>
          <c:extLst>
            <c:ext xmlns:c16="http://schemas.microsoft.com/office/drawing/2014/chart" uri="{C3380CC4-5D6E-409C-BE32-E72D297353CC}">
              <c16:uniqueId val="{00000005-34CA-46A7-BEC7-F2848CA25A00}"/>
            </c:ext>
          </c:extLst>
        </c:ser>
        <c:dLbls>
          <c:showLegendKey val="0"/>
          <c:showVal val="0"/>
          <c:showCatName val="0"/>
          <c:showSerName val="0"/>
          <c:showPercent val="0"/>
          <c:showBubbleSize val="0"/>
        </c:dLbls>
        <c:gapWidth val="150"/>
        <c:overlap val="100"/>
        <c:axId val="439143727"/>
        <c:axId val="439145391"/>
      </c:barChart>
      <c:catAx>
        <c:axId val="439143727"/>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39145391"/>
        <c:crosses val="autoZero"/>
        <c:auto val="1"/>
        <c:lblAlgn val="ctr"/>
        <c:lblOffset val="100"/>
        <c:noMultiLvlLbl val="0"/>
      </c:catAx>
      <c:valAx>
        <c:axId val="439145391"/>
        <c:scaling>
          <c:orientation val="minMax"/>
        </c:scaling>
        <c:delete val="0"/>
        <c:axPos val="l"/>
        <c:majorGridlines>
          <c:spPr>
            <a:ln w="9525" cap="flat" cmpd="sng" algn="ctr">
              <a:noFill/>
              <a:round/>
            </a:ln>
            <a:effectLst/>
          </c:spPr>
        </c:majorGridlines>
        <c:numFmt formatCode="#,##0_);[Red]\(#,##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39143727"/>
        <c:crosses val="autoZero"/>
        <c:crossBetween val="between"/>
        <c:dispUnits>
          <c:builtInUnit val="billions"/>
        </c:dispUnits>
      </c:valAx>
      <c:spPr>
        <a:noFill/>
        <a:ln>
          <a:noFill/>
        </a:ln>
        <a:effectLst/>
      </c:spPr>
    </c:plotArea>
    <c:legend>
      <c:legendPos val="b"/>
      <c:layout>
        <c:manualLayout>
          <c:xMode val="edge"/>
          <c:yMode val="edge"/>
          <c:x val="2.981018376428312E-2"/>
          <c:y val="0.73182417479714146"/>
          <c:w val="0.88923945559114859"/>
          <c:h val="0.2496767280944481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'1.4 data'!$A$120</c:f>
              <c:strCache>
                <c:ptCount val="1"/>
                <c:pt idx="0">
                  <c:v>EFTSL growth</c:v>
                </c:pt>
              </c:strCache>
            </c:strRef>
          </c:tx>
          <c:spPr>
            <a:solidFill>
              <a:srgbClr val="0097A9"/>
            </a:solidFill>
            <a:ln>
              <a:noFill/>
            </a:ln>
            <a:effectLst/>
          </c:spPr>
          <c:invertIfNegative val="0"/>
          <c:cat>
            <c:numRef>
              <c:f>'1.4 data'!$C$118:$K$118</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'1.4 data'!$C$120:$K$120</c:f>
              <c:numCache>
                <c:formatCode>0.0%</c:formatCode>
                <c:ptCount val="9"/>
                <c:pt idx="0">
                  <c:v>2.6265339819836919E-2</c:v>
                </c:pt>
                <c:pt idx="1">
                  <c:v>3.8276192732982439E-2</c:v>
                </c:pt>
                <c:pt idx="2">
                  <c:v>4.2207151625160977E-2</c:v>
                </c:pt>
                <c:pt idx="3">
                  <c:v>2.5726614935783321E-2</c:v>
                </c:pt>
                <c:pt idx="4">
                  <c:v>3.2460808198104818E-2</c:v>
                </c:pt>
                <c:pt idx="5">
                  <c:v>3.608698676994071E-2</c:v>
                </c:pt>
                <c:pt idx="6">
                  <c:v>3.4544165570387309E-2</c:v>
                </c:pt>
                <c:pt idx="7">
                  <c:v>3.0758996423845053E-2</c:v>
                </c:pt>
                <c:pt idx="8">
                  <c:v>-9.4860991251051185E-3</c:v>
                </c:pt>
              </c:numCache>
            </c:numRef>
          </c:val>
          <c:extLst>
            <c:ext xmlns:c16="http://schemas.microsoft.com/office/drawing/2014/chart" uri="{C3380CC4-5D6E-409C-BE32-E72D297353CC}">
              <c16:uniqueId val="{00000000-3DE5-4501-9192-1F5FA007FF9D}"/>
            </c:ext>
          </c:extLst>
        </c:ser>
        <c:ser>
          <c:idx val="1"/>
          <c:order val="1"/>
          <c:tx>
            <c:strRef>
              <c:f>'1.4 data'!$A$121</c:f>
              <c:strCache>
                <c:ptCount val="1"/>
                <c:pt idx="0">
                  <c:v>Cost per EFTSL growth</c:v>
                </c:pt>
              </c:strCache>
            </c:strRef>
          </c:tx>
          <c:spPr>
            <a:solidFill>
              <a:schemeClr val="bg1">
                <a:lumMod val="75000"/>
              </a:schemeClr>
            </a:solidFill>
            <a:ln>
              <a:noFill/>
            </a:ln>
            <a:effectLst/>
          </c:spPr>
          <c:invertIfNegative val="0"/>
          <c:cat>
            <c:numRef>
              <c:f>'1.4 data'!$C$118:$K$118</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'1.4 data'!$C$121:$K$121</c:f>
              <c:numCache>
                <c:formatCode>0.0%</c:formatCode>
                <c:ptCount val="9"/>
                <c:pt idx="0">
                  <c:v>4.4285515622288329E-2</c:v>
                </c:pt>
                <c:pt idx="1">
                  <c:v>5.1385684177933655E-3</c:v>
                </c:pt>
                <c:pt idx="2">
                  <c:v>2.1429478858318696E-2</c:v>
                </c:pt>
                <c:pt idx="3">
                  <c:v>1.6351175901805126E-2</c:v>
                </c:pt>
                <c:pt idx="4">
                  <c:v>2.702918936022769E-2</c:v>
                </c:pt>
                <c:pt idx="5">
                  <c:v>1.4236057704560601E-2</c:v>
                </c:pt>
                <c:pt idx="6">
                  <c:v>3.8691289353104841E-2</c:v>
                </c:pt>
                <c:pt idx="7">
                  <c:v>2.8926945831720285E-2</c:v>
                </c:pt>
                <c:pt idx="8">
                  <c:v>2.0547097206833342E-3</c:v>
                </c:pt>
              </c:numCache>
            </c:numRef>
          </c:val>
          <c:extLst>
            <c:ext xmlns:c16="http://schemas.microsoft.com/office/drawing/2014/chart" uri="{C3380CC4-5D6E-409C-BE32-E72D297353CC}">
              <c16:uniqueId val="{00000001-3DE5-4501-9192-1F5FA007FF9D}"/>
            </c:ext>
          </c:extLst>
        </c:ser>
        <c:dLbls>
          <c:showLegendKey val="0"/>
          <c:showVal val="0"/>
          <c:showCatName val="0"/>
          <c:showSerName val="0"/>
          <c:showPercent val="0"/>
          <c:showBubbleSize val="0"/>
        </c:dLbls>
        <c:gapWidth val="150"/>
        <c:overlap val="100"/>
        <c:axId val="2096430047"/>
        <c:axId val="439145391"/>
      </c:barChart>
      <c:catAx>
        <c:axId val="2096430047"/>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39145391"/>
        <c:crosses val="autoZero"/>
        <c:auto val="1"/>
        <c:lblAlgn val="ctr"/>
        <c:lblOffset val="100"/>
        <c:noMultiLvlLbl val="0"/>
      </c:catAx>
      <c:valAx>
        <c:axId val="439145391"/>
        <c:scaling>
          <c:orientation val="minMax"/>
        </c:scaling>
        <c:delete val="0"/>
        <c:axPos val="l"/>
        <c:majorGridlines>
          <c:spPr>
            <a:ln w="9525" cap="flat" cmpd="sng" algn="ctr">
              <a:no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964300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16785358756413E-2"/>
          <c:y val="4.8689530182629302E-2"/>
          <c:w val="0.88108813844857947"/>
          <c:h val="0.81128169331054933"/>
        </c:manualLayout>
      </c:layout>
      <c:barChart>
        <c:barDir val="col"/>
        <c:grouping val="clustered"/>
        <c:varyColors val="0"/>
        <c:ser>
          <c:idx val="0"/>
          <c:order val="1"/>
          <c:tx>
            <c:v>2019</c:v>
          </c:tx>
          <c:spPr>
            <a:solidFill>
              <a:srgbClr val="00ABAB"/>
            </a:solidFill>
            <a:ln>
              <a:noFill/>
            </a:ln>
            <a:effectLst/>
          </c:spPr>
          <c:invertIfNegative val="0"/>
          <c:cat>
            <c:numRef>
              <c:f>'2.1_data'!$W$3:$W$39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'2.1_data'!$AA$3:$AA$39</c:f>
              <c:numCache>
                <c:formatCode>0.0%</c:formatCode>
                <c:ptCount val="37"/>
                <c:pt idx="0">
                  <c:v>0.23818529967188684</c:v>
                </c:pt>
                <c:pt idx="1">
                  <c:v>0.30697142229434632</c:v>
                </c:pt>
                <c:pt idx="2">
                  <c:v>0.33943903156890259</c:v>
                </c:pt>
                <c:pt idx="3">
                  <c:v>0.38587706525720938</c:v>
                </c:pt>
                <c:pt idx="4">
                  <c:v>0.4047465255535822</c:v>
                </c:pt>
                <c:pt idx="5">
                  <c:v>0.42598457258049854</c:v>
                </c:pt>
                <c:pt idx="6">
                  <c:v>0.43046270580681378</c:v>
                </c:pt>
                <c:pt idx="7">
                  <c:v>0.44625998555820018</c:v>
                </c:pt>
                <c:pt idx="8">
                  <c:v>0.45712087212511865</c:v>
                </c:pt>
                <c:pt idx="9">
                  <c:v>0.49711549134136152</c:v>
                </c:pt>
                <c:pt idx="10">
                  <c:v>0.53241320777224166</c:v>
                </c:pt>
                <c:pt idx="11">
                  <c:v>0.53342296731500116</c:v>
                </c:pt>
                <c:pt idx="12">
                  <c:v>0.53965725507143769</c:v>
                </c:pt>
                <c:pt idx="13">
                  <c:v>0.55307521026915796</c:v>
                </c:pt>
                <c:pt idx="14">
                  <c:v>0.55344438243196292</c:v>
                </c:pt>
                <c:pt idx="15">
                  <c:v>0.56691026101420661</c:v>
                </c:pt>
                <c:pt idx="16">
                  <c:v>0.578637025957772</c:v>
                </c:pt>
                <c:pt idx="17">
                  <c:v>0.58340389751814048</c:v>
                </c:pt>
                <c:pt idx="18">
                  <c:v>0.58545497673222691</c:v>
                </c:pt>
                <c:pt idx="19">
                  <c:v>0.58829863338773802</c:v>
                </c:pt>
                <c:pt idx="20">
                  <c:v>0.58952095289854145</c:v>
                </c:pt>
                <c:pt idx="21">
                  <c:v>0.59983966900936736</c:v>
                </c:pt>
                <c:pt idx="22">
                  <c:v>0.61362088160832728</c:v>
                </c:pt>
                <c:pt idx="23">
                  <c:v>0.62332085915711044</c:v>
                </c:pt>
                <c:pt idx="24">
                  <c:v>0.62181464709810574</c:v>
                </c:pt>
                <c:pt idx="25">
                  <c:v>0.63819564831062958</c:v>
                </c:pt>
                <c:pt idx="26">
                  <c:v>0.64021469663501496</c:v>
                </c:pt>
                <c:pt idx="27">
                  <c:v>0.66048560219199925</c:v>
                </c:pt>
                <c:pt idx="28">
                  <c:v>0.67771016889222158</c:v>
                </c:pt>
                <c:pt idx="29">
                  <c:v>0.68399342722901768</c:v>
                </c:pt>
                <c:pt idx="30">
                  <c:v>0.69846637439137849</c:v>
                </c:pt>
                <c:pt idx="31">
                  <c:v>0.70000053837632914</c:v>
                </c:pt>
                <c:pt idx="32">
                  <c:v>0.72171943735635435</c:v>
                </c:pt>
                <c:pt idx="33">
                  <c:v>0.74144548553977185</c:v>
                </c:pt>
                <c:pt idx="34">
                  <c:v>0.79346104035901588</c:v>
                </c:pt>
                <c:pt idx="35">
                  <c:v>0.796129855842867</c:v>
                </c:pt>
                <c:pt idx="36">
                  <c:v>0.8119568611109983</c:v>
                </c:pt>
              </c:numCache>
            </c:numRef>
          </c:val>
          <c:extLst>
            <c:ext xmlns:c16="http://schemas.microsoft.com/office/drawing/2014/chart" uri="{C3380CC4-5D6E-409C-BE32-E72D297353CC}">
              <c16:uniqueId val="{00000000-695E-41A6-ADE6-73F125AC586C}"/>
            </c:ext>
          </c:extLst>
        </c:ser>
        <c:ser>
          <c:idx val="2"/>
          <c:order val="2"/>
          <c:tx>
            <c:v>2020</c:v>
          </c:tx>
          <c:spPr>
            <a:solidFill>
              <a:schemeClr val="bg1">
                <a:lumMod val="75000"/>
              </a:schemeClr>
            </a:solidFill>
            <a:ln>
              <a:noFill/>
            </a:ln>
            <a:effectLst/>
          </c:spPr>
          <c:invertIfNegative val="0"/>
          <c:cat>
            <c:numRef>
              <c:f>'2.1_data'!$W$3:$W$39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'2.1_data'!$AC$3:$AC$39</c:f>
              <c:numCache>
                <c:formatCode>0%</c:formatCode>
                <c:ptCount val="37"/>
                <c:pt idx="0">
                  <c:v>0.25209474856859559</c:v>
                </c:pt>
                <c:pt idx="1">
                  <c:v>0.30469937790795876</c:v>
                </c:pt>
                <c:pt idx="2">
                  <c:v>0.34752296673011879</c:v>
                </c:pt>
                <c:pt idx="3">
                  <c:v>0.37731451833889856</c:v>
                </c:pt>
                <c:pt idx="4">
                  <c:v>0.38892580310100472</c:v>
                </c:pt>
                <c:pt idx="5">
                  <c:v>0.42011870130529333</c:v>
                </c:pt>
                <c:pt idx="6">
                  <c:v>0.44993829169181798</c:v>
                </c:pt>
                <c:pt idx="7">
                  <c:v>0.44990944823030454</c:v>
                </c:pt>
                <c:pt idx="8">
                  <c:v>0.45777263659835893</c:v>
                </c:pt>
                <c:pt idx="9">
                  <c:v>0.48508179871901719</c:v>
                </c:pt>
                <c:pt idx="10">
                  <c:v>0.54302801897010444</c:v>
                </c:pt>
                <c:pt idx="11">
                  <c:v>0.54353011253429695</c:v>
                </c:pt>
                <c:pt idx="12">
                  <c:v>0.51829913916901382</c:v>
                </c:pt>
                <c:pt idx="13">
                  <c:v>0.55154559886175392</c:v>
                </c:pt>
                <c:pt idx="14">
                  <c:v>0.60239930666687436</c:v>
                </c:pt>
                <c:pt idx="15">
                  <c:v>0.56608699385795802</c:v>
                </c:pt>
                <c:pt idx="16">
                  <c:v>0.57325669473078811</c:v>
                </c:pt>
                <c:pt idx="17">
                  <c:v>0.61443810716305025</c:v>
                </c:pt>
                <c:pt idx="18">
                  <c:v>0.58743731805536004</c:v>
                </c:pt>
                <c:pt idx="19">
                  <c:v>0.62554089402950208</c:v>
                </c:pt>
                <c:pt idx="20">
                  <c:v>0.5926187179787783</c:v>
                </c:pt>
                <c:pt idx="21">
                  <c:v>0.6205603329918874</c:v>
                </c:pt>
                <c:pt idx="22">
                  <c:v>0.55465315392766834</c:v>
                </c:pt>
                <c:pt idx="23">
                  <c:v>0.59843717076896208</c:v>
                </c:pt>
                <c:pt idx="24">
                  <c:v>0.60765268268197281</c:v>
                </c:pt>
                <c:pt idx="25">
                  <c:v>0.65601910980805966</c:v>
                </c:pt>
                <c:pt idx="26">
                  <c:v>0.60387010530472374</c:v>
                </c:pt>
                <c:pt idx="27">
                  <c:v>0.59871963122486571</c:v>
                </c:pt>
                <c:pt idx="28">
                  <c:v>0.6900524608673837</c:v>
                </c:pt>
                <c:pt idx="29">
                  <c:v>0.65054200692392528</c:v>
                </c:pt>
                <c:pt idx="30">
                  <c:v>0.72553618414909782</c:v>
                </c:pt>
                <c:pt idx="31">
                  <c:v>0.70602872637336378</c:v>
                </c:pt>
                <c:pt idx="32">
                  <c:v>0.72766683980592228</c:v>
                </c:pt>
                <c:pt idx="33">
                  <c:v>0.75053786940035327</c:v>
                </c:pt>
                <c:pt idx="34">
                  <c:v>0.76008741835049709</c:v>
                </c:pt>
                <c:pt idx="35">
                  <c:v>0.801607307328426</c:v>
                </c:pt>
                <c:pt idx="36">
                  <c:v>0.86385869977059271</c:v>
                </c:pt>
              </c:numCache>
            </c:numRef>
          </c:val>
          <c:extLst>
            <c:ext xmlns:c16="http://schemas.microsoft.com/office/drawing/2014/chart" uri="{C3380CC4-5D6E-409C-BE32-E72D297353CC}">
              <c16:uniqueId val="{00000001-695E-41A6-ADE6-73F125AC586C}"/>
            </c:ext>
          </c:extLst>
        </c:ser>
        <c:dLbls>
          <c:showLegendKey val="0"/>
          <c:showVal val="0"/>
          <c:showCatName val="0"/>
          <c:showSerName val="0"/>
          <c:showPercent val="0"/>
          <c:showBubbleSize val="0"/>
        </c:dLbls>
        <c:gapWidth val="150"/>
        <c:axId val="1432946928"/>
        <c:axId val="1432943184"/>
        <c:extLst>
          <c:ext xmlns:c15="http://schemas.microsoft.com/office/drawing/2012/chart" uri="{02D57815-91ED-43cb-92C2-25804820EDAC}">
            <c15:filteredBarSeries>
              <c15:ser>
                <c:idx val="1"/>
                <c:order val="0"/>
                <c:tx>
                  <c:v>2018</c:v>
                </c:tx>
                <c:spPr>
                  <a:solidFill>
                    <a:srgbClr val="00ABAB"/>
                  </a:solidFill>
                  <a:ln>
                    <a:noFill/>
                  </a:ln>
                  <a:effectLst/>
                </c:spPr>
                <c:invertIfNegative val="0"/>
                <c:cat>
                  <c:numRef>
                    <c:extLst>
                      <c:ext uri="{02D57815-91ED-43cb-92C2-25804820EDAC}">
                        <c15:formulaRef>
                          <c15:sqref>'2.1_data'!$W$3:$W$39</c15:sqref>
                        </c15:formulaRef>
                      </c:ext>
                    </c:extLst>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extLst>
                      <c:ext uri="{02D57815-91ED-43cb-92C2-25804820EDAC}">
                        <c15:formulaRef>
                          <c15:sqref>'2.1_data'!$Y$3:$Y$39</c15:sqref>
                        </c15:formulaRef>
                      </c:ext>
                    </c:extLst>
                    <c:numCache>
                      <c:formatCode>0%</c:formatCode>
                      <c:ptCount val="37"/>
                      <c:pt idx="0">
                        <c:v>0.24305794628368935</c:v>
                      </c:pt>
                      <c:pt idx="1">
                        <c:v>0.31572257498358697</c:v>
                      </c:pt>
                      <c:pt idx="2">
                        <c:v>0.33945428724323878</c:v>
                      </c:pt>
                      <c:pt idx="3">
                        <c:v>0</c:v>
                      </c:pt>
                      <c:pt idx="4">
                        <c:v>0.42387498929618944</c:v>
                      </c:pt>
                      <c:pt idx="5">
                        <c:v>0.40692046136409099</c:v>
                      </c:pt>
                      <c:pt idx="6">
                        <c:v>0.43572885466653993</c:v>
                      </c:pt>
                      <c:pt idx="7">
                        <c:v>0.45294502524089403</c:v>
                      </c:pt>
                      <c:pt idx="8">
                        <c:v>0</c:v>
                      </c:pt>
                      <c:pt idx="9">
                        <c:v>0.45551687004961772</c:v>
                      </c:pt>
                      <c:pt idx="10">
                        <c:v>0.51095914968420175</c:v>
                      </c:pt>
                      <c:pt idx="11">
                        <c:v>0.52013743201833063</c:v>
                      </c:pt>
                      <c:pt idx="12">
                        <c:v>0.49561062421856122</c:v>
                      </c:pt>
                      <c:pt idx="13">
                        <c:v>0.65368261996826871</c:v>
                      </c:pt>
                      <c:pt idx="14">
                        <c:v>0.63749127441833076</c:v>
                      </c:pt>
                      <c:pt idx="15">
                        <c:v>0.55968188063219659</c:v>
                      </c:pt>
                      <c:pt idx="16">
                        <c:v>0.54558090456411212</c:v>
                      </c:pt>
                      <c:pt idx="17">
                        <c:v>0.5934479368365434</c:v>
                      </c:pt>
                      <c:pt idx="18">
                        <c:v>0</c:v>
                      </c:pt>
                      <c:pt idx="19">
                        <c:v>0.59901224061787162</c:v>
                      </c:pt>
                      <c:pt idx="20">
                        <c:v>0.59268642096084034</c:v>
                      </c:pt>
                      <c:pt idx="21">
                        <c:v>0.62496591255168732</c:v>
                      </c:pt>
                      <c:pt idx="22">
                        <c:v>0.63620668064064911</c:v>
                      </c:pt>
                      <c:pt idx="23">
                        <c:v>0.63208571076759434</c:v>
                      </c:pt>
                      <c:pt idx="24">
                        <c:v>0.65081728776983183</c:v>
                      </c:pt>
                      <c:pt idx="25">
                        <c:v>0</c:v>
                      </c:pt>
                      <c:pt idx="26">
                        <c:v>0.63232374314860906</c:v>
                      </c:pt>
                      <c:pt idx="27">
                        <c:v>0.64826227835872019</c:v>
                      </c:pt>
                      <c:pt idx="28">
                        <c:v>0.666417027178278</c:v>
                      </c:pt>
                      <c:pt idx="29">
                        <c:v>0.68437846495484933</c:v>
                      </c:pt>
                      <c:pt idx="30">
                        <c:v>0.72376177544052822</c:v>
                      </c:pt>
                      <c:pt idx="31">
                        <c:v>0</c:v>
                      </c:pt>
                      <c:pt idx="32">
                        <c:v>0.74269044641946946</c:v>
                      </c:pt>
                      <c:pt idx="33">
                        <c:v>0.72980390150403984</c:v>
                      </c:pt>
                      <c:pt idx="34">
                        <c:v>0.73459461552692951</c:v>
                      </c:pt>
                      <c:pt idx="35">
                        <c:v>0.80038914816388307</c:v>
                      </c:pt>
                      <c:pt idx="36">
                        <c:v>0.86506676950681938</c:v>
                      </c:pt>
                    </c:numCache>
                  </c:numRef>
                </c:val>
                <c:extLst>
                  <c:ext xmlns:c16="http://schemas.microsoft.com/office/drawing/2014/chart" uri="{C3380CC4-5D6E-409C-BE32-E72D297353CC}">
                    <c16:uniqueId val="{00000003-695E-41A6-ADE6-73F125AC586C}"/>
                  </c:ext>
                </c:extLst>
              </c15:ser>
            </c15:filteredBarSeries>
          </c:ext>
        </c:extLst>
      </c:barChart>
      <c:lineChart>
        <c:grouping val="standard"/>
        <c:varyColors val="0"/>
        <c:ser>
          <c:idx val="3"/>
          <c:order val="3"/>
          <c:tx>
            <c:v>Average</c:v>
          </c:tx>
          <c:spPr>
            <a:ln w="28575" cap="rnd">
              <a:solidFill>
                <a:schemeClr val="tx2"/>
              </a:solidFill>
              <a:prstDash val="sysDash"/>
              <a:round/>
            </a:ln>
            <a:effectLst/>
          </c:spPr>
          <c:marker>
            <c:symbol val="none"/>
          </c:marker>
          <c:val>
            <c:numRef>
              <c:f>'2.1_data'!$AD$3:$AD$39</c:f>
              <c:numCache>
                <c:formatCode>0%</c:formatCode>
                <c:ptCount val="37"/>
                <c:pt idx="0">
                  <c:v>0.51358091146921292</c:v>
                </c:pt>
                <c:pt idx="1">
                  <c:v>0.51358091146921292</c:v>
                </c:pt>
                <c:pt idx="2">
                  <c:v>0.51358091146921292</c:v>
                </c:pt>
                <c:pt idx="3">
                  <c:v>0.51358091146921292</c:v>
                </c:pt>
                <c:pt idx="4">
                  <c:v>0.51358091146921292</c:v>
                </c:pt>
                <c:pt idx="5">
                  <c:v>0.51358091146921292</c:v>
                </c:pt>
                <c:pt idx="6">
                  <c:v>0.51358091146921292</c:v>
                </c:pt>
                <c:pt idx="7">
                  <c:v>0.51358091146921292</c:v>
                </c:pt>
                <c:pt idx="8">
                  <c:v>0.51358091146921292</c:v>
                </c:pt>
                <c:pt idx="9">
                  <c:v>0.51358091146921292</c:v>
                </c:pt>
                <c:pt idx="10">
                  <c:v>0.51358091146921292</c:v>
                </c:pt>
                <c:pt idx="11">
                  <c:v>0.51358091146921292</c:v>
                </c:pt>
                <c:pt idx="12">
                  <c:v>0.51358091146921292</c:v>
                </c:pt>
                <c:pt idx="13">
                  <c:v>0.51358091146921292</c:v>
                </c:pt>
                <c:pt idx="14">
                  <c:v>0.51358091146921292</c:v>
                </c:pt>
                <c:pt idx="15">
                  <c:v>0.51358091146921292</c:v>
                </c:pt>
                <c:pt idx="16">
                  <c:v>0.51358091146921292</c:v>
                </c:pt>
                <c:pt idx="17">
                  <c:v>0.51358091146921292</c:v>
                </c:pt>
                <c:pt idx="18">
                  <c:v>0.51358091146921292</c:v>
                </c:pt>
                <c:pt idx="19">
                  <c:v>0.51358091146921292</c:v>
                </c:pt>
                <c:pt idx="20">
                  <c:v>0.51358091146921292</c:v>
                </c:pt>
                <c:pt idx="21">
                  <c:v>0.51358091146921292</c:v>
                </c:pt>
                <c:pt idx="22">
                  <c:v>0.51358091146921292</c:v>
                </c:pt>
                <c:pt idx="23">
                  <c:v>0.51358091146921292</c:v>
                </c:pt>
                <c:pt idx="24">
                  <c:v>0.51358091146921292</c:v>
                </c:pt>
                <c:pt idx="25">
                  <c:v>0.51358091146921292</c:v>
                </c:pt>
                <c:pt idx="26">
                  <c:v>0.51358091146921292</c:v>
                </c:pt>
                <c:pt idx="27">
                  <c:v>0.51358091146921292</c:v>
                </c:pt>
                <c:pt idx="28">
                  <c:v>0.51358091146921292</c:v>
                </c:pt>
                <c:pt idx="29">
                  <c:v>0.51358091146921292</c:v>
                </c:pt>
                <c:pt idx="30">
                  <c:v>0.51358091146921292</c:v>
                </c:pt>
                <c:pt idx="31">
                  <c:v>0.51358091146921292</c:v>
                </c:pt>
                <c:pt idx="32">
                  <c:v>0.51358091146921292</c:v>
                </c:pt>
                <c:pt idx="33">
                  <c:v>0.51358091146921292</c:v>
                </c:pt>
                <c:pt idx="34">
                  <c:v>0.51358091146921292</c:v>
                </c:pt>
                <c:pt idx="35">
                  <c:v>0.51358091146921292</c:v>
                </c:pt>
                <c:pt idx="36">
                  <c:v>0.51358091146921292</c:v>
                </c:pt>
              </c:numCache>
            </c:numRef>
          </c:val>
          <c:smooth val="0"/>
          <c:extLst>
            <c:ext xmlns:c16="http://schemas.microsoft.com/office/drawing/2014/chart" uri="{C3380CC4-5D6E-409C-BE32-E72D297353CC}">
              <c16:uniqueId val="{00000002-695E-41A6-ADE6-73F125AC586C}"/>
            </c:ext>
          </c:extLst>
        </c:ser>
        <c:dLbls>
          <c:showLegendKey val="0"/>
          <c:showVal val="0"/>
          <c:showCatName val="0"/>
          <c:showSerName val="0"/>
          <c:showPercent val="0"/>
          <c:showBubbleSize val="0"/>
        </c:dLbls>
        <c:marker val="1"/>
        <c:smooth val="0"/>
        <c:axId val="1432946928"/>
        <c:axId val="1432943184"/>
      </c:lineChart>
      <c:catAx>
        <c:axId val="1432946928"/>
        <c:scaling>
          <c:orientation val="minMax"/>
        </c:scaling>
        <c:delete val="0"/>
        <c:axPos val="b"/>
        <c:title>
          <c:tx>
            <c:rich>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(37)</a:t>
                </a:r>
              </a:p>
            </c:rich>
          </c:tx>
          <c:layout>
            <c:manualLayout>
              <c:xMode val="edge"/>
              <c:yMode val="edge"/>
              <c:x val="0.41278456949562647"/>
              <c:y val="0.87918466840599885"/>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3184"/>
        <c:crosses val="autoZero"/>
        <c:auto val="1"/>
        <c:lblAlgn val="ctr"/>
        <c:lblOffset val="100"/>
        <c:noMultiLvlLbl val="0"/>
      </c:catAx>
      <c:valAx>
        <c:axId val="1432943184"/>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6928"/>
        <c:crosses val="autoZero"/>
        <c:crossBetween val="between"/>
      </c:valAx>
      <c:spPr>
        <a:noFill/>
        <a:ln>
          <a:noFill/>
        </a:ln>
        <a:effectLst/>
      </c:spPr>
    </c:plotArea>
    <c:legend>
      <c:legendPos val="b"/>
      <c:legendEntry>
        <c:idx val="2"/>
        <c:delete val="1"/>
      </c:legendEntry>
      <c:layout>
        <c:manualLayout>
          <c:xMode val="edge"/>
          <c:yMode val="edge"/>
          <c:x val="0.41584060653282434"/>
          <c:y val="0.93082687189739854"/>
          <c:w val="0.16741351124439252"/>
          <c:h val="6.4921402945001691E-2"/>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16785358756413E-2"/>
          <c:y val="4.8689530182629302E-2"/>
          <c:w val="0.88108813844857947"/>
          <c:h val="0.71988824747016134"/>
        </c:manualLayout>
      </c:layout>
      <c:barChart>
        <c:barDir val="col"/>
        <c:grouping val="clustered"/>
        <c:varyColors val="0"/>
        <c:ser>
          <c:idx val="1"/>
          <c:order val="0"/>
          <c:tx>
            <c:strRef>
              <c:f>'2.1_data'!$AU$2</c:f>
              <c:strCache>
                <c:ptCount val="1"/>
                <c:pt idx="0">
                  <c:v>2018</c:v>
                </c:pt>
              </c:strCache>
            </c:strRef>
          </c:tx>
          <c:spPr>
            <a:solidFill>
              <a:schemeClr val="tx2"/>
            </a:solidFill>
            <a:ln>
              <a:noFill/>
            </a:ln>
            <a:effectLst/>
          </c:spPr>
          <c:invertIfNegative val="0"/>
          <c:cat>
            <c:strRef>
              <c:f>'2.1_data'!$AT$3:$AT$34</c:f>
              <c:strCache>
                <c:ptCount val="32"/>
                <c:pt idx="0">
                  <c:v>ANU</c:v>
                </c:pt>
                <c:pt idx="1">
                  <c:v>UWA</c:v>
                </c:pt>
                <c:pt idx="2">
                  <c:v>UQ</c:v>
                </c:pt>
                <c:pt idx="3">
                  <c:v>UoA</c:v>
                </c:pt>
                <c:pt idx="4">
                  <c:v>USyd</c:v>
                </c:pt>
                <c:pt idx="5">
                  <c:v>Monash</c:v>
                </c:pt>
                <c:pt idx="6">
                  <c:v>UoM</c:v>
                </c:pt>
                <c:pt idx="7">
                  <c:v>UoW</c:v>
                </c:pt>
                <c:pt idx="8">
                  <c:v>Swinburne</c:v>
                </c:pt>
                <c:pt idx="9">
                  <c:v>UoN</c:v>
                </c:pt>
                <c:pt idx="10">
                  <c:v>QUT</c:v>
                </c:pt>
                <c:pt idx="11">
                  <c:v>UTAS</c:v>
                </c:pt>
                <c:pt idx="12">
                  <c:v>JCU</c:v>
                </c:pt>
                <c:pt idx="13">
                  <c:v>Griffith</c:v>
                </c:pt>
                <c:pt idx="14">
                  <c:v>UniSA</c:v>
                </c:pt>
                <c:pt idx="15">
                  <c:v>Murdoch</c:v>
                </c:pt>
                <c:pt idx="16">
                  <c:v>CDU</c:v>
                </c:pt>
                <c:pt idx="17">
                  <c:v>VU</c:v>
                </c:pt>
                <c:pt idx="18">
                  <c:v>ECU</c:v>
                </c:pt>
                <c:pt idx="19">
                  <c:v>CQU</c:v>
                </c:pt>
                <c:pt idx="20">
                  <c:v>UC</c:v>
                </c:pt>
                <c:pt idx="21">
                  <c:v>Deakin</c:v>
                </c:pt>
                <c:pt idx="22">
                  <c:v>Flinders</c:v>
                </c:pt>
                <c:pt idx="23">
                  <c:v>UNE</c:v>
                </c:pt>
                <c:pt idx="24">
                  <c:v>Curtin</c:v>
                </c:pt>
                <c:pt idx="25">
                  <c:v>CSU</c:v>
                </c:pt>
                <c:pt idx="26">
                  <c:v>SCU</c:v>
                </c:pt>
                <c:pt idx="27">
                  <c:v>USQ</c:v>
                </c:pt>
                <c:pt idx="28">
                  <c:v>RMIT</c:v>
                </c:pt>
                <c:pt idx="29">
                  <c:v>ACU</c:v>
                </c:pt>
                <c:pt idx="30">
                  <c:v>USC</c:v>
                </c:pt>
                <c:pt idx="31">
                  <c:v>FedU</c:v>
                </c:pt>
              </c:strCache>
            </c:strRef>
          </c:cat>
          <c:val>
            <c:numRef>
              <c:f>'2.1_data'!$AU$3:$AU$34</c:f>
              <c:numCache>
                <c:formatCode>0%</c:formatCode>
                <c:ptCount val="32"/>
                <c:pt idx="0">
                  <c:v>0.24305794628368935</c:v>
                </c:pt>
                <c:pt idx="1">
                  <c:v>0.31572257498358697</c:v>
                </c:pt>
                <c:pt idx="2">
                  <c:v>0.33945428724323878</c:v>
                </c:pt>
                <c:pt idx="3">
                  <c:v>0.40692046136409099</c:v>
                </c:pt>
                <c:pt idx="4">
                  <c:v>0.42387498929618944</c:v>
                </c:pt>
                <c:pt idx="5">
                  <c:v>0.43572885466653993</c:v>
                </c:pt>
                <c:pt idx="6">
                  <c:v>0.45294502524089403</c:v>
                </c:pt>
                <c:pt idx="7">
                  <c:v>0.45551687004961772</c:v>
                </c:pt>
                <c:pt idx="8">
                  <c:v>0.49561062421856122</c:v>
                </c:pt>
                <c:pt idx="9">
                  <c:v>0.51095914968420175</c:v>
                </c:pt>
                <c:pt idx="10">
                  <c:v>0.52013743201833063</c:v>
                </c:pt>
                <c:pt idx="11">
                  <c:v>0.54558090456411212</c:v>
                </c:pt>
                <c:pt idx="12">
                  <c:v>0.55968188063219659</c:v>
                </c:pt>
                <c:pt idx="13">
                  <c:v>0.59268642096084034</c:v>
                </c:pt>
                <c:pt idx="14">
                  <c:v>0.5934479368365434</c:v>
                </c:pt>
                <c:pt idx="15">
                  <c:v>0.59901224061787162</c:v>
                </c:pt>
                <c:pt idx="16">
                  <c:v>0.62496591255168732</c:v>
                </c:pt>
                <c:pt idx="17">
                  <c:v>0.63208571076759434</c:v>
                </c:pt>
                <c:pt idx="18">
                  <c:v>0.63232374314860906</c:v>
                </c:pt>
                <c:pt idx="19">
                  <c:v>0.63620668064064911</c:v>
                </c:pt>
                <c:pt idx="20">
                  <c:v>0.63749127441833076</c:v>
                </c:pt>
                <c:pt idx="21">
                  <c:v>0.64826227835872019</c:v>
                </c:pt>
                <c:pt idx="22">
                  <c:v>0.65081728776983183</c:v>
                </c:pt>
                <c:pt idx="23">
                  <c:v>0.65368261996826871</c:v>
                </c:pt>
                <c:pt idx="24">
                  <c:v>0.666417027178278</c:v>
                </c:pt>
                <c:pt idx="25">
                  <c:v>0.68437846495484933</c:v>
                </c:pt>
                <c:pt idx="26">
                  <c:v>0.72376177544052822</c:v>
                </c:pt>
                <c:pt idx="27">
                  <c:v>0.72980390150403984</c:v>
                </c:pt>
                <c:pt idx="28">
                  <c:v>0.73459461552692951</c:v>
                </c:pt>
                <c:pt idx="29">
                  <c:v>0.74269044641946946</c:v>
                </c:pt>
                <c:pt idx="30">
                  <c:v>0.80038914816388307</c:v>
                </c:pt>
                <c:pt idx="31">
                  <c:v>0.86506676950681938</c:v>
                </c:pt>
              </c:numCache>
            </c:numRef>
          </c:val>
          <c:extLst xmlns:c15="http://schemas.microsoft.com/office/drawing/2012/chart">
            <c:ext xmlns:c16="http://schemas.microsoft.com/office/drawing/2014/chart" uri="{C3380CC4-5D6E-409C-BE32-E72D297353CC}">
              <c16:uniqueId val="{00000000-2EA1-4A97-B81E-6F952DB7E949}"/>
            </c:ext>
          </c:extLst>
        </c:ser>
        <c:ser>
          <c:idx val="0"/>
          <c:order val="1"/>
          <c:tx>
            <c:strRef>
              <c:f>'2.1_data'!$AV$2</c:f>
              <c:strCache>
                <c:ptCount val="1"/>
                <c:pt idx="0">
                  <c:v>2019</c:v>
                </c:pt>
              </c:strCache>
            </c:strRef>
          </c:tx>
          <c:spPr>
            <a:solidFill>
              <a:srgbClr val="00ABAB"/>
            </a:solidFill>
            <a:ln>
              <a:noFill/>
            </a:ln>
            <a:effectLst/>
          </c:spPr>
          <c:invertIfNegative val="0"/>
          <c:cat>
            <c:strRef>
              <c:f>'2.1_data'!$AT$3:$AT$34</c:f>
              <c:strCache>
                <c:ptCount val="32"/>
                <c:pt idx="0">
                  <c:v>ANU</c:v>
                </c:pt>
                <c:pt idx="1">
                  <c:v>UWA</c:v>
                </c:pt>
                <c:pt idx="2">
                  <c:v>UQ</c:v>
                </c:pt>
                <c:pt idx="3">
                  <c:v>UoA</c:v>
                </c:pt>
                <c:pt idx="4">
                  <c:v>USyd</c:v>
                </c:pt>
                <c:pt idx="5">
                  <c:v>Monash</c:v>
                </c:pt>
                <c:pt idx="6">
                  <c:v>UoM</c:v>
                </c:pt>
                <c:pt idx="7">
                  <c:v>UoW</c:v>
                </c:pt>
                <c:pt idx="8">
                  <c:v>Swinburne</c:v>
                </c:pt>
                <c:pt idx="9">
                  <c:v>UoN</c:v>
                </c:pt>
                <c:pt idx="10">
                  <c:v>QUT</c:v>
                </c:pt>
                <c:pt idx="11">
                  <c:v>UTAS</c:v>
                </c:pt>
                <c:pt idx="12">
                  <c:v>JCU</c:v>
                </c:pt>
                <c:pt idx="13">
                  <c:v>Griffith</c:v>
                </c:pt>
                <c:pt idx="14">
                  <c:v>UniSA</c:v>
                </c:pt>
                <c:pt idx="15">
                  <c:v>Murdoch</c:v>
                </c:pt>
                <c:pt idx="16">
                  <c:v>CDU</c:v>
                </c:pt>
                <c:pt idx="17">
                  <c:v>VU</c:v>
                </c:pt>
                <c:pt idx="18">
                  <c:v>ECU</c:v>
                </c:pt>
                <c:pt idx="19">
                  <c:v>CQU</c:v>
                </c:pt>
                <c:pt idx="20">
                  <c:v>UC</c:v>
                </c:pt>
                <c:pt idx="21">
                  <c:v>Deakin</c:v>
                </c:pt>
                <c:pt idx="22">
                  <c:v>Flinders</c:v>
                </c:pt>
                <c:pt idx="23">
                  <c:v>UNE</c:v>
                </c:pt>
                <c:pt idx="24">
                  <c:v>Curtin</c:v>
                </c:pt>
                <c:pt idx="25">
                  <c:v>CSU</c:v>
                </c:pt>
                <c:pt idx="26">
                  <c:v>SCU</c:v>
                </c:pt>
                <c:pt idx="27">
                  <c:v>USQ</c:v>
                </c:pt>
                <c:pt idx="28">
                  <c:v>RMIT</c:v>
                </c:pt>
                <c:pt idx="29">
                  <c:v>ACU</c:v>
                </c:pt>
                <c:pt idx="30">
                  <c:v>USC</c:v>
                </c:pt>
                <c:pt idx="31">
                  <c:v>FedU</c:v>
                </c:pt>
              </c:strCache>
            </c:strRef>
          </c:cat>
          <c:val>
            <c:numRef>
              <c:f>'2.1_data'!$AV$3:$AV$34</c:f>
              <c:numCache>
                <c:formatCode>0%</c:formatCode>
                <c:ptCount val="32"/>
                <c:pt idx="0">
                  <c:v>0.23818529967188684</c:v>
                </c:pt>
                <c:pt idx="1">
                  <c:v>0.30697142229434632</c:v>
                </c:pt>
                <c:pt idx="2">
                  <c:v>0.33943903156890259</c:v>
                </c:pt>
                <c:pt idx="3">
                  <c:v>0.42598457258049854</c:v>
                </c:pt>
                <c:pt idx="4">
                  <c:v>0.4047465255535822</c:v>
                </c:pt>
                <c:pt idx="5">
                  <c:v>0.43046270580681378</c:v>
                </c:pt>
                <c:pt idx="6">
                  <c:v>0.44625998555820018</c:v>
                </c:pt>
                <c:pt idx="7">
                  <c:v>0.49711549134136152</c:v>
                </c:pt>
                <c:pt idx="8">
                  <c:v>0.53965725507143769</c:v>
                </c:pt>
                <c:pt idx="9">
                  <c:v>0.53241320777224166</c:v>
                </c:pt>
                <c:pt idx="10">
                  <c:v>0.53342296731500116</c:v>
                </c:pt>
                <c:pt idx="11">
                  <c:v>0.578637025957772</c:v>
                </c:pt>
                <c:pt idx="12">
                  <c:v>0.56691026101420661</c:v>
                </c:pt>
                <c:pt idx="13">
                  <c:v>0.58952095289854145</c:v>
                </c:pt>
                <c:pt idx="14">
                  <c:v>0.58340389751814048</c:v>
                </c:pt>
                <c:pt idx="15">
                  <c:v>0.58829863338773802</c:v>
                </c:pt>
                <c:pt idx="16">
                  <c:v>0.59983966900936736</c:v>
                </c:pt>
                <c:pt idx="17">
                  <c:v>0.62332085915711044</c:v>
                </c:pt>
                <c:pt idx="18">
                  <c:v>0.64021469663501496</c:v>
                </c:pt>
                <c:pt idx="19">
                  <c:v>0.61362088160832728</c:v>
                </c:pt>
                <c:pt idx="20">
                  <c:v>0.55344438243196292</c:v>
                </c:pt>
                <c:pt idx="21">
                  <c:v>0.66048560219199925</c:v>
                </c:pt>
                <c:pt idx="22">
                  <c:v>0.62181464709810574</c:v>
                </c:pt>
                <c:pt idx="23">
                  <c:v>0.55307521026915796</c:v>
                </c:pt>
                <c:pt idx="24">
                  <c:v>0.67771016889222158</c:v>
                </c:pt>
                <c:pt idx="25">
                  <c:v>0.68399342722901768</c:v>
                </c:pt>
                <c:pt idx="26">
                  <c:v>0.69846637439137849</c:v>
                </c:pt>
                <c:pt idx="27">
                  <c:v>0.74144548553977185</c:v>
                </c:pt>
                <c:pt idx="28">
                  <c:v>0.79346104035901588</c:v>
                </c:pt>
                <c:pt idx="29">
                  <c:v>0.72171943735635435</c:v>
                </c:pt>
                <c:pt idx="30">
                  <c:v>0.796129855842867</c:v>
                </c:pt>
                <c:pt idx="31">
                  <c:v>0.8119568611109983</c:v>
                </c:pt>
              </c:numCache>
            </c:numRef>
          </c:val>
          <c:extLst>
            <c:ext xmlns:c16="http://schemas.microsoft.com/office/drawing/2014/chart" uri="{C3380CC4-5D6E-409C-BE32-E72D297353CC}">
              <c16:uniqueId val="{00000001-2EA1-4A97-B81E-6F952DB7E949}"/>
            </c:ext>
          </c:extLst>
        </c:ser>
        <c:ser>
          <c:idx val="2"/>
          <c:order val="2"/>
          <c:tx>
            <c:strRef>
              <c:f>'2.1_data'!$AW$2</c:f>
              <c:strCache>
                <c:ptCount val="1"/>
                <c:pt idx="0">
                  <c:v>2020</c:v>
                </c:pt>
              </c:strCache>
            </c:strRef>
          </c:tx>
          <c:spPr>
            <a:solidFill>
              <a:schemeClr val="bg1">
                <a:lumMod val="75000"/>
              </a:schemeClr>
            </a:solidFill>
            <a:ln>
              <a:noFill/>
            </a:ln>
            <a:effectLst/>
          </c:spPr>
          <c:invertIfNegative val="0"/>
          <c:cat>
            <c:strRef>
              <c:f>'2.1_data'!$AT$3:$AT$34</c:f>
              <c:strCache>
                <c:ptCount val="32"/>
                <c:pt idx="0">
                  <c:v>ANU</c:v>
                </c:pt>
                <c:pt idx="1">
                  <c:v>UWA</c:v>
                </c:pt>
                <c:pt idx="2">
                  <c:v>UQ</c:v>
                </c:pt>
                <c:pt idx="3">
                  <c:v>UoA</c:v>
                </c:pt>
                <c:pt idx="4">
                  <c:v>USyd</c:v>
                </c:pt>
                <c:pt idx="5">
                  <c:v>Monash</c:v>
                </c:pt>
                <c:pt idx="6">
                  <c:v>UoM</c:v>
                </c:pt>
                <c:pt idx="7">
                  <c:v>UoW</c:v>
                </c:pt>
                <c:pt idx="8">
                  <c:v>Swinburne</c:v>
                </c:pt>
                <c:pt idx="9">
                  <c:v>UoN</c:v>
                </c:pt>
                <c:pt idx="10">
                  <c:v>QUT</c:v>
                </c:pt>
                <c:pt idx="11">
                  <c:v>UTAS</c:v>
                </c:pt>
                <c:pt idx="12">
                  <c:v>JCU</c:v>
                </c:pt>
                <c:pt idx="13">
                  <c:v>Griffith</c:v>
                </c:pt>
                <c:pt idx="14">
                  <c:v>UniSA</c:v>
                </c:pt>
                <c:pt idx="15">
                  <c:v>Murdoch</c:v>
                </c:pt>
                <c:pt idx="16">
                  <c:v>CDU</c:v>
                </c:pt>
                <c:pt idx="17">
                  <c:v>VU</c:v>
                </c:pt>
                <c:pt idx="18">
                  <c:v>ECU</c:v>
                </c:pt>
                <c:pt idx="19">
                  <c:v>CQU</c:v>
                </c:pt>
                <c:pt idx="20">
                  <c:v>UC</c:v>
                </c:pt>
                <c:pt idx="21">
                  <c:v>Deakin</c:v>
                </c:pt>
                <c:pt idx="22">
                  <c:v>Flinders</c:v>
                </c:pt>
                <c:pt idx="23">
                  <c:v>UNE</c:v>
                </c:pt>
                <c:pt idx="24">
                  <c:v>Curtin</c:v>
                </c:pt>
                <c:pt idx="25">
                  <c:v>CSU</c:v>
                </c:pt>
                <c:pt idx="26">
                  <c:v>SCU</c:v>
                </c:pt>
                <c:pt idx="27">
                  <c:v>USQ</c:v>
                </c:pt>
                <c:pt idx="28">
                  <c:v>RMIT</c:v>
                </c:pt>
                <c:pt idx="29">
                  <c:v>ACU</c:v>
                </c:pt>
                <c:pt idx="30">
                  <c:v>USC</c:v>
                </c:pt>
                <c:pt idx="31">
                  <c:v>FedU</c:v>
                </c:pt>
              </c:strCache>
            </c:strRef>
          </c:cat>
          <c:val>
            <c:numRef>
              <c:f>'2.1_data'!$AW$3:$AW$34</c:f>
              <c:numCache>
                <c:formatCode>0%</c:formatCode>
                <c:ptCount val="32"/>
                <c:pt idx="0">
                  <c:v>0.25209474856859559</c:v>
                </c:pt>
                <c:pt idx="1">
                  <c:v>0.30469937790795876</c:v>
                </c:pt>
                <c:pt idx="2">
                  <c:v>0.34752296673011879</c:v>
                </c:pt>
                <c:pt idx="3">
                  <c:v>0.42011870130529333</c:v>
                </c:pt>
                <c:pt idx="4">
                  <c:v>0.38892580310100472</c:v>
                </c:pt>
                <c:pt idx="5">
                  <c:v>0.44993829169181798</c:v>
                </c:pt>
                <c:pt idx="6">
                  <c:v>0.44990944823030454</c:v>
                </c:pt>
                <c:pt idx="7">
                  <c:v>0.48508179871901719</c:v>
                </c:pt>
                <c:pt idx="8">
                  <c:v>0.51829913916901382</c:v>
                </c:pt>
                <c:pt idx="9">
                  <c:v>0.54302801897010444</c:v>
                </c:pt>
                <c:pt idx="10">
                  <c:v>0.54353011253429695</c:v>
                </c:pt>
                <c:pt idx="11">
                  <c:v>0.57325669473078811</c:v>
                </c:pt>
                <c:pt idx="12">
                  <c:v>0.56608699385795802</c:v>
                </c:pt>
                <c:pt idx="13">
                  <c:v>0.5926187179787783</c:v>
                </c:pt>
                <c:pt idx="14">
                  <c:v>0.61443810716305025</c:v>
                </c:pt>
                <c:pt idx="15">
                  <c:v>0.62554089402950208</c:v>
                </c:pt>
                <c:pt idx="16">
                  <c:v>0.6205603329918874</c:v>
                </c:pt>
                <c:pt idx="17">
                  <c:v>0.59843717076896208</c:v>
                </c:pt>
                <c:pt idx="18">
                  <c:v>0.60387010530472374</c:v>
                </c:pt>
                <c:pt idx="19">
                  <c:v>0.55465315392766834</c:v>
                </c:pt>
                <c:pt idx="20">
                  <c:v>0.60239930666687436</c:v>
                </c:pt>
                <c:pt idx="21">
                  <c:v>0.59871963122486571</c:v>
                </c:pt>
                <c:pt idx="22">
                  <c:v>0.60765268268197281</c:v>
                </c:pt>
                <c:pt idx="23">
                  <c:v>0.55154559886175392</c:v>
                </c:pt>
                <c:pt idx="24">
                  <c:v>0.6900524608673837</c:v>
                </c:pt>
                <c:pt idx="25">
                  <c:v>0.65054200692392528</c:v>
                </c:pt>
                <c:pt idx="26">
                  <c:v>0.72553618414909782</c:v>
                </c:pt>
                <c:pt idx="27">
                  <c:v>0.75053786940035327</c:v>
                </c:pt>
                <c:pt idx="28">
                  <c:v>0.76008741835049709</c:v>
                </c:pt>
                <c:pt idx="29">
                  <c:v>0.72766683980592228</c:v>
                </c:pt>
                <c:pt idx="30">
                  <c:v>0.801607307328426</c:v>
                </c:pt>
                <c:pt idx="31">
                  <c:v>0.86385869977059271</c:v>
                </c:pt>
              </c:numCache>
            </c:numRef>
          </c:val>
          <c:extLst>
            <c:ext xmlns:c16="http://schemas.microsoft.com/office/drawing/2014/chart" uri="{C3380CC4-5D6E-409C-BE32-E72D297353CC}">
              <c16:uniqueId val="{00000002-2EA1-4A97-B81E-6F952DB7E949}"/>
            </c:ext>
          </c:extLst>
        </c:ser>
        <c:dLbls>
          <c:showLegendKey val="0"/>
          <c:showVal val="0"/>
          <c:showCatName val="0"/>
          <c:showSerName val="0"/>
          <c:showPercent val="0"/>
          <c:showBubbleSize val="0"/>
        </c:dLbls>
        <c:gapWidth val="150"/>
        <c:axId val="1432946928"/>
        <c:axId val="1432943184"/>
        <c:extLst/>
      </c:barChart>
      <c:lineChart>
        <c:grouping val="standard"/>
        <c:varyColors val="0"/>
        <c:ser>
          <c:idx val="3"/>
          <c:order val="3"/>
          <c:tx>
            <c:strRef>
              <c:f>'2.1_data'!$AX$2</c:f>
              <c:strCache>
                <c:ptCount val="1"/>
                <c:pt idx="0">
                  <c:v>2018 average </c:v>
                </c:pt>
              </c:strCache>
            </c:strRef>
          </c:tx>
          <c:spPr>
            <a:ln w="28575" cap="rnd">
              <a:solidFill>
                <a:schemeClr val="tx2"/>
              </a:solidFill>
              <a:prstDash val="sysDash"/>
              <a:round/>
            </a:ln>
            <a:effectLst/>
          </c:spPr>
          <c:marker>
            <c:symbol val="none"/>
          </c:marker>
          <c:cat>
            <c:strRef>
              <c:f>'2.1_data'!$AT$3:$AT$34</c:f>
              <c:strCache>
                <c:ptCount val="32"/>
                <c:pt idx="0">
                  <c:v>ANU</c:v>
                </c:pt>
                <c:pt idx="1">
                  <c:v>UWA</c:v>
                </c:pt>
                <c:pt idx="2">
                  <c:v>UQ</c:v>
                </c:pt>
                <c:pt idx="3">
                  <c:v>UoA</c:v>
                </c:pt>
                <c:pt idx="4">
                  <c:v>USyd</c:v>
                </c:pt>
                <c:pt idx="5">
                  <c:v>Monash</c:v>
                </c:pt>
                <c:pt idx="6">
                  <c:v>UoM</c:v>
                </c:pt>
                <c:pt idx="7">
                  <c:v>UoW</c:v>
                </c:pt>
                <c:pt idx="8">
                  <c:v>Swinburne</c:v>
                </c:pt>
                <c:pt idx="9">
                  <c:v>UoN</c:v>
                </c:pt>
                <c:pt idx="10">
                  <c:v>QUT</c:v>
                </c:pt>
                <c:pt idx="11">
                  <c:v>UTAS</c:v>
                </c:pt>
                <c:pt idx="12">
                  <c:v>JCU</c:v>
                </c:pt>
                <c:pt idx="13">
                  <c:v>Griffith</c:v>
                </c:pt>
                <c:pt idx="14">
                  <c:v>UniSA</c:v>
                </c:pt>
                <c:pt idx="15">
                  <c:v>Murdoch</c:v>
                </c:pt>
                <c:pt idx="16">
                  <c:v>CDU</c:v>
                </c:pt>
                <c:pt idx="17">
                  <c:v>VU</c:v>
                </c:pt>
                <c:pt idx="18">
                  <c:v>ECU</c:v>
                </c:pt>
                <c:pt idx="19">
                  <c:v>CQU</c:v>
                </c:pt>
                <c:pt idx="20">
                  <c:v>UC</c:v>
                </c:pt>
                <c:pt idx="21">
                  <c:v>Deakin</c:v>
                </c:pt>
                <c:pt idx="22">
                  <c:v>Flinders</c:v>
                </c:pt>
                <c:pt idx="23">
                  <c:v>UNE</c:v>
                </c:pt>
                <c:pt idx="24">
                  <c:v>Curtin</c:v>
                </c:pt>
                <c:pt idx="25">
                  <c:v>CSU</c:v>
                </c:pt>
                <c:pt idx="26">
                  <c:v>SCU</c:v>
                </c:pt>
                <c:pt idx="27">
                  <c:v>USQ</c:v>
                </c:pt>
                <c:pt idx="28">
                  <c:v>RMIT</c:v>
                </c:pt>
                <c:pt idx="29">
                  <c:v>ACU</c:v>
                </c:pt>
                <c:pt idx="30">
                  <c:v>USC</c:v>
                </c:pt>
                <c:pt idx="31">
                  <c:v>FedU</c:v>
                </c:pt>
              </c:strCache>
            </c:strRef>
          </c:cat>
          <c:val>
            <c:numRef>
              <c:f>'2.1_data'!$AX$3:$AX$34</c:f>
              <c:numCache>
                <c:formatCode>0%</c:formatCode>
                <c:ptCount val="32"/>
                <c:pt idx="0">
                  <c:v>0.51621147672828616</c:v>
                </c:pt>
                <c:pt idx="1">
                  <c:v>0.51621147672828616</c:v>
                </c:pt>
                <c:pt idx="2">
                  <c:v>0.51621147672828616</c:v>
                </c:pt>
                <c:pt idx="3">
                  <c:v>0.51621147672828616</c:v>
                </c:pt>
                <c:pt idx="4">
                  <c:v>0.51621147672828616</c:v>
                </c:pt>
                <c:pt idx="5">
                  <c:v>0.51621147672828616</c:v>
                </c:pt>
                <c:pt idx="6">
                  <c:v>0.51621147672828616</c:v>
                </c:pt>
                <c:pt idx="7">
                  <c:v>0.51621147672828616</c:v>
                </c:pt>
                <c:pt idx="8">
                  <c:v>0.51621147672828616</c:v>
                </c:pt>
                <c:pt idx="9">
                  <c:v>0.51621147672828616</c:v>
                </c:pt>
                <c:pt idx="10">
                  <c:v>0.51621147672828616</c:v>
                </c:pt>
                <c:pt idx="11">
                  <c:v>0.51621147672828616</c:v>
                </c:pt>
                <c:pt idx="12">
                  <c:v>0.51621147672828616</c:v>
                </c:pt>
                <c:pt idx="13">
                  <c:v>0.51621147672828616</c:v>
                </c:pt>
                <c:pt idx="14">
                  <c:v>0.51621147672828616</c:v>
                </c:pt>
                <c:pt idx="15">
                  <c:v>0.51621147672828616</c:v>
                </c:pt>
                <c:pt idx="16">
                  <c:v>0.51621147672828616</c:v>
                </c:pt>
                <c:pt idx="17">
                  <c:v>0.51621147672828616</c:v>
                </c:pt>
                <c:pt idx="18">
                  <c:v>0.51621147672828616</c:v>
                </c:pt>
                <c:pt idx="19">
                  <c:v>0.51621147672828616</c:v>
                </c:pt>
                <c:pt idx="20">
                  <c:v>0.51621147672828616</c:v>
                </c:pt>
                <c:pt idx="21">
                  <c:v>0.51621147672828616</c:v>
                </c:pt>
                <c:pt idx="22">
                  <c:v>0.51621147672828616</c:v>
                </c:pt>
                <c:pt idx="23">
                  <c:v>0.51621147672828616</c:v>
                </c:pt>
                <c:pt idx="24">
                  <c:v>0.51621147672828616</c:v>
                </c:pt>
                <c:pt idx="25">
                  <c:v>0.51621147672828616</c:v>
                </c:pt>
                <c:pt idx="26">
                  <c:v>0.51621147672828616</c:v>
                </c:pt>
                <c:pt idx="27">
                  <c:v>0.51621147672828616</c:v>
                </c:pt>
                <c:pt idx="28">
                  <c:v>0.51621147672828616</c:v>
                </c:pt>
                <c:pt idx="29">
                  <c:v>0.51621147672828616</c:v>
                </c:pt>
                <c:pt idx="30">
                  <c:v>0.51621147672828616</c:v>
                </c:pt>
                <c:pt idx="31">
                  <c:v>0.51621147672828616</c:v>
                </c:pt>
              </c:numCache>
            </c:numRef>
          </c:val>
          <c:smooth val="0"/>
          <c:extLst>
            <c:ext xmlns:c16="http://schemas.microsoft.com/office/drawing/2014/chart" uri="{C3380CC4-5D6E-409C-BE32-E72D297353CC}">
              <c16:uniqueId val="{00000003-2EA1-4A97-B81E-6F952DB7E949}"/>
            </c:ext>
          </c:extLst>
        </c:ser>
        <c:ser>
          <c:idx val="4"/>
          <c:order val="4"/>
          <c:tx>
            <c:strRef>
              <c:f>'2.1_data'!$AY$2</c:f>
              <c:strCache>
                <c:ptCount val="1"/>
                <c:pt idx="0">
                  <c:v>2019 average</c:v>
                </c:pt>
              </c:strCache>
            </c:strRef>
          </c:tx>
          <c:spPr>
            <a:ln w="28575" cap="rnd">
              <a:solidFill>
                <a:srgbClr val="00ABAB"/>
              </a:solidFill>
              <a:prstDash val="lgDashDot"/>
              <a:round/>
            </a:ln>
            <a:effectLst/>
          </c:spPr>
          <c:marker>
            <c:symbol val="none"/>
          </c:marker>
          <c:cat>
            <c:strRef>
              <c:f>'2.1_data'!$AT$3:$AT$34</c:f>
              <c:strCache>
                <c:ptCount val="32"/>
                <c:pt idx="0">
                  <c:v>ANU</c:v>
                </c:pt>
                <c:pt idx="1">
                  <c:v>UWA</c:v>
                </c:pt>
                <c:pt idx="2">
                  <c:v>UQ</c:v>
                </c:pt>
                <c:pt idx="3">
                  <c:v>UoA</c:v>
                </c:pt>
                <c:pt idx="4">
                  <c:v>USyd</c:v>
                </c:pt>
                <c:pt idx="5">
                  <c:v>Monash</c:v>
                </c:pt>
                <c:pt idx="6">
                  <c:v>UoM</c:v>
                </c:pt>
                <c:pt idx="7">
                  <c:v>UoW</c:v>
                </c:pt>
                <c:pt idx="8">
                  <c:v>Swinburne</c:v>
                </c:pt>
                <c:pt idx="9">
                  <c:v>UoN</c:v>
                </c:pt>
                <c:pt idx="10">
                  <c:v>QUT</c:v>
                </c:pt>
                <c:pt idx="11">
                  <c:v>UTAS</c:v>
                </c:pt>
                <c:pt idx="12">
                  <c:v>JCU</c:v>
                </c:pt>
                <c:pt idx="13">
                  <c:v>Griffith</c:v>
                </c:pt>
                <c:pt idx="14">
                  <c:v>UniSA</c:v>
                </c:pt>
                <c:pt idx="15">
                  <c:v>Murdoch</c:v>
                </c:pt>
                <c:pt idx="16">
                  <c:v>CDU</c:v>
                </c:pt>
                <c:pt idx="17">
                  <c:v>VU</c:v>
                </c:pt>
                <c:pt idx="18">
                  <c:v>ECU</c:v>
                </c:pt>
                <c:pt idx="19">
                  <c:v>CQU</c:v>
                </c:pt>
                <c:pt idx="20">
                  <c:v>UC</c:v>
                </c:pt>
                <c:pt idx="21">
                  <c:v>Deakin</c:v>
                </c:pt>
                <c:pt idx="22">
                  <c:v>Flinders</c:v>
                </c:pt>
                <c:pt idx="23">
                  <c:v>UNE</c:v>
                </c:pt>
                <c:pt idx="24">
                  <c:v>Curtin</c:v>
                </c:pt>
                <c:pt idx="25">
                  <c:v>CSU</c:v>
                </c:pt>
                <c:pt idx="26">
                  <c:v>SCU</c:v>
                </c:pt>
                <c:pt idx="27">
                  <c:v>USQ</c:v>
                </c:pt>
                <c:pt idx="28">
                  <c:v>RMIT</c:v>
                </c:pt>
                <c:pt idx="29">
                  <c:v>ACU</c:v>
                </c:pt>
                <c:pt idx="30">
                  <c:v>USC</c:v>
                </c:pt>
                <c:pt idx="31">
                  <c:v>FedU</c:v>
                </c:pt>
              </c:strCache>
            </c:strRef>
          </c:cat>
          <c:val>
            <c:numRef>
              <c:f>'2.1_data'!$AY$3:$AY$34</c:f>
              <c:numCache>
                <c:formatCode>0%</c:formatCode>
                <c:ptCount val="32"/>
                <c:pt idx="0">
                  <c:v>0.51465774102194473</c:v>
                </c:pt>
                <c:pt idx="1">
                  <c:v>0.51465774102194473</c:v>
                </c:pt>
                <c:pt idx="2">
                  <c:v>0.51465774102194473</c:v>
                </c:pt>
                <c:pt idx="3">
                  <c:v>0.51465774102194473</c:v>
                </c:pt>
                <c:pt idx="4">
                  <c:v>0.51465774102194473</c:v>
                </c:pt>
                <c:pt idx="5">
                  <c:v>0.51465774102194473</c:v>
                </c:pt>
                <c:pt idx="6">
                  <c:v>0.51465774102194473</c:v>
                </c:pt>
                <c:pt idx="7">
                  <c:v>0.51465774102194473</c:v>
                </c:pt>
                <c:pt idx="8">
                  <c:v>0.51465774102194473</c:v>
                </c:pt>
                <c:pt idx="9">
                  <c:v>0.51465774102194473</c:v>
                </c:pt>
                <c:pt idx="10">
                  <c:v>0.51465774102194473</c:v>
                </c:pt>
                <c:pt idx="11">
                  <c:v>0.51465774102194473</c:v>
                </c:pt>
                <c:pt idx="12">
                  <c:v>0.51465774102194473</c:v>
                </c:pt>
                <c:pt idx="13">
                  <c:v>0.51465774102194473</c:v>
                </c:pt>
                <c:pt idx="14">
                  <c:v>0.51465774102194473</c:v>
                </c:pt>
                <c:pt idx="15">
                  <c:v>0.51465774102194473</c:v>
                </c:pt>
                <c:pt idx="16">
                  <c:v>0.51465774102194473</c:v>
                </c:pt>
                <c:pt idx="17">
                  <c:v>0.51465774102194473</c:v>
                </c:pt>
                <c:pt idx="18">
                  <c:v>0.51465774102194473</c:v>
                </c:pt>
                <c:pt idx="19">
                  <c:v>0.51465774102194473</c:v>
                </c:pt>
                <c:pt idx="20">
                  <c:v>0.51465774102194473</c:v>
                </c:pt>
                <c:pt idx="21">
                  <c:v>0.51465774102194473</c:v>
                </c:pt>
                <c:pt idx="22">
                  <c:v>0.51465774102194473</c:v>
                </c:pt>
                <c:pt idx="23">
                  <c:v>0.51465774102194473</c:v>
                </c:pt>
                <c:pt idx="24">
                  <c:v>0.51465774102194473</c:v>
                </c:pt>
                <c:pt idx="25">
                  <c:v>0.51465774102194473</c:v>
                </c:pt>
                <c:pt idx="26">
                  <c:v>0.51465774102194473</c:v>
                </c:pt>
                <c:pt idx="27">
                  <c:v>0.51465774102194473</c:v>
                </c:pt>
                <c:pt idx="28">
                  <c:v>0.51465774102194473</c:v>
                </c:pt>
                <c:pt idx="29">
                  <c:v>0.51465774102194473</c:v>
                </c:pt>
                <c:pt idx="30">
                  <c:v>0.51465774102194473</c:v>
                </c:pt>
                <c:pt idx="31">
                  <c:v>0.51465774102194473</c:v>
                </c:pt>
              </c:numCache>
            </c:numRef>
          </c:val>
          <c:smooth val="0"/>
          <c:extLst>
            <c:ext xmlns:c16="http://schemas.microsoft.com/office/drawing/2014/chart" uri="{C3380CC4-5D6E-409C-BE32-E72D297353CC}">
              <c16:uniqueId val="{00000004-2EA1-4A97-B81E-6F952DB7E949}"/>
            </c:ext>
          </c:extLst>
        </c:ser>
        <c:ser>
          <c:idx val="5"/>
          <c:order val="5"/>
          <c:tx>
            <c:strRef>
              <c:f>'2.1_data'!$AZ$2</c:f>
              <c:strCache>
                <c:ptCount val="1"/>
                <c:pt idx="0">
                  <c:v>2020 average</c:v>
                </c:pt>
              </c:strCache>
            </c:strRef>
          </c:tx>
          <c:spPr>
            <a:ln w="28575" cap="rnd">
              <a:solidFill>
                <a:schemeClr val="bg1">
                  <a:lumMod val="75000"/>
                </a:schemeClr>
              </a:solidFill>
              <a:prstDash val="sysDash"/>
              <a:round/>
            </a:ln>
            <a:effectLst/>
          </c:spPr>
          <c:marker>
            <c:symbol val="none"/>
          </c:marker>
          <c:cat>
            <c:strRef>
              <c:f>'2.1_data'!$AT$3:$AT$34</c:f>
              <c:strCache>
                <c:ptCount val="32"/>
                <c:pt idx="0">
                  <c:v>ANU</c:v>
                </c:pt>
                <c:pt idx="1">
                  <c:v>UWA</c:v>
                </c:pt>
                <c:pt idx="2">
                  <c:v>UQ</c:v>
                </c:pt>
                <c:pt idx="3">
                  <c:v>UoA</c:v>
                </c:pt>
                <c:pt idx="4">
                  <c:v>USyd</c:v>
                </c:pt>
                <c:pt idx="5">
                  <c:v>Monash</c:v>
                </c:pt>
                <c:pt idx="6">
                  <c:v>UoM</c:v>
                </c:pt>
                <c:pt idx="7">
                  <c:v>UoW</c:v>
                </c:pt>
                <c:pt idx="8">
                  <c:v>Swinburne</c:v>
                </c:pt>
                <c:pt idx="9">
                  <c:v>UoN</c:v>
                </c:pt>
                <c:pt idx="10">
                  <c:v>QUT</c:v>
                </c:pt>
                <c:pt idx="11">
                  <c:v>UTAS</c:v>
                </c:pt>
                <c:pt idx="12">
                  <c:v>JCU</c:v>
                </c:pt>
                <c:pt idx="13">
                  <c:v>Griffith</c:v>
                </c:pt>
                <c:pt idx="14">
                  <c:v>UniSA</c:v>
                </c:pt>
                <c:pt idx="15">
                  <c:v>Murdoch</c:v>
                </c:pt>
                <c:pt idx="16">
                  <c:v>CDU</c:v>
                </c:pt>
                <c:pt idx="17">
                  <c:v>VU</c:v>
                </c:pt>
                <c:pt idx="18">
                  <c:v>ECU</c:v>
                </c:pt>
                <c:pt idx="19">
                  <c:v>CQU</c:v>
                </c:pt>
                <c:pt idx="20">
                  <c:v>UC</c:v>
                </c:pt>
                <c:pt idx="21">
                  <c:v>Deakin</c:v>
                </c:pt>
                <c:pt idx="22">
                  <c:v>Flinders</c:v>
                </c:pt>
                <c:pt idx="23">
                  <c:v>UNE</c:v>
                </c:pt>
                <c:pt idx="24">
                  <c:v>Curtin</c:v>
                </c:pt>
                <c:pt idx="25">
                  <c:v>CSU</c:v>
                </c:pt>
                <c:pt idx="26">
                  <c:v>SCU</c:v>
                </c:pt>
                <c:pt idx="27">
                  <c:v>USQ</c:v>
                </c:pt>
                <c:pt idx="28">
                  <c:v>RMIT</c:v>
                </c:pt>
                <c:pt idx="29">
                  <c:v>ACU</c:v>
                </c:pt>
                <c:pt idx="30">
                  <c:v>USC</c:v>
                </c:pt>
                <c:pt idx="31">
                  <c:v>FedU</c:v>
                </c:pt>
              </c:strCache>
            </c:strRef>
          </c:cat>
          <c:val>
            <c:numRef>
              <c:f>'2.1_data'!$AZ$3:$AZ$34</c:f>
              <c:numCache>
                <c:formatCode>0%</c:formatCode>
                <c:ptCount val="32"/>
                <c:pt idx="0">
                  <c:v>0.51248224175872392</c:v>
                </c:pt>
                <c:pt idx="1">
                  <c:v>0.51248224175872392</c:v>
                </c:pt>
                <c:pt idx="2">
                  <c:v>0.51248224175872392</c:v>
                </c:pt>
                <c:pt idx="3">
                  <c:v>0.51248224175872392</c:v>
                </c:pt>
                <c:pt idx="4">
                  <c:v>0.51248224175872392</c:v>
                </c:pt>
                <c:pt idx="5">
                  <c:v>0.51248224175872392</c:v>
                </c:pt>
                <c:pt idx="6">
                  <c:v>0.51248224175872392</c:v>
                </c:pt>
                <c:pt idx="7">
                  <c:v>0.51248224175872392</c:v>
                </c:pt>
                <c:pt idx="8">
                  <c:v>0.51248224175872392</c:v>
                </c:pt>
                <c:pt idx="9">
                  <c:v>0.51248224175872392</c:v>
                </c:pt>
                <c:pt idx="10">
                  <c:v>0.51248224175872392</c:v>
                </c:pt>
                <c:pt idx="11">
                  <c:v>0.51248224175872392</c:v>
                </c:pt>
                <c:pt idx="12">
                  <c:v>0.51248224175872392</c:v>
                </c:pt>
                <c:pt idx="13">
                  <c:v>0.51248224175872392</c:v>
                </c:pt>
                <c:pt idx="14">
                  <c:v>0.51248224175872392</c:v>
                </c:pt>
                <c:pt idx="15">
                  <c:v>0.51248224175872392</c:v>
                </c:pt>
                <c:pt idx="16">
                  <c:v>0.51248224175872392</c:v>
                </c:pt>
                <c:pt idx="17">
                  <c:v>0.51248224175872392</c:v>
                </c:pt>
                <c:pt idx="18">
                  <c:v>0.51248224175872392</c:v>
                </c:pt>
                <c:pt idx="19">
                  <c:v>0.51248224175872392</c:v>
                </c:pt>
                <c:pt idx="20">
                  <c:v>0.51248224175872392</c:v>
                </c:pt>
                <c:pt idx="21">
                  <c:v>0.51248224175872392</c:v>
                </c:pt>
                <c:pt idx="22">
                  <c:v>0.51248224175872392</c:v>
                </c:pt>
                <c:pt idx="23">
                  <c:v>0.51248224175872392</c:v>
                </c:pt>
                <c:pt idx="24">
                  <c:v>0.51248224175872392</c:v>
                </c:pt>
                <c:pt idx="25">
                  <c:v>0.51248224175872392</c:v>
                </c:pt>
                <c:pt idx="26">
                  <c:v>0.51248224175872392</c:v>
                </c:pt>
                <c:pt idx="27">
                  <c:v>0.51248224175872392</c:v>
                </c:pt>
                <c:pt idx="28">
                  <c:v>0.51248224175872392</c:v>
                </c:pt>
                <c:pt idx="29">
                  <c:v>0.51248224175872392</c:v>
                </c:pt>
                <c:pt idx="30">
                  <c:v>0.51248224175872392</c:v>
                </c:pt>
                <c:pt idx="31">
                  <c:v>0.51248224175872392</c:v>
                </c:pt>
              </c:numCache>
            </c:numRef>
          </c:val>
          <c:smooth val="0"/>
          <c:extLst>
            <c:ext xmlns:c16="http://schemas.microsoft.com/office/drawing/2014/chart" uri="{C3380CC4-5D6E-409C-BE32-E72D297353CC}">
              <c16:uniqueId val="{00000005-2EA1-4A97-B81E-6F952DB7E949}"/>
            </c:ext>
          </c:extLst>
        </c:ser>
        <c:dLbls>
          <c:showLegendKey val="0"/>
          <c:showVal val="0"/>
          <c:showCatName val="0"/>
          <c:showSerName val="0"/>
          <c:showPercent val="0"/>
          <c:showBubbleSize val="0"/>
        </c:dLbls>
        <c:marker val="1"/>
        <c:smooth val="0"/>
        <c:axId val="1432946928"/>
        <c:axId val="1432943184"/>
      </c:lineChart>
      <c:catAx>
        <c:axId val="1432946928"/>
        <c:scaling>
          <c:orientation val="minMax"/>
        </c:scaling>
        <c:delete val="0"/>
        <c:axPos val="b"/>
        <c:title>
          <c:tx>
            <c:rich>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(32)</a:t>
                </a:r>
              </a:p>
            </c:rich>
          </c:tx>
          <c:layout>
            <c:manualLayout>
              <c:xMode val="edge"/>
              <c:yMode val="edge"/>
              <c:x val="0.41278456949562647"/>
              <c:y val="0.79194547010381044"/>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3184"/>
        <c:crosses val="autoZero"/>
        <c:auto val="1"/>
        <c:lblAlgn val="ctr"/>
        <c:lblOffset val="100"/>
        <c:noMultiLvlLbl val="0"/>
      </c:catAx>
      <c:valAx>
        <c:axId val="1432943184"/>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6928"/>
        <c:crosses val="autoZero"/>
        <c:crossBetween val="between"/>
      </c:valAx>
      <c:spPr>
        <a:noFill/>
        <a:ln>
          <a:noFill/>
        </a:ln>
        <a:effectLst/>
      </c:spPr>
    </c:plotArea>
    <c:legend>
      <c:legendPos val="b"/>
      <c:layout>
        <c:manualLayout>
          <c:xMode val="edge"/>
          <c:yMode val="edge"/>
          <c:x val="0.17962255573203764"/>
          <c:y val="0.85977157526449799"/>
          <c:w val="0.64555011215412383"/>
          <c:h val="0.1236114345827042"/>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56036745406818E-2"/>
          <c:y val="5.5555555555555552E-2"/>
          <c:w val="0.88498840769903764"/>
          <c:h val="0.78618839311752697"/>
        </c:manualLayout>
      </c:layout>
      <c:barChart>
        <c:barDir val="col"/>
        <c:grouping val="clustered"/>
        <c:varyColors val="0"/>
        <c:ser>
          <c:idx val="1"/>
          <c:order val="0"/>
          <c:tx>
            <c:v>2019</c:v>
          </c:tx>
          <c:spPr>
            <a:solidFill>
              <a:srgbClr val="00ABA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'2.1_data'!$Q$47:$Q$54</c:f>
              <c:strCache>
                <c:ptCount val="8"/>
                <c:pt idx="0">
                  <c:v>Go8</c:v>
                </c:pt>
                <c:pt idx="1">
                  <c:v>Total</c:v>
                </c:pt>
                <c:pt idx="2">
                  <c:v>Nil</c:v>
                </c:pt>
                <c:pt idx="3">
                  <c:v>IRU</c:v>
                </c:pt>
                <c:pt idx="4">
                  <c:v>Regional</c:v>
                </c:pt>
                <c:pt idx="5">
                  <c:v>ATN</c:v>
                </c:pt>
                <c:pt idx="6">
                  <c:v>Dual sector</c:v>
                </c:pt>
                <c:pt idx="7">
                  <c:v>RUN</c:v>
                </c:pt>
              </c:strCache>
            </c:strRef>
          </c:cat>
          <c:val>
            <c:numRef>
              <c:f>'2.1_data'!$S$47:$S$54</c:f>
              <c:numCache>
                <c:formatCode>0%</c:formatCode>
                <c:ptCount val="8"/>
                <c:pt idx="0">
                  <c:v>0.3861204765133035</c:v>
                </c:pt>
                <c:pt idx="1">
                  <c:v>0.51470249688691305</c:v>
                </c:pt>
                <c:pt idx="2">
                  <c:v>0.57666263632643944</c:v>
                </c:pt>
                <c:pt idx="3">
                  <c:v>0.61327434352246701</c:v>
                </c:pt>
                <c:pt idx="4">
                  <c:v>0.64164800829467616</c:v>
                </c:pt>
                <c:pt idx="5">
                  <c:v>0.6847144516458965</c:v>
                </c:pt>
                <c:pt idx="6">
                  <c:v>0.68506166736829766</c:v>
                </c:pt>
                <c:pt idx="7">
                  <c:v>0.6948140713987947</c:v>
                </c:pt>
              </c:numCache>
            </c:numRef>
          </c:val>
          <c:extLst>
            <c:ext xmlns:c16="http://schemas.microsoft.com/office/drawing/2014/chart" uri="{C3380CC4-5D6E-409C-BE32-E72D297353CC}">
              <c16:uniqueId val="{00000000-FBAC-4A61-8C9B-BF61B77F699C}"/>
            </c:ext>
          </c:extLst>
        </c:ser>
        <c:ser>
          <c:idx val="2"/>
          <c:order val="1"/>
          <c:tx>
            <c:v>2020</c:v>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'2.1_data'!$Q$47:$Q$54</c:f>
              <c:strCache>
                <c:ptCount val="8"/>
                <c:pt idx="0">
                  <c:v>Go8</c:v>
                </c:pt>
                <c:pt idx="1">
                  <c:v>Total</c:v>
                </c:pt>
                <c:pt idx="2">
                  <c:v>Nil</c:v>
                </c:pt>
                <c:pt idx="3">
                  <c:v>IRU</c:v>
                </c:pt>
                <c:pt idx="4">
                  <c:v>Regional</c:v>
                </c:pt>
                <c:pt idx="5">
                  <c:v>ATN</c:v>
                </c:pt>
                <c:pt idx="6">
                  <c:v>Dual sector</c:v>
                </c:pt>
                <c:pt idx="7">
                  <c:v>RUN</c:v>
                </c:pt>
              </c:strCache>
            </c:strRef>
          </c:cat>
          <c:val>
            <c:numRef>
              <c:f>'2.1_data'!$T$47:$T$54</c:f>
              <c:numCache>
                <c:formatCode>0%</c:formatCode>
                <c:ptCount val="8"/>
                <c:pt idx="0">
                  <c:v>0.38638149546055722</c:v>
                </c:pt>
                <c:pt idx="1">
                  <c:v>0.51358091146921292</c:v>
                </c:pt>
                <c:pt idx="2">
                  <c:v>0.56288141078111631</c:v>
                </c:pt>
                <c:pt idx="3">
                  <c:v>0.61807872871209812</c:v>
                </c:pt>
                <c:pt idx="4">
                  <c:v>0.63476384132929009</c:v>
                </c:pt>
                <c:pt idx="5">
                  <c:v>0.68850807756642429</c:v>
                </c:pt>
                <c:pt idx="6">
                  <c:v>0.66087041394543056</c:v>
                </c:pt>
                <c:pt idx="7">
                  <c:v>0.69306328667745765</c:v>
                </c:pt>
              </c:numCache>
            </c:numRef>
          </c:val>
          <c:extLst>
            <c:ext xmlns:c16="http://schemas.microsoft.com/office/drawing/2014/chart" uri="{C3380CC4-5D6E-409C-BE32-E72D297353CC}">
              <c16:uniqueId val="{00000001-FBAC-4A61-8C9B-BF61B77F699C}"/>
            </c:ext>
          </c:extLst>
        </c:ser>
        <c:dLbls>
          <c:dLblPos val="outEnd"/>
          <c:showLegendKey val="0"/>
          <c:showVal val="1"/>
          <c:showCatName val="0"/>
          <c:showSerName val="0"/>
          <c:showPercent val="0"/>
          <c:showBubbleSize val="0"/>
        </c:dLbls>
        <c:gapWidth val="125"/>
        <c:overlap val="-27"/>
        <c:axId val="988661552"/>
        <c:axId val="988682768"/>
      </c:barChart>
      <c:catAx>
        <c:axId val="98866155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88682768"/>
        <c:crosses val="autoZero"/>
        <c:auto val="1"/>
        <c:lblAlgn val="ctr"/>
        <c:lblOffset val="100"/>
        <c:noMultiLvlLbl val="0"/>
      </c:catAx>
      <c:valAx>
        <c:axId val="988682768"/>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8866155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16785358756413E-2"/>
          <c:y val="4.8689530182629302E-2"/>
          <c:w val="0.87869041440481477"/>
          <c:h val="0.83620717853974602"/>
        </c:manualLayout>
      </c:layout>
      <c:barChart>
        <c:barDir val="col"/>
        <c:grouping val="clustered"/>
        <c:varyColors val="0"/>
        <c:ser>
          <c:idx val="1"/>
          <c:order val="0"/>
          <c:tx>
            <c:v>2019</c:v>
          </c:tx>
          <c:spPr>
            <a:solidFill>
              <a:srgbClr val="00ABAB"/>
            </a:solidFill>
            <a:ln>
              <a:noFill/>
            </a:ln>
            <a:effectLst/>
          </c:spPr>
          <c:invertIfNegative val="0"/>
          <c:cat>
            <c:numRef>
              <c:f>'2.1_data'!$P$70:$P$106</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'2.1_data'!$R$70:$R$106</c:f>
              <c:numCache>
                <c:formatCode>0.0%</c:formatCode>
                <c:ptCount val="37"/>
                <c:pt idx="0">
                  <c:v>0.43656960925170241</c:v>
                </c:pt>
                <c:pt idx="1">
                  <c:v>0.47009775457102837</c:v>
                </c:pt>
                <c:pt idx="2">
                  <c:v>0.47998479082818735</c:v>
                </c:pt>
                <c:pt idx="3">
                  <c:v>0.51160194548935867</c:v>
                </c:pt>
                <c:pt idx="4">
                  <c:v>0.52116759119661171</c:v>
                </c:pt>
                <c:pt idx="5">
                  <c:v>0.52328205596503696</c:v>
                </c:pt>
                <c:pt idx="6">
                  <c:v>0.54529244113687658</c:v>
                </c:pt>
                <c:pt idx="7">
                  <c:v>0.54750703631824738</c:v>
                </c:pt>
                <c:pt idx="8">
                  <c:v>0.55625400659755431</c:v>
                </c:pt>
                <c:pt idx="9">
                  <c:v>0.56948629547504892</c:v>
                </c:pt>
                <c:pt idx="10">
                  <c:v>0.57391979072205235</c:v>
                </c:pt>
                <c:pt idx="11">
                  <c:v>0.57857722304040393</c:v>
                </c:pt>
                <c:pt idx="12">
                  <c:v>0.57902797780163251</c:v>
                </c:pt>
                <c:pt idx="13">
                  <c:v>0.57944551098148822</c:v>
                </c:pt>
                <c:pt idx="14">
                  <c:v>0.58806896115505369</c:v>
                </c:pt>
                <c:pt idx="15">
                  <c:v>0.59087490182329028</c:v>
                </c:pt>
                <c:pt idx="16">
                  <c:v>0.59580942122241765</c:v>
                </c:pt>
                <c:pt idx="17">
                  <c:v>0.59995249309922261</c:v>
                </c:pt>
                <c:pt idx="18">
                  <c:v>0.60187617703309526</c:v>
                </c:pt>
                <c:pt idx="19">
                  <c:v>0.60354274195327429</c:v>
                </c:pt>
                <c:pt idx="20">
                  <c:v>0.60933660540188572</c:v>
                </c:pt>
                <c:pt idx="21">
                  <c:v>0.61380654795789946</c:v>
                </c:pt>
                <c:pt idx="22">
                  <c:v>0.61476719792190793</c:v>
                </c:pt>
                <c:pt idx="23">
                  <c:v>0.61502512293305389</c:v>
                </c:pt>
                <c:pt idx="24">
                  <c:v>0.61828499831422734</c:v>
                </c:pt>
                <c:pt idx="25">
                  <c:v>0.62118020208323321</c:v>
                </c:pt>
                <c:pt idx="26">
                  <c:v>0.62369303378085184</c:v>
                </c:pt>
                <c:pt idx="27">
                  <c:v>0.62563385978103303</c:v>
                </c:pt>
                <c:pt idx="28">
                  <c:v>0.62996793538211793</c:v>
                </c:pt>
                <c:pt idx="29">
                  <c:v>0.63235736734132408</c:v>
                </c:pt>
                <c:pt idx="30">
                  <c:v>0.64521487868556293</c:v>
                </c:pt>
                <c:pt idx="31">
                  <c:v>0.64625358602243255</c:v>
                </c:pt>
                <c:pt idx="32">
                  <c:v>0.66141946078245761</c:v>
                </c:pt>
                <c:pt idx="33">
                  <c:v>0.67487790152299743</c:v>
                </c:pt>
                <c:pt idx="34">
                  <c:v>0.68506502244070022</c:v>
                </c:pt>
                <c:pt idx="35">
                  <c:v>0.6868603070824435</c:v>
                </c:pt>
                <c:pt idx="36">
                  <c:v>0.73716486270171966</c:v>
                </c:pt>
              </c:numCache>
            </c:numRef>
          </c:val>
          <c:extLst>
            <c:ext xmlns:c16="http://schemas.microsoft.com/office/drawing/2014/chart" uri="{C3380CC4-5D6E-409C-BE32-E72D297353CC}">
              <c16:uniqueId val="{00000000-E5B8-4347-9EC8-15268BE53C16}"/>
            </c:ext>
          </c:extLst>
        </c:ser>
        <c:ser>
          <c:idx val="2"/>
          <c:order val="1"/>
          <c:tx>
            <c:v>2020</c:v>
          </c:tx>
          <c:spPr>
            <a:solidFill>
              <a:schemeClr val="bg1">
                <a:lumMod val="75000"/>
              </a:schemeClr>
            </a:solidFill>
            <a:ln>
              <a:noFill/>
            </a:ln>
            <a:effectLst/>
          </c:spPr>
          <c:invertIfNegative val="0"/>
          <c:cat>
            <c:numRef>
              <c:f>'2.1_data'!$P$70:$P$106</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'2.1_data'!$T$70:$T$106</c:f>
              <c:numCache>
                <c:formatCode>0.0%</c:formatCode>
                <c:ptCount val="37"/>
                <c:pt idx="0">
                  <c:v>0.50052931784596577</c:v>
                </c:pt>
                <c:pt idx="1">
                  <c:v>0.52825078716868046</c:v>
                </c:pt>
                <c:pt idx="2">
                  <c:v>0.5481395558533515</c:v>
                </c:pt>
                <c:pt idx="3">
                  <c:v>0.4623000724198793</c:v>
                </c:pt>
                <c:pt idx="4">
                  <c:v>0.5335481917295013</c:v>
                </c:pt>
                <c:pt idx="5">
                  <c:v>0.56266005934231056</c:v>
                </c:pt>
                <c:pt idx="6">
                  <c:v>0.57316432154580199</c:v>
                </c:pt>
                <c:pt idx="7">
                  <c:v>0.56216978591965705</c:v>
                </c:pt>
                <c:pt idx="8">
                  <c:v>0.59705911428178915</c:v>
                </c:pt>
                <c:pt idx="9">
                  <c:v>0.60725669045805486</c:v>
                </c:pt>
                <c:pt idx="10">
                  <c:v>0.58007500086371244</c:v>
                </c:pt>
                <c:pt idx="11">
                  <c:v>0.62838322662566504</c:v>
                </c:pt>
                <c:pt idx="12">
                  <c:v>0.64145357403914038</c:v>
                </c:pt>
                <c:pt idx="13">
                  <c:v>0.5906572930721361</c:v>
                </c:pt>
                <c:pt idx="14">
                  <c:v>0.62838941297967699</c:v>
                </c:pt>
                <c:pt idx="15">
                  <c:v>0.63172262973874627</c:v>
                </c:pt>
                <c:pt idx="16">
                  <c:v>0.62015978521420601</c:v>
                </c:pt>
                <c:pt idx="17">
                  <c:v>0.63807134414037026</c:v>
                </c:pt>
                <c:pt idx="18">
                  <c:v>0.61817204816073545</c:v>
                </c:pt>
                <c:pt idx="19">
                  <c:v>0.63775121337294105</c:v>
                </c:pt>
                <c:pt idx="20">
                  <c:v>0.65240535394943733</c:v>
                </c:pt>
                <c:pt idx="21">
                  <c:v>0.62601599960260235</c:v>
                </c:pt>
                <c:pt idx="22">
                  <c:v>0.63447453704608048</c:v>
                </c:pt>
                <c:pt idx="23">
                  <c:v>0.60641013689339707</c:v>
                </c:pt>
                <c:pt idx="24">
                  <c:v>0.66134807880817148</c:v>
                </c:pt>
                <c:pt idx="25">
                  <c:v>0.64327207062829395</c:v>
                </c:pt>
                <c:pt idx="26">
                  <c:v>0.63438732376720741</c:v>
                </c:pt>
                <c:pt idx="27">
                  <c:v>0.62666550261908915</c:v>
                </c:pt>
                <c:pt idx="28">
                  <c:v>0.69730396437866593</c:v>
                </c:pt>
                <c:pt idx="29">
                  <c:v>0.63742546999887073</c:v>
                </c:pt>
                <c:pt idx="30">
                  <c:v>0.65037932532750675</c:v>
                </c:pt>
                <c:pt idx="31">
                  <c:v>0.65295149905563177</c:v>
                </c:pt>
                <c:pt idx="32">
                  <c:v>0.5638172103171003</c:v>
                </c:pt>
                <c:pt idx="33">
                  <c:v>0.67604108952703346</c:v>
                </c:pt>
                <c:pt idx="34">
                  <c:v>0.67182588090060902</c:v>
                </c:pt>
                <c:pt idx="35">
                  <c:v>0.69522028293658522</c:v>
                </c:pt>
                <c:pt idx="36">
                  <c:v>0.74907651981013157</c:v>
                </c:pt>
              </c:numCache>
            </c:numRef>
          </c:val>
          <c:extLst>
            <c:ext xmlns:c16="http://schemas.microsoft.com/office/drawing/2014/chart" uri="{C3380CC4-5D6E-409C-BE32-E72D297353CC}">
              <c16:uniqueId val="{00000001-E5B8-4347-9EC8-15268BE53C16}"/>
            </c:ext>
          </c:extLst>
        </c:ser>
        <c:dLbls>
          <c:showLegendKey val="0"/>
          <c:showVal val="0"/>
          <c:showCatName val="0"/>
          <c:showSerName val="0"/>
          <c:showPercent val="0"/>
          <c:showBubbleSize val="0"/>
        </c:dLbls>
        <c:gapWidth val="219"/>
        <c:axId val="1432946928"/>
        <c:axId val="1432943184"/>
      </c:barChart>
      <c:lineChart>
        <c:grouping val="standard"/>
        <c:varyColors val="0"/>
        <c:ser>
          <c:idx val="3"/>
          <c:order val="2"/>
          <c:tx>
            <c:v>2019 average</c:v>
          </c:tx>
          <c:spPr>
            <a:ln w="28575" cap="rnd">
              <a:solidFill>
                <a:srgbClr val="00ABAB"/>
              </a:solidFill>
              <a:prstDash val="sysDash"/>
              <a:round/>
            </a:ln>
            <a:effectLst/>
          </c:spPr>
          <c:marker>
            <c:symbol val="none"/>
          </c:marker>
          <c:val>
            <c:numRef>
              <c:f>'2.1_data'!$S$70:$S$106</c:f>
              <c:numCache>
                <c:formatCode>0%</c:formatCode>
                <c:ptCount val="37"/>
                <c:pt idx="0">
                  <c:v>0.59108768844443793</c:v>
                </c:pt>
                <c:pt idx="1">
                  <c:v>0.59108768844443793</c:v>
                </c:pt>
                <c:pt idx="2">
                  <c:v>0.59108768844443793</c:v>
                </c:pt>
                <c:pt idx="3">
                  <c:v>0.59108768844443793</c:v>
                </c:pt>
                <c:pt idx="4">
                  <c:v>0.59108768844443793</c:v>
                </c:pt>
                <c:pt idx="5">
                  <c:v>0.59108768844443793</c:v>
                </c:pt>
                <c:pt idx="6">
                  <c:v>0.59108768844443793</c:v>
                </c:pt>
                <c:pt idx="7">
                  <c:v>0.59108768844443793</c:v>
                </c:pt>
                <c:pt idx="8">
                  <c:v>0.59108768844443793</c:v>
                </c:pt>
                <c:pt idx="9">
                  <c:v>0.59108768844443793</c:v>
                </c:pt>
                <c:pt idx="10">
                  <c:v>0.59108768844443793</c:v>
                </c:pt>
                <c:pt idx="11">
                  <c:v>0.59108768844443793</c:v>
                </c:pt>
                <c:pt idx="12">
                  <c:v>0.59108768844443793</c:v>
                </c:pt>
                <c:pt idx="13">
                  <c:v>0.59108768844443793</c:v>
                </c:pt>
                <c:pt idx="14">
                  <c:v>0.59108768844443793</c:v>
                </c:pt>
                <c:pt idx="15">
                  <c:v>0.59108768844443793</c:v>
                </c:pt>
                <c:pt idx="16">
                  <c:v>0.59108768844443793</c:v>
                </c:pt>
                <c:pt idx="17">
                  <c:v>0.59108768844443793</c:v>
                </c:pt>
                <c:pt idx="18">
                  <c:v>0.59108768844443793</c:v>
                </c:pt>
                <c:pt idx="19">
                  <c:v>0.59108768844443793</c:v>
                </c:pt>
                <c:pt idx="20">
                  <c:v>0.59108768844443793</c:v>
                </c:pt>
                <c:pt idx="21">
                  <c:v>0.59108768844443793</c:v>
                </c:pt>
                <c:pt idx="22">
                  <c:v>0.59108768844443793</c:v>
                </c:pt>
                <c:pt idx="23">
                  <c:v>0.59108768844443793</c:v>
                </c:pt>
                <c:pt idx="24">
                  <c:v>0.59108768844443793</c:v>
                </c:pt>
                <c:pt idx="25">
                  <c:v>0.59108768844443793</c:v>
                </c:pt>
                <c:pt idx="26">
                  <c:v>0.59108768844443793</c:v>
                </c:pt>
                <c:pt idx="27">
                  <c:v>0.59108768844443793</c:v>
                </c:pt>
                <c:pt idx="28">
                  <c:v>0.59108768844443793</c:v>
                </c:pt>
                <c:pt idx="29">
                  <c:v>0.59108768844443793</c:v>
                </c:pt>
                <c:pt idx="30">
                  <c:v>0.59108768844443793</c:v>
                </c:pt>
                <c:pt idx="31">
                  <c:v>0.59108768844443793</c:v>
                </c:pt>
                <c:pt idx="32">
                  <c:v>0.59108768844443793</c:v>
                </c:pt>
                <c:pt idx="33">
                  <c:v>0.59108768844443793</c:v>
                </c:pt>
                <c:pt idx="34">
                  <c:v>0.59108768844443793</c:v>
                </c:pt>
                <c:pt idx="35">
                  <c:v>0.59108768844443793</c:v>
                </c:pt>
                <c:pt idx="36">
                  <c:v>0.59108768844443793</c:v>
                </c:pt>
              </c:numCache>
            </c:numRef>
          </c:val>
          <c:smooth val="0"/>
          <c:extLst>
            <c:ext xmlns:c16="http://schemas.microsoft.com/office/drawing/2014/chart" uri="{C3380CC4-5D6E-409C-BE32-E72D297353CC}">
              <c16:uniqueId val="{00000002-E5B8-4347-9EC8-15268BE53C16}"/>
            </c:ext>
          </c:extLst>
        </c:ser>
        <c:ser>
          <c:idx val="4"/>
          <c:order val="3"/>
          <c:tx>
            <c:v>2020 average</c:v>
          </c:tx>
          <c:spPr>
            <a:ln w="28575" cap="rnd">
              <a:solidFill>
                <a:schemeClr val="bg1">
                  <a:lumMod val="75000"/>
                </a:schemeClr>
              </a:solidFill>
              <a:prstDash val="sysDash"/>
              <a:round/>
            </a:ln>
            <a:effectLst/>
          </c:spPr>
          <c:marker>
            <c:symbol val="none"/>
          </c:marker>
          <c:val>
            <c:numRef>
              <c:f>'2.1_data'!$U$70:$U$106</c:f>
              <c:numCache>
                <c:formatCode>0%</c:formatCode>
                <c:ptCount val="37"/>
                <c:pt idx="0">
                  <c:v>0.61839383471369114</c:v>
                </c:pt>
                <c:pt idx="1">
                  <c:v>0.61839383471369114</c:v>
                </c:pt>
                <c:pt idx="2">
                  <c:v>0.61839383471369114</c:v>
                </c:pt>
                <c:pt idx="3">
                  <c:v>0.61839383471369114</c:v>
                </c:pt>
                <c:pt idx="4">
                  <c:v>0.61839383471369114</c:v>
                </c:pt>
                <c:pt idx="5">
                  <c:v>0.61839383471369114</c:v>
                </c:pt>
                <c:pt idx="6">
                  <c:v>0.61839383471369114</c:v>
                </c:pt>
                <c:pt idx="7">
                  <c:v>0.61839383471369114</c:v>
                </c:pt>
                <c:pt idx="8">
                  <c:v>0.61839383471369114</c:v>
                </c:pt>
                <c:pt idx="9">
                  <c:v>0.61839383471369114</c:v>
                </c:pt>
                <c:pt idx="10">
                  <c:v>0.61839383471369114</c:v>
                </c:pt>
                <c:pt idx="11">
                  <c:v>0.61839383471369114</c:v>
                </c:pt>
                <c:pt idx="12">
                  <c:v>0.61839383471369114</c:v>
                </c:pt>
                <c:pt idx="13">
                  <c:v>0.61839383471369114</c:v>
                </c:pt>
                <c:pt idx="14">
                  <c:v>0.61839383471369114</c:v>
                </c:pt>
                <c:pt idx="15">
                  <c:v>0.61839383471369114</c:v>
                </c:pt>
                <c:pt idx="16">
                  <c:v>0.61839383471369114</c:v>
                </c:pt>
                <c:pt idx="17">
                  <c:v>0.61839383471369114</c:v>
                </c:pt>
                <c:pt idx="18">
                  <c:v>0.61839383471369114</c:v>
                </c:pt>
                <c:pt idx="19">
                  <c:v>0.61839383471369114</c:v>
                </c:pt>
                <c:pt idx="20">
                  <c:v>0.61839383471369114</c:v>
                </c:pt>
                <c:pt idx="21">
                  <c:v>0.61839383471369114</c:v>
                </c:pt>
                <c:pt idx="22">
                  <c:v>0.61839383471369114</c:v>
                </c:pt>
                <c:pt idx="23">
                  <c:v>0.61839383471369114</c:v>
                </c:pt>
                <c:pt idx="24">
                  <c:v>0.61839383471369114</c:v>
                </c:pt>
                <c:pt idx="25">
                  <c:v>0.61839383471369114</c:v>
                </c:pt>
                <c:pt idx="26">
                  <c:v>0.61839383471369114</c:v>
                </c:pt>
                <c:pt idx="27">
                  <c:v>0.61839383471369114</c:v>
                </c:pt>
                <c:pt idx="28">
                  <c:v>0.61839383471369114</c:v>
                </c:pt>
                <c:pt idx="29">
                  <c:v>0.61839383471369114</c:v>
                </c:pt>
                <c:pt idx="30">
                  <c:v>0.61839383471369114</c:v>
                </c:pt>
                <c:pt idx="31">
                  <c:v>0.61839383471369114</c:v>
                </c:pt>
                <c:pt idx="32">
                  <c:v>0.61839383471369114</c:v>
                </c:pt>
                <c:pt idx="33">
                  <c:v>0.61839383471369114</c:v>
                </c:pt>
                <c:pt idx="34">
                  <c:v>0.61839383471369114</c:v>
                </c:pt>
                <c:pt idx="35">
                  <c:v>0.61839383471369114</c:v>
                </c:pt>
                <c:pt idx="36">
                  <c:v>0.61839383471369114</c:v>
                </c:pt>
              </c:numCache>
            </c:numRef>
          </c:val>
          <c:smooth val="0"/>
          <c:extLst>
            <c:ext xmlns:c16="http://schemas.microsoft.com/office/drawing/2014/chart" uri="{C3380CC4-5D6E-409C-BE32-E72D297353CC}">
              <c16:uniqueId val="{00000003-E5B8-4347-9EC8-15268BE53C16}"/>
            </c:ext>
          </c:extLst>
        </c:ser>
        <c:dLbls>
          <c:showLegendKey val="0"/>
          <c:showVal val="0"/>
          <c:showCatName val="0"/>
          <c:showSerName val="0"/>
          <c:showPercent val="0"/>
          <c:showBubbleSize val="0"/>
        </c:dLbls>
        <c:marker val="1"/>
        <c:smooth val="0"/>
        <c:axId val="1432946928"/>
        <c:axId val="1432943184"/>
      </c:lineChart>
      <c:catAx>
        <c:axId val="1432946928"/>
        <c:scaling>
          <c:orientation val="minMax"/>
        </c:scaling>
        <c:delete val="0"/>
        <c:axPos val="b"/>
        <c:title>
          <c:tx>
            <c:rich>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(37)</a:t>
                </a:r>
              </a:p>
            </c:rich>
          </c:tx>
          <c:layout>
            <c:manualLayout>
              <c:xMode val="edge"/>
              <c:yMode val="edge"/>
              <c:x val="0.41278466071460268"/>
              <c:y val="0.89125809573485726"/>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3184"/>
        <c:crosses val="autoZero"/>
        <c:auto val="1"/>
        <c:lblAlgn val="ctr"/>
        <c:lblOffset val="100"/>
        <c:noMultiLvlLbl val="0"/>
      </c:catAx>
      <c:valAx>
        <c:axId val="1432943184"/>
        <c:scaling>
          <c:orientation val="minMax"/>
          <c:max val="1.01"/>
          <c:min val="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6928"/>
        <c:crosses val="autoZero"/>
        <c:crossBetween val="between"/>
      </c:valAx>
      <c:spPr>
        <a:noFill/>
        <a:ln>
          <a:noFill/>
        </a:ln>
        <a:effectLst/>
      </c:spPr>
    </c:plotArea>
    <c:legend>
      <c:legendPos val="b"/>
      <c:layout>
        <c:manualLayout>
          <c:xMode val="edge"/>
          <c:yMode val="edge"/>
          <c:x val="0.12021457985255386"/>
          <c:y val="0.92685435210239819"/>
          <c:w val="0.77141362156026339"/>
          <c:h val="6.2079011299974007E-2"/>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16785358756413E-2"/>
          <c:y val="4.8689530182629302E-2"/>
          <c:w val="0.87869041440481477"/>
          <c:h val="0.76073219152309568"/>
        </c:manualLayout>
      </c:layout>
      <c:barChart>
        <c:barDir val="col"/>
        <c:grouping val="clustered"/>
        <c:varyColors val="0"/>
        <c:ser>
          <c:idx val="0"/>
          <c:order val="0"/>
          <c:tx>
            <c:v>2018</c:v>
          </c:tx>
          <c:spPr>
            <a:solidFill>
              <a:schemeClr val="tx2"/>
            </a:solidFill>
            <a:ln>
              <a:noFill/>
            </a:ln>
            <a:effectLst/>
          </c:spPr>
          <c:invertIfNegative val="0"/>
          <c:cat>
            <c:numRef>
              <c:f>'2.1_data'!$P$70:$P$106</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extLst xmlns:c15="http://schemas.microsoft.com/office/drawing/2012/chart"/>
            </c:numRef>
          </c:cat>
          <c:val>
            <c:numRef>
              <c:f>'2.1_data'!$AG$70:$AG$101</c:f>
              <c:numCache>
                <c:formatCode>0%</c:formatCode>
                <c:ptCount val="32"/>
                <c:pt idx="0">
                  <c:v>0.44071579396387689</c:v>
                </c:pt>
                <c:pt idx="1">
                  <c:v>0.46931853123716344</c:v>
                </c:pt>
                <c:pt idx="2">
                  <c:v>0.47818478575689749</c:v>
                </c:pt>
                <c:pt idx="3">
                  <c:v>0.49531594447149596</c:v>
                </c:pt>
                <c:pt idx="4">
                  <c:v>0.51468450520713305</c:v>
                </c:pt>
                <c:pt idx="5">
                  <c:v>0.56217358905459114</c:v>
                </c:pt>
                <c:pt idx="6">
                  <c:v>0.55027341924191608</c:v>
                </c:pt>
                <c:pt idx="7">
                  <c:v>0.58003412923028086</c:v>
                </c:pt>
                <c:pt idx="8">
                  <c:v>0.5847430667002641</c:v>
                </c:pt>
                <c:pt idx="9">
                  <c:v>0.59550557733791742</c:v>
                </c:pt>
                <c:pt idx="10">
                  <c:v>0.5779506531830616</c:v>
                </c:pt>
                <c:pt idx="11">
                  <c:v>0.60190966483558517</c:v>
                </c:pt>
                <c:pt idx="12">
                  <c:v>0.59111343584515452</c:v>
                </c:pt>
                <c:pt idx="13">
                  <c:v>0.58309722714070766</c:v>
                </c:pt>
                <c:pt idx="14">
                  <c:v>0.61750110579958628</c:v>
                </c:pt>
                <c:pt idx="15">
                  <c:v>0.59143130402614918</c:v>
                </c:pt>
                <c:pt idx="16">
                  <c:v>0.61147689058967913</c:v>
                </c:pt>
                <c:pt idx="17">
                  <c:v>0.60931925237047257</c:v>
                </c:pt>
                <c:pt idx="18">
                  <c:v>0.65642143252040908</c:v>
                </c:pt>
                <c:pt idx="19">
                  <c:v>0.58758369138111421</c:v>
                </c:pt>
                <c:pt idx="20">
                  <c:v>0.59339338379699236</c:v>
                </c:pt>
                <c:pt idx="21">
                  <c:v>0.67608719335922263</c:v>
                </c:pt>
                <c:pt idx="22">
                  <c:v>0.57062166748927079</c:v>
                </c:pt>
                <c:pt idx="23">
                  <c:v>0.59885071322100314</c:v>
                </c:pt>
                <c:pt idx="24">
                  <c:v>0.59667731180893213</c:v>
                </c:pt>
                <c:pt idx="25">
                  <c:v>0.62060185246473143</c:v>
                </c:pt>
                <c:pt idx="26">
                  <c:v>0.65005146374112865</c:v>
                </c:pt>
                <c:pt idx="27">
                  <c:v>0.6396798043058779</c:v>
                </c:pt>
                <c:pt idx="28">
                  <c:v>0.69379124942538073</c:v>
                </c:pt>
                <c:pt idx="29">
                  <c:v>0.66276107501349291</c:v>
                </c:pt>
                <c:pt idx="30">
                  <c:v>0.66057931550194715</c:v>
                </c:pt>
                <c:pt idx="31">
                  <c:v>0.64865028555089577</c:v>
                </c:pt>
              </c:numCache>
            </c:numRef>
          </c:val>
          <c:extLst xmlns:c15="http://schemas.microsoft.com/office/drawing/2012/chart">
            <c:ext xmlns:c16="http://schemas.microsoft.com/office/drawing/2014/chart" uri="{C3380CC4-5D6E-409C-BE32-E72D297353CC}">
              <c16:uniqueId val="{00000000-0D87-4058-A1E0-97E11143F609}"/>
            </c:ext>
          </c:extLst>
        </c:ser>
        <c:ser>
          <c:idx val="1"/>
          <c:order val="1"/>
          <c:tx>
            <c:v>2019</c:v>
          </c:tx>
          <c:spPr>
            <a:solidFill>
              <a:srgbClr val="00ABAB"/>
            </a:solidFill>
            <a:ln>
              <a:noFill/>
            </a:ln>
            <a:effectLst/>
          </c:spPr>
          <c:invertIfNegative val="0"/>
          <c:cat>
            <c:numRef>
              <c:f>'2.1_data'!$P$70:$P$106</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'2.1_data'!$AH$70:$AH$101</c:f>
              <c:numCache>
                <c:formatCode>0%</c:formatCode>
                <c:ptCount val="32"/>
                <c:pt idx="0">
                  <c:v>0.43656960925170241</c:v>
                </c:pt>
                <c:pt idx="1">
                  <c:v>0.47009775457102837</c:v>
                </c:pt>
                <c:pt idx="2">
                  <c:v>0.47998479082818735</c:v>
                </c:pt>
                <c:pt idx="3">
                  <c:v>0.51160194548935867</c:v>
                </c:pt>
                <c:pt idx="4">
                  <c:v>0.52328205596503696</c:v>
                </c:pt>
                <c:pt idx="5">
                  <c:v>0.54529244113687658</c:v>
                </c:pt>
                <c:pt idx="6">
                  <c:v>0.54750703631824738</c:v>
                </c:pt>
                <c:pt idx="7">
                  <c:v>0.56948629547504892</c:v>
                </c:pt>
                <c:pt idx="8">
                  <c:v>0.57857722304040393</c:v>
                </c:pt>
                <c:pt idx="9">
                  <c:v>0.57902797780163251</c:v>
                </c:pt>
                <c:pt idx="10">
                  <c:v>0.57944551098148822</c:v>
                </c:pt>
                <c:pt idx="11">
                  <c:v>0.58806896115505369</c:v>
                </c:pt>
                <c:pt idx="12">
                  <c:v>0.59087490182329028</c:v>
                </c:pt>
                <c:pt idx="13">
                  <c:v>0.59580942122241765</c:v>
                </c:pt>
                <c:pt idx="14">
                  <c:v>0.59995249309922261</c:v>
                </c:pt>
                <c:pt idx="15">
                  <c:v>0.60187617703309526</c:v>
                </c:pt>
                <c:pt idx="16">
                  <c:v>0.60354274195327429</c:v>
                </c:pt>
                <c:pt idx="17">
                  <c:v>0.60933660540188572</c:v>
                </c:pt>
                <c:pt idx="18">
                  <c:v>0.61476719792190793</c:v>
                </c:pt>
                <c:pt idx="19">
                  <c:v>0.61502512293305389</c:v>
                </c:pt>
                <c:pt idx="20">
                  <c:v>0.61828499831422734</c:v>
                </c:pt>
                <c:pt idx="21">
                  <c:v>0.62118020208323321</c:v>
                </c:pt>
                <c:pt idx="22">
                  <c:v>0.62369303378085184</c:v>
                </c:pt>
                <c:pt idx="23">
                  <c:v>0.62563385978103303</c:v>
                </c:pt>
                <c:pt idx="24">
                  <c:v>0.62996793538211793</c:v>
                </c:pt>
                <c:pt idx="25">
                  <c:v>0.63235736734132408</c:v>
                </c:pt>
                <c:pt idx="26">
                  <c:v>0.64521487868556293</c:v>
                </c:pt>
                <c:pt idx="27">
                  <c:v>0.64625358602243255</c:v>
                </c:pt>
                <c:pt idx="28">
                  <c:v>0.66141946078245761</c:v>
                </c:pt>
                <c:pt idx="29">
                  <c:v>0.67487790152299743</c:v>
                </c:pt>
                <c:pt idx="30">
                  <c:v>0.68506502244070022</c:v>
                </c:pt>
                <c:pt idx="31">
                  <c:v>0.6868603070824435</c:v>
                </c:pt>
              </c:numCache>
            </c:numRef>
          </c:val>
          <c:extLst>
            <c:ext xmlns:c16="http://schemas.microsoft.com/office/drawing/2014/chart" uri="{C3380CC4-5D6E-409C-BE32-E72D297353CC}">
              <c16:uniqueId val="{00000001-0D87-4058-A1E0-97E11143F609}"/>
            </c:ext>
          </c:extLst>
        </c:ser>
        <c:ser>
          <c:idx val="2"/>
          <c:order val="2"/>
          <c:tx>
            <c:v>2020</c:v>
          </c:tx>
          <c:spPr>
            <a:solidFill>
              <a:schemeClr val="bg1">
                <a:lumMod val="75000"/>
              </a:schemeClr>
            </a:solidFill>
            <a:ln>
              <a:noFill/>
            </a:ln>
            <a:effectLst/>
          </c:spPr>
          <c:invertIfNegative val="0"/>
          <c:cat>
            <c:numRef>
              <c:f>'2.1_data'!$P$70:$P$106</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'2.1_data'!$AI$70:$AI$101</c:f>
              <c:numCache>
                <c:formatCode>0%</c:formatCode>
                <c:ptCount val="32"/>
                <c:pt idx="0">
                  <c:v>0.50052931784596577</c:v>
                </c:pt>
                <c:pt idx="1">
                  <c:v>0.52825078716868046</c:v>
                </c:pt>
                <c:pt idx="2">
                  <c:v>0.5481395558533515</c:v>
                </c:pt>
                <c:pt idx="3">
                  <c:v>0.4623000724198793</c:v>
                </c:pt>
                <c:pt idx="4">
                  <c:v>0.56266005934231056</c:v>
                </c:pt>
                <c:pt idx="5">
                  <c:v>0.57316432154580199</c:v>
                </c:pt>
                <c:pt idx="6">
                  <c:v>0.56216978591965705</c:v>
                </c:pt>
                <c:pt idx="7">
                  <c:v>0.60725669045805486</c:v>
                </c:pt>
                <c:pt idx="8">
                  <c:v>0.62838322662566504</c:v>
                </c:pt>
                <c:pt idx="9">
                  <c:v>0.64145357403914038</c:v>
                </c:pt>
                <c:pt idx="10">
                  <c:v>0.5906572930721361</c:v>
                </c:pt>
                <c:pt idx="11">
                  <c:v>0.62838941297967699</c:v>
                </c:pt>
                <c:pt idx="12">
                  <c:v>0.63172262973874627</c:v>
                </c:pt>
                <c:pt idx="13">
                  <c:v>0.62015978521420601</c:v>
                </c:pt>
                <c:pt idx="14">
                  <c:v>0.63807134414037026</c:v>
                </c:pt>
                <c:pt idx="15">
                  <c:v>0.61817204816073545</c:v>
                </c:pt>
                <c:pt idx="16">
                  <c:v>0.63775121337294105</c:v>
                </c:pt>
                <c:pt idx="17">
                  <c:v>0.65240535394943733</c:v>
                </c:pt>
                <c:pt idx="18">
                  <c:v>0.63447453704608048</c:v>
                </c:pt>
                <c:pt idx="19">
                  <c:v>0.60641013689339707</c:v>
                </c:pt>
                <c:pt idx="20">
                  <c:v>0.66134807880817148</c:v>
                </c:pt>
                <c:pt idx="21">
                  <c:v>0.64327207062829395</c:v>
                </c:pt>
                <c:pt idx="22">
                  <c:v>0.63438732376720741</c:v>
                </c:pt>
                <c:pt idx="23">
                  <c:v>0.62666550261908915</c:v>
                </c:pt>
                <c:pt idx="24">
                  <c:v>0.69730396437866593</c:v>
                </c:pt>
                <c:pt idx="25">
                  <c:v>0.63742546999887073</c:v>
                </c:pt>
                <c:pt idx="26">
                  <c:v>0.65037932532750675</c:v>
                </c:pt>
                <c:pt idx="27">
                  <c:v>0.65295149905563177</c:v>
                </c:pt>
                <c:pt idx="28">
                  <c:v>0.5638172103171003</c:v>
                </c:pt>
                <c:pt idx="29">
                  <c:v>0.67604108952703346</c:v>
                </c:pt>
                <c:pt idx="30">
                  <c:v>0.67182588090060902</c:v>
                </c:pt>
                <c:pt idx="31">
                  <c:v>0.69522028293658522</c:v>
                </c:pt>
              </c:numCache>
            </c:numRef>
          </c:val>
          <c:extLst>
            <c:ext xmlns:c16="http://schemas.microsoft.com/office/drawing/2014/chart" uri="{C3380CC4-5D6E-409C-BE32-E72D297353CC}">
              <c16:uniqueId val="{00000002-0D87-4058-A1E0-97E11143F609}"/>
            </c:ext>
          </c:extLst>
        </c:ser>
        <c:dLbls>
          <c:showLegendKey val="0"/>
          <c:showVal val="0"/>
          <c:showCatName val="0"/>
          <c:showSerName val="0"/>
          <c:showPercent val="0"/>
          <c:showBubbleSize val="0"/>
        </c:dLbls>
        <c:gapWidth val="219"/>
        <c:axId val="1432946928"/>
        <c:axId val="1432943184"/>
        <c:extLst/>
      </c:barChart>
      <c:lineChart>
        <c:grouping val="standard"/>
        <c:varyColors val="0"/>
        <c:ser>
          <c:idx val="5"/>
          <c:order val="3"/>
          <c:tx>
            <c:v>2018 average</c:v>
          </c:tx>
          <c:spPr>
            <a:ln w="28575" cap="rnd">
              <a:solidFill>
                <a:schemeClr val="tx2"/>
              </a:solidFill>
              <a:prstDash val="sysDash"/>
              <a:round/>
            </a:ln>
            <a:effectLst/>
          </c:spPr>
          <c:marker>
            <c:symbol val="none"/>
          </c:marker>
          <c:val>
            <c:numRef>
              <c:f>'2.1_data'!$AJ$70:$AJ$101</c:f>
              <c:numCache>
                <c:formatCode>0%</c:formatCode>
                <c:ptCount val="32"/>
                <c:pt idx="0">
                  <c:v>0.58828424460170869</c:v>
                </c:pt>
                <c:pt idx="1">
                  <c:v>0.58828424460170869</c:v>
                </c:pt>
                <c:pt idx="2">
                  <c:v>0.58828424460170869</c:v>
                </c:pt>
                <c:pt idx="3">
                  <c:v>0.58828424460170869</c:v>
                </c:pt>
                <c:pt idx="4">
                  <c:v>0.58828424460170869</c:v>
                </c:pt>
                <c:pt idx="5">
                  <c:v>0.58828424460170869</c:v>
                </c:pt>
                <c:pt idx="6">
                  <c:v>0.58828424460170869</c:v>
                </c:pt>
                <c:pt idx="7">
                  <c:v>0.58828424460170869</c:v>
                </c:pt>
                <c:pt idx="8">
                  <c:v>0.58828424460170869</c:v>
                </c:pt>
                <c:pt idx="9">
                  <c:v>0.58828424460170869</c:v>
                </c:pt>
                <c:pt idx="10">
                  <c:v>0.58828424460170869</c:v>
                </c:pt>
                <c:pt idx="11">
                  <c:v>0.58828424460170869</c:v>
                </c:pt>
                <c:pt idx="12">
                  <c:v>0.58828424460170869</c:v>
                </c:pt>
                <c:pt idx="13">
                  <c:v>0.58828424460170869</c:v>
                </c:pt>
                <c:pt idx="14">
                  <c:v>0.58828424460170869</c:v>
                </c:pt>
                <c:pt idx="15">
                  <c:v>0.58828424460170869</c:v>
                </c:pt>
                <c:pt idx="16">
                  <c:v>0.58828424460170869</c:v>
                </c:pt>
                <c:pt idx="17">
                  <c:v>0.58828424460170869</c:v>
                </c:pt>
                <c:pt idx="18">
                  <c:v>0.58828424460170869</c:v>
                </c:pt>
                <c:pt idx="19">
                  <c:v>0.58828424460170869</c:v>
                </c:pt>
                <c:pt idx="20">
                  <c:v>0.58828424460170869</c:v>
                </c:pt>
                <c:pt idx="21">
                  <c:v>0.58828424460170869</c:v>
                </c:pt>
                <c:pt idx="22">
                  <c:v>0.58828424460170869</c:v>
                </c:pt>
                <c:pt idx="23">
                  <c:v>0.58828424460170869</c:v>
                </c:pt>
                <c:pt idx="24">
                  <c:v>0.58828424460170869</c:v>
                </c:pt>
                <c:pt idx="25">
                  <c:v>0.58828424460170869</c:v>
                </c:pt>
                <c:pt idx="26">
                  <c:v>0.58828424460170869</c:v>
                </c:pt>
                <c:pt idx="27">
                  <c:v>0.58828424460170869</c:v>
                </c:pt>
                <c:pt idx="28">
                  <c:v>0.58828424460170869</c:v>
                </c:pt>
                <c:pt idx="29">
                  <c:v>0.58828424460170869</c:v>
                </c:pt>
                <c:pt idx="30">
                  <c:v>0.58828424460170869</c:v>
                </c:pt>
                <c:pt idx="31">
                  <c:v>0.58828424460170869</c:v>
                </c:pt>
              </c:numCache>
            </c:numRef>
          </c:val>
          <c:smooth val="0"/>
          <c:extLst>
            <c:ext xmlns:c16="http://schemas.microsoft.com/office/drawing/2014/chart" uri="{C3380CC4-5D6E-409C-BE32-E72D297353CC}">
              <c16:uniqueId val="{00000003-0D87-4058-A1E0-97E11143F609}"/>
            </c:ext>
          </c:extLst>
        </c:ser>
        <c:ser>
          <c:idx val="3"/>
          <c:order val="4"/>
          <c:tx>
            <c:v>2019 average</c:v>
          </c:tx>
          <c:spPr>
            <a:ln w="28575" cap="rnd">
              <a:solidFill>
                <a:srgbClr val="00ABAB"/>
              </a:solidFill>
              <a:prstDash val="lgDashDot"/>
              <a:round/>
            </a:ln>
            <a:effectLst/>
          </c:spPr>
          <c:marker>
            <c:symbol val="none"/>
          </c:marker>
          <c:val>
            <c:numRef>
              <c:f>'2.1_data'!$AK$70:$AK$101</c:f>
              <c:numCache>
                <c:formatCode>0%</c:formatCode>
                <c:ptCount val="32"/>
                <c:pt idx="0">
                  <c:v>0.58914004111290275</c:v>
                </c:pt>
                <c:pt idx="1">
                  <c:v>0.58914004111290275</c:v>
                </c:pt>
                <c:pt idx="2">
                  <c:v>0.58914004111290275</c:v>
                </c:pt>
                <c:pt idx="3">
                  <c:v>0.58914004111290275</c:v>
                </c:pt>
                <c:pt idx="4">
                  <c:v>0.58914004111290275</c:v>
                </c:pt>
                <c:pt idx="5">
                  <c:v>0.58914004111290275</c:v>
                </c:pt>
                <c:pt idx="6">
                  <c:v>0.58914004111290275</c:v>
                </c:pt>
                <c:pt idx="7">
                  <c:v>0.58914004111290275</c:v>
                </c:pt>
                <c:pt idx="8">
                  <c:v>0.58914004111290275</c:v>
                </c:pt>
                <c:pt idx="9">
                  <c:v>0.58914004111290275</c:v>
                </c:pt>
                <c:pt idx="10">
                  <c:v>0.58914004111290275</c:v>
                </c:pt>
                <c:pt idx="11">
                  <c:v>0.58914004111290275</c:v>
                </c:pt>
                <c:pt idx="12">
                  <c:v>0.58914004111290275</c:v>
                </c:pt>
                <c:pt idx="13">
                  <c:v>0.58914004111290275</c:v>
                </c:pt>
                <c:pt idx="14">
                  <c:v>0.58914004111290275</c:v>
                </c:pt>
                <c:pt idx="15">
                  <c:v>0.58914004111290275</c:v>
                </c:pt>
                <c:pt idx="16">
                  <c:v>0.58914004111290275</c:v>
                </c:pt>
                <c:pt idx="17">
                  <c:v>0.58914004111290275</c:v>
                </c:pt>
                <c:pt idx="18">
                  <c:v>0.58914004111290275</c:v>
                </c:pt>
                <c:pt idx="19">
                  <c:v>0.58914004111290275</c:v>
                </c:pt>
                <c:pt idx="20">
                  <c:v>0.58914004111290275</c:v>
                </c:pt>
                <c:pt idx="21">
                  <c:v>0.58914004111290275</c:v>
                </c:pt>
                <c:pt idx="22">
                  <c:v>0.58914004111290275</c:v>
                </c:pt>
                <c:pt idx="23">
                  <c:v>0.58914004111290275</c:v>
                </c:pt>
                <c:pt idx="24">
                  <c:v>0.58914004111290275</c:v>
                </c:pt>
                <c:pt idx="25">
                  <c:v>0.58914004111290275</c:v>
                </c:pt>
                <c:pt idx="26">
                  <c:v>0.58914004111290275</c:v>
                </c:pt>
                <c:pt idx="27">
                  <c:v>0.58914004111290275</c:v>
                </c:pt>
                <c:pt idx="28">
                  <c:v>0.58914004111290275</c:v>
                </c:pt>
                <c:pt idx="29">
                  <c:v>0.58914004111290275</c:v>
                </c:pt>
                <c:pt idx="30">
                  <c:v>0.58914004111290275</c:v>
                </c:pt>
                <c:pt idx="31">
                  <c:v>0.58914004111290275</c:v>
                </c:pt>
              </c:numCache>
            </c:numRef>
          </c:val>
          <c:smooth val="0"/>
          <c:extLst>
            <c:ext xmlns:c16="http://schemas.microsoft.com/office/drawing/2014/chart" uri="{C3380CC4-5D6E-409C-BE32-E72D297353CC}">
              <c16:uniqueId val="{00000004-0D87-4058-A1E0-97E11143F609}"/>
            </c:ext>
          </c:extLst>
        </c:ser>
        <c:ser>
          <c:idx val="4"/>
          <c:order val="5"/>
          <c:tx>
            <c:v>2020 average</c:v>
          </c:tx>
          <c:spPr>
            <a:ln w="28575" cap="rnd">
              <a:solidFill>
                <a:schemeClr val="bg1">
                  <a:lumMod val="75000"/>
                </a:schemeClr>
              </a:solidFill>
              <a:prstDash val="sysDash"/>
              <a:round/>
            </a:ln>
            <a:effectLst/>
          </c:spPr>
          <c:marker>
            <c:symbol val="none"/>
          </c:marker>
          <c:val>
            <c:numRef>
              <c:f>'2.1_data'!$AL$70:$AL$101</c:f>
              <c:numCache>
                <c:formatCode>0%</c:formatCode>
                <c:ptCount val="32"/>
                <c:pt idx="0">
                  <c:v>0.61769101513272573</c:v>
                </c:pt>
                <c:pt idx="1">
                  <c:v>0.61769101513272573</c:v>
                </c:pt>
                <c:pt idx="2">
                  <c:v>0.61769101513272573</c:v>
                </c:pt>
                <c:pt idx="3">
                  <c:v>0.61769101513272573</c:v>
                </c:pt>
                <c:pt idx="4">
                  <c:v>0.61769101513272573</c:v>
                </c:pt>
                <c:pt idx="5">
                  <c:v>0.61769101513272573</c:v>
                </c:pt>
                <c:pt idx="6">
                  <c:v>0.61769101513272573</c:v>
                </c:pt>
                <c:pt idx="7">
                  <c:v>0.61769101513272573</c:v>
                </c:pt>
                <c:pt idx="8">
                  <c:v>0.61769101513272573</c:v>
                </c:pt>
                <c:pt idx="9">
                  <c:v>0.61769101513272573</c:v>
                </c:pt>
                <c:pt idx="10">
                  <c:v>0.61769101513272573</c:v>
                </c:pt>
                <c:pt idx="11">
                  <c:v>0.61769101513272573</c:v>
                </c:pt>
                <c:pt idx="12">
                  <c:v>0.61769101513272573</c:v>
                </c:pt>
                <c:pt idx="13">
                  <c:v>0.61769101513272573</c:v>
                </c:pt>
                <c:pt idx="14">
                  <c:v>0.61769101513272573</c:v>
                </c:pt>
                <c:pt idx="15">
                  <c:v>0.61769101513272573</c:v>
                </c:pt>
                <c:pt idx="16">
                  <c:v>0.61769101513272573</c:v>
                </c:pt>
                <c:pt idx="17">
                  <c:v>0.61769101513272573</c:v>
                </c:pt>
                <c:pt idx="18">
                  <c:v>0.61769101513272573</c:v>
                </c:pt>
                <c:pt idx="19">
                  <c:v>0.61769101513272573</c:v>
                </c:pt>
                <c:pt idx="20">
                  <c:v>0.61769101513272573</c:v>
                </c:pt>
                <c:pt idx="21">
                  <c:v>0.61769101513272573</c:v>
                </c:pt>
                <c:pt idx="22">
                  <c:v>0.61769101513272573</c:v>
                </c:pt>
                <c:pt idx="23">
                  <c:v>0.61769101513272573</c:v>
                </c:pt>
                <c:pt idx="24">
                  <c:v>0.61769101513272573</c:v>
                </c:pt>
                <c:pt idx="25">
                  <c:v>0.61769101513272573</c:v>
                </c:pt>
                <c:pt idx="26">
                  <c:v>0.61769101513272573</c:v>
                </c:pt>
                <c:pt idx="27">
                  <c:v>0.61769101513272573</c:v>
                </c:pt>
                <c:pt idx="28">
                  <c:v>0.61769101513272573</c:v>
                </c:pt>
                <c:pt idx="29">
                  <c:v>0.61769101513272573</c:v>
                </c:pt>
                <c:pt idx="30">
                  <c:v>0.61769101513272573</c:v>
                </c:pt>
                <c:pt idx="31">
                  <c:v>0.61769101513272573</c:v>
                </c:pt>
              </c:numCache>
            </c:numRef>
          </c:val>
          <c:smooth val="0"/>
          <c:extLst>
            <c:ext xmlns:c16="http://schemas.microsoft.com/office/drawing/2014/chart" uri="{C3380CC4-5D6E-409C-BE32-E72D297353CC}">
              <c16:uniqueId val="{00000005-0D87-4058-A1E0-97E11143F609}"/>
            </c:ext>
          </c:extLst>
        </c:ser>
        <c:dLbls>
          <c:showLegendKey val="0"/>
          <c:showVal val="0"/>
          <c:showCatName val="0"/>
          <c:showSerName val="0"/>
          <c:showPercent val="0"/>
          <c:showBubbleSize val="0"/>
        </c:dLbls>
        <c:marker val="1"/>
        <c:smooth val="0"/>
        <c:axId val="1432946928"/>
        <c:axId val="1432943184"/>
      </c:lineChart>
      <c:catAx>
        <c:axId val="1432946928"/>
        <c:scaling>
          <c:orientation val="minMax"/>
        </c:scaling>
        <c:delete val="0"/>
        <c:axPos val="b"/>
        <c:title>
          <c:tx>
            <c:rich>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(32)</a:t>
                </a:r>
              </a:p>
            </c:rich>
          </c:tx>
          <c:layout>
            <c:manualLayout>
              <c:xMode val="edge"/>
              <c:yMode val="edge"/>
              <c:x val="0.41278462296877655"/>
              <c:y val="0.8316727070611466"/>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en-US"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3184"/>
        <c:crosses val="autoZero"/>
        <c:auto val="1"/>
        <c:lblAlgn val="ctr"/>
        <c:lblOffset val="100"/>
        <c:noMultiLvlLbl val="0"/>
      </c:catAx>
      <c:valAx>
        <c:axId val="1432943184"/>
        <c:scaling>
          <c:orientation val="minMax"/>
          <c:max val="1.01"/>
          <c:min val="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432946928"/>
        <c:crosses val="autoZero"/>
        <c:crossBetween val="between"/>
      </c:valAx>
      <c:spPr>
        <a:noFill/>
        <a:ln>
          <a:noFill/>
        </a:ln>
        <a:effectLst/>
      </c:spPr>
    </c:plotArea>
    <c:legend>
      <c:legendPos val="b"/>
      <c:layout>
        <c:manualLayout>
          <c:xMode val="edge"/>
          <c:yMode val="edge"/>
          <c:x val="0.20591447846806005"/>
          <c:y val="0.87521359287376288"/>
          <c:w val="0.60404859525300258"/>
          <c:h val="0.11819947345818241"/>
        </c:manualLayout>
      </c:layout>
      <c:overlay val="0"/>
      <c:spPr>
        <a:noFill/>
        <a:ln>
          <a:noFill/>
        </a:ln>
        <a:effectLst/>
      </c:spPr>
      <c:txPr>
        <a:bodyPr rot="0" spcFirstLastPara="1" vertOverflow="ellipsis" vert="horz" wrap="square" anchor="ctr" anchorCtr="1"/>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692514201753944E-2"/>
          <c:w val="0.83759886264216976"/>
          <c:h val="0.73480073981016192"/>
        </c:manualLayout>
      </c:layout>
      <c:barChart>
        <c:barDir val="col"/>
        <c:grouping val="clustered"/>
        <c:varyColors val="0"/>
        <c:ser>
          <c:idx val="0"/>
          <c:order val="0"/>
          <c:tx>
            <c:v>2019</c:v>
          </c:tx>
          <c:spPr>
            <a:solidFill>
              <a:srgbClr val="00ABAB"/>
            </a:solidFill>
            <a:ln>
              <a:noFill/>
              <a:prstDash val="sysDash"/>
            </a:ln>
            <a:effectLst/>
          </c:spPr>
          <c:invertIfNegative val="0"/>
          <c:cat>
            <c:numRef>
              <c:f>'2.1_data'!$I$113:$I$149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'2.1_data'!$K$113:$K$149</c:f>
              <c:numCache>
                <c:formatCode>"$"#,##0</c:formatCode>
                <c:ptCount val="37"/>
                <c:pt idx="0">
                  <c:v>13072.529648184578</c:v>
                </c:pt>
                <c:pt idx="1">
                  <c:v>15101.278165327138</c:v>
                </c:pt>
                <c:pt idx="2">
                  <c:v>15231.017515137963</c:v>
                </c:pt>
                <c:pt idx="3">
                  <c:v>15497.309424493082</c:v>
                </c:pt>
                <c:pt idx="4">
                  <c:v>15555.339838188489</c:v>
                </c:pt>
                <c:pt idx="5">
                  <c:v>15640.475641192908</c:v>
                </c:pt>
                <c:pt idx="6">
                  <c:v>15763.61148247607</c:v>
                </c:pt>
                <c:pt idx="7">
                  <c:v>16193.718284741915</c:v>
                </c:pt>
                <c:pt idx="8">
                  <c:v>16479.798033174167</c:v>
                </c:pt>
                <c:pt idx="9">
                  <c:v>16833.736251209873</c:v>
                </c:pt>
                <c:pt idx="10">
                  <c:v>16913.724854130993</c:v>
                </c:pt>
                <c:pt idx="11">
                  <c:v>16921.173889514561</c:v>
                </c:pt>
                <c:pt idx="12">
                  <c:v>17051.67556899874</c:v>
                </c:pt>
                <c:pt idx="13">
                  <c:v>17670.545016249627</c:v>
                </c:pt>
                <c:pt idx="14">
                  <c:v>17855.394248357679</c:v>
                </c:pt>
                <c:pt idx="15">
                  <c:v>18005.72673051574</c:v>
                </c:pt>
                <c:pt idx="16">
                  <c:v>18123.446892384567</c:v>
                </c:pt>
                <c:pt idx="17">
                  <c:v>18419.25529882899</c:v>
                </c:pt>
                <c:pt idx="18">
                  <c:v>18909.966299912016</c:v>
                </c:pt>
                <c:pt idx="19">
                  <c:v>19038.575018777297</c:v>
                </c:pt>
                <c:pt idx="20">
                  <c:v>19134.532454703683</c:v>
                </c:pt>
                <c:pt idx="21">
                  <c:v>19158.329861332262</c:v>
                </c:pt>
                <c:pt idx="22">
                  <c:v>19387.478516278945</c:v>
                </c:pt>
                <c:pt idx="23">
                  <c:v>19523.169811242391</c:v>
                </c:pt>
                <c:pt idx="24">
                  <c:v>19648.318785160114</c:v>
                </c:pt>
                <c:pt idx="25">
                  <c:v>19652.388268774008</c:v>
                </c:pt>
                <c:pt idx="26">
                  <c:v>19840.550591459909</c:v>
                </c:pt>
                <c:pt idx="27">
                  <c:v>20382.333824193269</c:v>
                </c:pt>
                <c:pt idx="28">
                  <c:v>20581.250127168769</c:v>
                </c:pt>
                <c:pt idx="29">
                  <c:v>20752.834259178049</c:v>
                </c:pt>
                <c:pt idx="30">
                  <c:v>20837.38866043077</c:v>
                </c:pt>
                <c:pt idx="31">
                  <c:v>20999.19105767725</c:v>
                </c:pt>
                <c:pt idx="32">
                  <c:v>21353.50074831146</c:v>
                </c:pt>
                <c:pt idx="33">
                  <c:v>21419.810102977397</c:v>
                </c:pt>
                <c:pt idx="34">
                  <c:v>22108.244723376112</c:v>
                </c:pt>
                <c:pt idx="35">
                  <c:v>22270.237790035077</c:v>
                </c:pt>
                <c:pt idx="36">
                  <c:v>24801.547347162508</c:v>
                </c:pt>
              </c:numCache>
            </c:numRef>
          </c:val>
          <c:extLst>
            <c:ext xmlns:c16="http://schemas.microsoft.com/office/drawing/2014/chart" uri="{C3380CC4-5D6E-409C-BE32-E72D297353CC}">
              <c16:uniqueId val="{00000000-5D95-4946-88BC-72FE6C424168}"/>
            </c:ext>
          </c:extLst>
        </c:ser>
        <c:ser>
          <c:idx val="1"/>
          <c:order val="1"/>
          <c:tx>
            <c:v>2020</c:v>
          </c:tx>
          <c:spPr>
            <a:solidFill>
              <a:schemeClr val="bg1">
                <a:lumMod val="75000"/>
              </a:schemeClr>
            </a:solidFill>
            <a:ln>
              <a:noFill/>
            </a:ln>
            <a:effectLst/>
          </c:spPr>
          <c:invertIfNegative val="0"/>
          <c:val>
            <c:numRef>
              <c:f>'2.1_data'!$M$113:$M$149</c:f>
              <c:numCache>
                <c:formatCode>"$"#,##0</c:formatCode>
                <c:ptCount val="37"/>
                <c:pt idx="0">
                  <c:v>13302.036231483533</c:v>
                </c:pt>
                <c:pt idx="1">
                  <c:v>15458.987658955388</c:v>
                </c:pt>
                <c:pt idx="2">
                  <c:v>15643.86658426585</c:v>
                </c:pt>
                <c:pt idx="3">
                  <c:v>15996.293920295102</c:v>
                </c:pt>
                <c:pt idx="4">
                  <c:v>15731.374217444811</c:v>
                </c:pt>
                <c:pt idx="5">
                  <c:v>16312.144440782451</c:v>
                </c:pt>
                <c:pt idx="6">
                  <c:v>16552.124482208714</c:v>
                </c:pt>
                <c:pt idx="7">
                  <c:v>21491.468711782734</c:v>
                </c:pt>
                <c:pt idx="8">
                  <c:v>15287.782798992257</c:v>
                </c:pt>
                <c:pt idx="9">
                  <c:v>16725.533133795056</c:v>
                </c:pt>
                <c:pt idx="10">
                  <c:v>17166.620336028809</c:v>
                </c:pt>
                <c:pt idx="11">
                  <c:v>16339.995826033037</c:v>
                </c:pt>
                <c:pt idx="12">
                  <c:v>16851.635253916222</c:v>
                </c:pt>
                <c:pt idx="13">
                  <c:v>18195.669841514671</c:v>
                </c:pt>
                <c:pt idx="14">
                  <c:v>17918.648636978633</c:v>
                </c:pt>
                <c:pt idx="15">
                  <c:v>17565.819645911812</c:v>
                </c:pt>
                <c:pt idx="16">
                  <c:v>19895.075497373444</c:v>
                </c:pt>
                <c:pt idx="17">
                  <c:v>19499.733645390137</c:v>
                </c:pt>
                <c:pt idx="18">
                  <c:v>16040.442853754799</c:v>
                </c:pt>
                <c:pt idx="19">
                  <c:v>20156.164762153359</c:v>
                </c:pt>
                <c:pt idx="20">
                  <c:v>16855.510270291001</c:v>
                </c:pt>
                <c:pt idx="21">
                  <c:v>19435.214611342148</c:v>
                </c:pt>
                <c:pt idx="22">
                  <c:v>18389.052175864173</c:v>
                </c:pt>
                <c:pt idx="23">
                  <c:v>19912.181353275922</c:v>
                </c:pt>
                <c:pt idx="24">
                  <c:v>17418.164520684601</c:v>
                </c:pt>
                <c:pt idx="25">
                  <c:v>18655.901467135431</c:v>
                </c:pt>
                <c:pt idx="26">
                  <c:v>19849.055173869969</c:v>
                </c:pt>
                <c:pt idx="27">
                  <c:v>20677.513888504109</c:v>
                </c:pt>
                <c:pt idx="28">
                  <c:v>21804.808682913779</c:v>
                </c:pt>
                <c:pt idx="29">
                  <c:v>19558.133654956237</c:v>
                </c:pt>
                <c:pt idx="30">
                  <c:v>22147.869327140146</c:v>
                </c:pt>
                <c:pt idx="31">
                  <c:v>21445.494876122772</c:v>
                </c:pt>
                <c:pt idx="32">
                  <c:v>19441.961178128386</c:v>
                </c:pt>
                <c:pt idx="33">
                  <c:v>23543.25858553527</c:v>
                </c:pt>
                <c:pt idx="34">
                  <c:v>22844.52905858291</c:v>
                </c:pt>
                <c:pt idx="35">
                  <c:v>22754.159068165663</c:v>
                </c:pt>
                <c:pt idx="36">
                  <c:v>25762.805761524363</c:v>
                </c:pt>
              </c:numCache>
            </c:numRef>
          </c:val>
          <c:extLst>
            <c:ext xmlns:c16="http://schemas.microsoft.com/office/drawing/2014/chart" uri="{C3380CC4-5D6E-409C-BE32-E72D297353CC}">
              <c16:uniqueId val="{00000001-5D95-4946-88BC-72FE6C424168}"/>
            </c:ext>
          </c:extLst>
        </c:ser>
        <c:dLbls>
          <c:showLegendKey val="0"/>
          <c:showVal val="0"/>
          <c:showCatName val="0"/>
          <c:showSerName val="0"/>
          <c:showPercent val="0"/>
          <c:showBubbleSize val="0"/>
        </c:dLbls>
        <c:gapWidth val="150"/>
        <c:axId val="580713951"/>
        <c:axId val="580714783"/>
      </c:barChart>
      <c:lineChart>
        <c:grouping val="standard"/>
        <c:varyColors val="0"/>
        <c:ser>
          <c:idx val="2"/>
          <c:order val="2"/>
          <c:tx>
            <c:v>2019 average</c:v>
          </c:tx>
          <c:spPr>
            <a:ln w="28575" cap="rnd">
              <a:solidFill>
                <a:srgbClr val="00ABAB"/>
              </a:solidFill>
              <a:prstDash val="sysDash"/>
              <a:round/>
            </a:ln>
            <a:effectLst/>
          </c:spPr>
          <c:marker>
            <c:symbol val="none"/>
          </c:marker>
          <c:cat>
            <c:numRef>
              <c:f>'2.1_data'!$I$113:$I$144</c:f>
              <c:numCache>
                <c:formatCode>General</c:formatCod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numCache>
            </c:numRef>
          </c:cat>
          <c:val>
            <c:numRef>
              <c:f>'2.1_data'!$L$113:$L$149</c:f>
              <c:numCache>
                <c:formatCode>"$"#,##0</c:formatCode>
                <c:ptCount val="37"/>
                <c:pt idx="0">
                  <c:v>18723.296663152745</c:v>
                </c:pt>
                <c:pt idx="1">
                  <c:v>18723.296663152745</c:v>
                </c:pt>
                <c:pt idx="2">
                  <c:v>18723.296663152745</c:v>
                </c:pt>
                <c:pt idx="3">
                  <c:v>18723.296663152745</c:v>
                </c:pt>
                <c:pt idx="4">
                  <c:v>18723.296663152745</c:v>
                </c:pt>
                <c:pt idx="5">
                  <c:v>18723.296663152745</c:v>
                </c:pt>
                <c:pt idx="6">
                  <c:v>18723.296663152745</c:v>
                </c:pt>
                <c:pt idx="7">
                  <c:v>18723.296663152745</c:v>
                </c:pt>
                <c:pt idx="8">
                  <c:v>18723.296663152745</c:v>
                </c:pt>
                <c:pt idx="9">
                  <c:v>18723.296663152745</c:v>
                </c:pt>
                <c:pt idx="10">
                  <c:v>18723.296663152745</c:v>
                </c:pt>
                <c:pt idx="11">
                  <c:v>18723.296663152745</c:v>
                </c:pt>
                <c:pt idx="12">
                  <c:v>18723.296663152745</c:v>
                </c:pt>
                <c:pt idx="13">
                  <c:v>18723.296663152745</c:v>
                </c:pt>
                <c:pt idx="14">
                  <c:v>18723.296663152745</c:v>
                </c:pt>
                <c:pt idx="15">
                  <c:v>18723.296663152745</c:v>
                </c:pt>
                <c:pt idx="16">
                  <c:v>18723.296663152745</c:v>
                </c:pt>
                <c:pt idx="17">
                  <c:v>18723.296663152745</c:v>
                </c:pt>
                <c:pt idx="18">
                  <c:v>18723.296663152745</c:v>
                </c:pt>
                <c:pt idx="19">
                  <c:v>18723.296663152745</c:v>
                </c:pt>
                <c:pt idx="20">
                  <c:v>18723.296663152745</c:v>
                </c:pt>
                <c:pt idx="21">
                  <c:v>18723.296663152745</c:v>
                </c:pt>
                <c:pt idx="22">
                  <c:v>18723.296663152745</c:v>
                </c:pt>
                <c:pt idx="23">
                  <c:v>18723.296663152745</c:v>
                </c:pt>
                <c:pt idx="24">
                  <c:v>18723.296663152745</c:v>
                </c:pt>
                <c:pt idx="25">
                  <c:v>18723.296663152745</c:v>
                </c:pt>
                <c:pt idx="26">
                  <c:v>18723.296663152745</c:v>
                </c:pt>
                <c:pt idx="27">
                  <c:v>18723.296663152745</c:v>
                </c:pt>
                <c:pt idx="28">
                  <c:v>18723.296663152745</c:v>
                </c:pt>
                <c:pt idx="29">
                  <c:v>18723.296663152745</c:v>
                </c:pt>
                <c:pt idx="30">
                  <c:v>18723.296663152745</c:v>
                </c:pt>
                <c:pt idx="31">
                  <c:v>18723.296663152745</c:v>
                </c:pt>
                <c:pt idx="32">
                  <c:v>18723.296663152745</c:v>
                </c:pt>
                <c:pt idx="33">
                  <c:v>18723.296663152745</c:v>
                </c:pt>
                <c:pt idx="34">
                  <c:v>18723.296663152745</c:v>
                </c:pt>
                <c:pt idx="35">
                  <c:v>18723.296663152745</c:v>
                </c:pt>
                <c:pt idx="36">
                  <c:v>18723.296663152745</c:v>
                </c:pt>
              </c:numCache>
            </c:numRef>
          </c:val>
          <c:smooth val="0"/>
          <c:extLst>
            <c:ext xmlns:c16="http://schemas.microsoft.com/office/drawing/2014/chart" uri="{C3380CC4-5D6E-409C-BE32-E72D297353CC}">
              <c16:uniqueId val="{00000002-5D95-4946-88BC-72FE6C424168}"/>
            </c:ext>
          </c:extLst>
        </c:ser>
        <c:ser>
          <c:idx val="3"/>
          <c:order val="3"/>
          <c:tx>
            <c:v>2020 average</c:v>
          </c:tx>
          <c:spPr>
            <a:ln w="28575" cap="rnd">
              <a:solidFill>
                <a:schemeClr val="bg1">
                  <a:lumMod val="75000"/>
                </a:schemeClr>
              </a:solidFill>
              <a:prstDash val="sysDash"/>
              <a:round/>
            </a:ln>
            <a:effectLst/>
          </c:spPr>
          <c:marker>
            <c:symbol val="none"/>
          </c:marker>
          <c:val>
            <c:numRef>
              <c:f>'2.1_data'!$N$113:$N$149</c:f>
              <c:numCache>
                <c:formatCode>"$"#,##0</c:formatCode>
                <c:ptCount val="37"/>
                <c:pt idx="0">
                  <c:v>18813.926699313506</c:v>
                </c:pt>
                <c:pt idx="1">
                  <c:v>18813.926699313506</c:v>
                </c:pt>
                <c:pt idx="2">
                  <c:v>18813.926699313506</c:v>
                </c:pt>
                <c:pt idx="3">
                  <c:v>18813.926699313506</c:v>
                </c:pt>
                <c:pt idx="4">
                  <c:v>18813.926699313506</c:v>
                </c:pt>
                <c:pt idx="5">
                  <c:v>18813.926699313506</c:v>
                </c:pt>
                <c:pt idx="6">
                  <c:v>18813.926699313506</c:v>
                </c:pt>
                <c:pt idx="7">
                  <c:v>18813.926699313506</c:v>
                </c:pt>
                <c:pt idx="8">
                  <c:v>18813.926699313506</c:v>
                </c:pt>
                <c:pt idx="9">
                  <c:v>18813.926699313506</c:v>
                </c:pt>
                <c:pt idx="10">
                  <c:v>18813.926699313506</c:v>
                </c:pt>
                <c:pt idx="11">
                  <c:v>18813.926699313506</c:v>
                </c:pt>
                <c:pt idx="12">
                  <c:v>18813.926699313506</c:v>
                </c:pt>
                <c:pt idx="13">
                  <c:v>18813.926699313506</c:v>
                </c:pt>
                <c:pt idx="14">
                  <c:v>18813.926699313506</c:v>
                </c:pt>
                <c:pt idx="15">
                  <c:v>18813.926699313506</c:v>
                </c:pt>
                <c:pt idx="16">
                  <c:v>18813.926699313506</c:v>
                </c:pt>
                <c:pt idx="17">
                  <c:v>18813.926699313506</c:v>
                </c:pt>
                <c:pt idx="18">
                  <c:v>18813.926699313506</c:v>
                </c:pt>
                <c:pt idx="19">
                  <c:v>18813.926699313506</c:v>
                </c:pt>
                <c:pt idx="20">
                  <c:v>18813.926699313506</c:v>
                </c:pt>
                <c:pt idx="21">
                  <c:v>18813.926699313506</c:v>
                </c:pt>
                <c:pt idx="22">
                  <c:v>18813.926699313506</c:v>
                </c:pt>
                <c:pt idx="23">
                  <c:v>18813.926699313506</c:v>
                </c:pt>
                <c:pt idx="24">
                  <c:v>18813.926699313506</c:v>
                </c:pt>
                <c:pt idx="25">
                  <c:v>18813.926699313506</c:v>
                </c:pt>
                <c:pt idx="26">
                  <c:v>18813.926699313506</c:v>
                </c:pt>
                <c:pt idx="27">
                  <c:v>18813.926699313506</c:v>
                </c:pt>
                <c:pt idx="28">
                  <c:v>18813.926699313506</c:v>
                </c:pt>
                <c:pt idx="29">
                  <c:v>18813.926699313506</c:v>
                </c:pt>
                <c:pt idx="30">
                  <c:v>18813.926699313506</c:v>
                </c:pt>
                <c:pt idx="31">
                  <c:v>18813.926699313506</c:v>
                </c:pt>
                <c:pt idx="32">
                  <c:v>18813.926699313506</c:v>
                </c:pt>
                <c:pt idx="33">
                  <c:v>18813.926699313506</c:v>
                </c:pt>
                <c:pt idx="34">
                  <c:v>18813.926699313506</c:v>
                </c:pt>
                <c:pt idx="35">
                  <c:v>18813.926699313506</c:v>
                </c:pt>
                <c:pt idx="36">
                  <c:v>18813.926699313506</c:v>
                </c:pt>
              </c:numCache>
            </c:numRef>
          </c:val>
          <c:smooth val="0"/>
          <c:extLst>
            <c:ext xmlns:c16="http://schemas.microsoft.com/office/drawing/2014/chart" uri="{C3380CC4-5D6E-409C-BE32-E72D297353CC}">
              <c16:uniqueId val="{00000003-5D95-4946-88BC-72FE6C424168}"/>
            </c:ext>
          </c:extLst>
        </c:ser>
        <c:dLbls>
          <c:showLegendKey val="0"/>
          <c:showVal val="0"/>
          <c:showCatName val="0"/>
          <c:showSerName val="0"/>
          <c:showPercent val="0"/>
          <c:showBubbleSize val="0"/>
        </c:dLbls>
        <c:marker val="1"/>
        <c:smooth val="0"/>
        <c:axId val="580713951"/>
        <c:axId val="580714783"/>
        <c:extLst/>
      </c:lineChart>
      <c:catAx>
        <c:axId val="580713951"/>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(37)</a:t>
                </a:r>
              </a:p>
            </c:rich>
          </c:tx>
          <c:layout>
            <c:manualLayout>
              <c:xMode val="edge"/>
              <c:yMode val="edge"/>
              <c:x val="0.41822199265381094"/>
              <c:y val="0.8214803182579564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max val="25000"/>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valAx>
      <c:spPr>
        <a:noFill/>
        <a:ln>
          <a:noFill/>
        </a:ln>
        <a:effectLst/>
      </c:spPr>
    </c:plotArea>
    <c:legend>
      <c:legendPos val="b"/>
      <c:layout>
        <c:manualLayout>
          <c:xMode val="edge"/>
          <c:yMode val="edge"/>
          <c:x val="0.10998928680746863"/>
          <c:y val="0.9085804020100503"/>
          <c:w val="0.80917661463116008"/>
          <c:h val="6.9260189838079286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47454463458019E-2"/>
          <c:y val="4.7655119557351508E-2"/>
          <c:w val="0.94307619071480486"/>
          <c:h val="0.71481090567460959"/>
        </c:manualLayout>
      </c:layout>
      <c:stockChart>
        <c:ser>
          <c:idx val="0"/>
          <c:order val="0"/>
          <c:tx>
            <c:strRef>
              <c:f>'2.2_data'!$B$102</c:f>
              <c:strCache>
                <c:ptCount val="1"/>
                <c:pt idx="0">
                  <c:v>25th percentile</c:v>
                </c:pt>
              </c:strCache>
            </c:strRef>
          </c:tx>
          <c:spPr>
            <a:ln w="25400">
              <a:noFill/>
            </a:ln>
          </c:spPr>
          <c:marker>
            <c:symbol val="none"/>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'2.2_data'!$C$102:$AV$102</c:f>
              <c:numCache>
                <c:formatCode>0</c:formatCode>
                <c:ptCount val="46"/>
                <c:pt idx="0">
                  <c:v>14373.037701207621</c:v>
                </c:pt>
                <c:pt idx="1">
                  <c:v>14692.910201620005</c:v>
                </c:pt>
                <c:pt idx="2">
                  <c:v>17758.490807725131</c:v>
                </c:pt>
                <c:pt idx="3">
                  <c:v>15931.094010067376</c:v>
                </c:pt>
                <c:pt idx="4">
                  <c:v>17881.186146496169</c:v>
                </c:pt>
                <c:pt idx="5">
                  <c:v>16781.657102678091</c:v>
                </c:pt>
                <c:pt idx="6">
                  <c:v>13904.053424662232</c:v>
                </c:pt>
                <c:pt idx="7">
                  <c:v>14406.086090393881</c:v>
                </c:pt>
                <c:pt idx="8">
                  <c:v>18374.924502638052</c:v>
                </c:pt>
                <c:pt idx="9">
                  <c:v>17828.007698041078</c:v>
                </c:pt>
                <c:pt idx="10">
                  <c:v>15121.471953680953</c:v>
                </c:pt>
                <c:pt idx="11">
                  <c:v>15427.639557208131</c:v>
                </c:pt>
                <c:pt idx="12">
                  <c:v>18898.863732823163</c:v>
                </c:pt>
                <c:pt idx="13">
                  <c:v>18300.341650033835</c:v>
                </c:pt>
                <c:pt idx="14">
                  <c:v>25704.56154517613</c:v>
                </c:pt>
                <c:pt idx="15">
                  <c:v>26253.781230780849</c:v>
                </c:pt>
                <c:pt idx="16">
                  <c:v>20951.003253284645</c:v>
                </c:pt>
                <c:pt idx="17">
                  <c:v>21929.124795987002</c:v>
                </c:pt>
                <c:pt idx="18">
                  <c:v>17096.09344250405</c:v>
                </c:pt>
                <c:pt idx="19">
                  <c:v>15726.618821632317</c:v>
                </c:pt>
                <c:pt idx="20">
                  <c:v>31318.515512183767</c:v>
                </c:pt>
                <c:pt idx="21">
                  <c:v>31963.284652719729</c:v>
                </c:pt>
                <c:pt idx="22">
                  <c:v>33767.452057365248</c:v>
                </c:pt>
                <c:pt idx="23">
                  <c:v>37744.665753116184</c:v>
                </c:pt>
                <c:pt idx="24">
                  <c:v>17141.176056563811</c:v>
                </c:pt>
                <c:pt idx="25">
                  <c:v>16790.924201634371</c:v>
                </c:pt>
                <c:pt idx="26">
                  <c:v>13619.059394759428</c:v>
                </c:pt>
                <c:pt idx="27">
                  <c:v>13478.730461706251</c:v>
                </c:pt>
                <c:pt idx="28">
                  <c:v>13218.446401292535</c:v>
                </c:pt>
                <c:pt idx="29">
                  <c:v>14121.97977573629</c:v>
                </c:pt>
                <c:pt idx="30">
                  <c:v>15183.222458342214</c:v>
                </c:pt>
                <c:pt idx="31">
                  <c:v>15487.717218776652</c:v>
                </c:pt>
                <c:pt idx="32">
                  <c:v>13158.989952060547</c:v>
                </c:pt>
                <c:pt idx="33">
                  <c:v>12963.819297229895</c:v>
                </c:pt>
                <c:pt idx="34">
                  <c:v>13406.512247935281</c:v>
                </c:pt>
                <c:pt idx="35">
                  <c:v>13212.438630418972</c:v>
                </c:pt>
                <c:pt idx="36">
                  <c:v>13726.254810838644</c:v>
                </c:pt>
                <c:pt idx="37">
                  <c:v>13911.943447117925</c:v>
                </c:pt>
                <c:pt idx="38">
                  <c:v>16727.693322647836</c:v>
                </c:pt>
                <c:pt idx="39">
                  <c:v>17074.584505620533</c:v>
                </c:pt>
                <c:pt idx="40">
                  <c:v>13531.890830953098</c:v>
                </c:pt>
                <c:pt idx="41">
                  <c:v>#N/A</c:v>
                </c:pt>
                <c:pt idx="42">
                  <c:v>7766.6422093596584</c:v>
                </c:pt>
                <c:pt idx="43">
                  <c:v>10687.21666077199</c:v>
                </c:pt>
                <c:pt idx="44">
                  <c:v>15673.542717147559</c:v>
                </c:pt>
                <c:pt idx="45">
                  <c:v>15725.596127252767</c:v>
                </c:pt>
              </c:numCache>
            </c:numRef>
          </c:val>
          <c:smooth val="0"/>
          <c:extLst>
            <c:ext xmlns:c16="http://schemas.microsoft.com/office/drawing/2014/chart" uri="{C3380CC4-5D6E-409C-BE32-E72D297353CC}">
              <c16:uniqueId val="{00000000-8DD1-4E4A-8FFC-CCD4175B68D8}"/>
            </c:ext>
          </c:extLst>
        </c:ser>
        <c:ser>
          <c:idx val="3"/>
          <c:order val="1"/>
          <c:tx>
            <c:strRef>
              <c:f>'2.2_data'!$B$108</c:f>
              <c:strCache>
                <c:ptCount val="1"/>
                <c:pt idx="0">
                  <c:v>Maximum</c:v>
                </c:pt>
              </c:strCache>
            </c:strRef>
          </c:tx>
          <c:spPr>
            <a:ln w="25400">
              <a:noFill/>
            </a:ln>
          </c:spPr>
          <c:marker>
            <c:symbol val="dash"/>
            <c:size val="5"/>
            <c:spPr>
              <a:solidFill>
                <a:srgbClr val="00ABAB"/>
              </a:solidFill>
              <a:ln>
                <a:solidFill>
                  <a:srgbClr val="00ABAB"/>
                </a:solidFill>
              </a:ln>
            </c:spPr>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'2.2_data'!$C$108:$AV$108</c:f>
              <c:numCache>
                <c:formatCode>0</c:formatCode>
                <c:ptCount val="46"/>
                <c:pt idx="0">
                  <c:v>30959.842869226159</c:v>
                </c:pt>
                <c:pt idx="1">
                  <c:v>35582.902510157299</c:v>
                </c:pt>
                <c:pt idx="2">
                  <c:v>40380.491920093344</c:v>
                </c:pt>
                <c:pt idx="3">
                  <c:v>41059.392890462514</c:v>
                </c:pt>
                <c:pt idx="4">
                  <c:v>36150.204042590449</c:v>
                </c:pt>
                <c:pt idx="5">
                  <c:v>36752.003268318411</c:v>
                </c:pt>
                <c:pt idx="6">
                  <c:v>28445.604629978563</c:v>
                </c:pt>
                <c:pt idx="7">
                  <c:v>31439.467904342768</c:v>
                </c:pt>
                <c:pt idx="8">
                  <c:v>37684.349301943352</c:v>
                </c:pt>
                <c:pt idx="9">
                  <c:v>40321.324300773093</c:v>
                </c:pt>
                <c:pt idx="10">
                  <c:v>29538.624379155834</c:v>
                </c:pt>
                <c:pt idx="11">
                  <c:v>28758.014533072877</c:v>
                </c:pt>
                <c:pt idx="12">
                  <c:v>65927.415058823521</c:v>
                </c:pt>
                <c:pt idx="13">
                  <c:v>60493.906829268293</c:v>
                </c:pt>
                <c:pt idx="14">
                  <c:v>54066.335646875814</c:v>
                </c:pt>
                <c:pt idx="15">
                  <c:v>93831.296538063456</c:v>
                </c:pt>
                <c:pt idx="16">
                  <c:v>41566.91189808528</c:v>
                </c:pt>
                <c:pt idx="17">
                  <c:v>35998.7298744</c:v>
                </c:pt>
                <c:pt idx="18">
                  <c:v>22783.456225720034</c:v>
                </c:pt>
                <c:pt idx="19">
                  <c:v>25985.185311320605</c:v>
                </c:pt>
                <c:pt idx="20">
                  <c:v>55953.497364255985</c:v>
                </c:pt>
                <c:pt idx="21">
                  <c:v>57419.876064550641</c:v>
                </c:pt>
                <c:pt idx="22">
                  <c:v>69015.337897573787</c:v>
                </c:pt>
                <c:pt idx="23">
                  <c:v>64300.169383529188</c:v>
                </c:pt>
                <c:pt idx="24">
                  <c:v>29118.939919572011</c:v>
                </c:pt>
                <c:pt idx="25">
                  <c:v>37531.95899987025</c:v>
                </c:pt>
                <c:pt idx="26">
                  <c:v>27008.988041620451</c:v>
                </c:pt>
                <c:pt idx="27">
                  <c:v>28084.7644109635</c:v>
                </c:pt>
                <c:pt idx="28">
                  <c:v>23627.931647305908</c:v>
                </c:pt>
                <c:pt idx="29">
                  <c:v>24460.594003791051</c:v>
                </c:pt>
                <c:pt idx="30">
                  <c:v>31965.769453507335</c:v>
                </c:pt>
                <c:pt idx="31">
                  <c:v>31299.411108917953</c:v>
                </c:pt>
                <c:pt idx="32">
                  <c:v>32269.874660098983</c:v>
                </c:pt>
                <c:pt idx="33">
                  <c:v>31601.955297958179</c:v>
                </c:pt>
                <c:pt idx="34">
                  <c:v>25507.073054024855</c:v>
                </c:pt>
                <c:pt idx="35">
                  <c:v>24345.863590911282</c:v>
                </c:pt>
                <c:pt idx="36">
                  <c:v>24109.02754017858</c:v>
                </c:pt>
                <c:pt idx="37">
                  <c:v>23508.756731709709</c:v>
                </c:pt>
                <c:pt idx="38">
                  <c:v>34446.112883575734</c:v>
                </c:pt>
                <c:pt idx="39">
                  <c:v>35112.221219435509</c:v>
                </c:pt>
                <c:pt idx="40">
                  <c:v>30040.185663424691</c:v>
                </c:pt>
                <c:pt idx="41">
                  <c:v>16099.753149327044</c:v>
                </c:pt>
                <c:pt idx="42">
                  <c:v>22991.718408997633</c:v>
                </c:pt>
                <c:pt idx="43">
                  <c:v>67994.279492810121</c:v>
                </c:pt>
                <c:pt idx="44">
                  <c:v>24368.560271898536</c:v>
                </c:pt>
                <c:pt idx="45">
                  <c:v>25682.678111644484</c:v>
                </c:pt>
              </c:numCache>
            </c:numRef>
          </c:val>
          <c:smooth val="0"/>
          <c:extLst>
            <c:ext xmlns:c16="http://schemas.microsoft.com/office/drawing/2014/chart" uri="{C3380CC4-5D6E-409C-BE32-E72D297353CC}">
              <c16:uniqueId val="{00000001-8DD1-4E4A-8FFC-CCD4175B68D8}"/>
            </c:ext>
          </c:extLst>
        </c:ser>
        <c:ser>
          <c:idx val="2"/>
          <c:order val="3"/>
          <c:tx>
            <c:strRef>
              <c:f>'2.2_data'!$B$107</c:f>
              <c:strCache>
                <c:ptCount val="1"/>
                <c:pt idx="0">
                  <c:v>Minimum</c:v>
                </c:pt>
              </c:strCache>
            </c:strRef>
          </c:tx>
          <c:spPr>
            <a:ln w="25400">
              <a:noFill/>
            </a:ln>
          </c:spPr>
          <c:marker>
            <c:symbol val="dash"/>
            <c:size val="5"/>
            <c:spPr>
              <a:solidFill>
                <a:srgbClr val="00ABAB"/>
              </a:solidFill>
              <a:ln>
                <a:solidFill>
                  <a:srgbClr val="00ABAB"/>
                </a:solidFill>
              </a:ln>
            </c:spPr>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'2.2_data'!$C$107:$AV$107</c:f>
              <c:numCache>
                <c:formatCode>0</c:formatCode>
                <c:ptCount val="46"/>
                <c:pt idx="0">
                  <c:v>10780.908731603375</c:v>
                </c:pt>
                <c:pt idx="1">
                  <c:v>9293.2476689570794</c:v>
                </c:pt>
                <c:pt idx="2">
                  <c:v>8913.1475129386581</c:v>
                </c:pt>
                <c:pt idx="3">
                  <c:v>9361.3338643970383</c:v>
                </c:pt>
                <c:pt idx="4">
                  <c:v>13642.50211060133</c:v>
                </c:pt>
                <c:pt idx="5">
                  <c:v>13425.001561982652</c:v>
                </c:pt>
                <c:pt idx="6">
                  <c:v>4816.046717016181</c:v>
                </c:pt>
                <c:pt idx="7">
                  <c:v>5715.2536559990231</c:v>
                </c:pt>
                <c:pt idx="8">
                  <c:v>13055.225809588292</c:v>
                </c:pt>
                <c:pt idx="9">
                  <c:v>14972.73690239097</c:v>
                </c:pt>
                <c:pt idx="10">
                  <c:v>8031.9349638573149</c:v>
                </c:pt>
                <c:pt idx="11">
                  <c:v>8891.4128388056597</c:v>
                </c:pt>
                <c:pt idx="12">
                  <c:v>10727.185907704241</c:v>
                </c:pt>
                <c:pt idx="13">
                  <c:v>12848.695436254262</c:v>
                </c:pt>
                <c:pt idx="14">
                  <c:v>17344.551556777122</c:v>
                </c:pt>
                <c:pt idx="15">
                  <c:v>16990.075012861191</c:v>
                </c:pt>
                <c:pt idx="16">
                  <c:v>13609.870835252606</c:v>
                </c:pt>
                <c:pt idx="17">
                  <c:v>11910.303559938975</c:v>
                </c:pt>
                <c:pt idx="18">
                  <c:v>13864.128578198104</c:v>
                </c:pt>
                <c:pt idx="19">
                  <c:v>13797.445499185789</c:v>
                </c:pt>
                <c:pt idx="20">
                  <c:v>29520.191616766468</c:v>
                </c:pt>
                <c:pt idx="21">
                  <c:v>29312.200261053269</c:v>
                </c:pt>
                <c:pt idx="22">
                  <c:v>24955.663334579942</c:v>
                </c:pt>
                <c:pt idx="23">
                  <c:v>27809.021829550908</c:v>
                </c:pt>
                <c:pt idx="24">
                  <c:v>12227.784186088866</c:v>
                </c:pt>
                <c:pt idx="25">
                  <c:v>12567.558271595544</c:v>
                </c:pt>
                <c:pt idx="26">
                  <c:v>11745.240156478721</c:v>
                </c:pt>
                <c:pt idx="27">
                  <c:v>11340.234838146478</c:v>
                </c:pt>
                <c:pt idx="28">
                  <c:v>6087.8175431536993</c:v>
                </c:pt>
                <c:pt idx="29">
                  <c:v>9990.7776309483434</c:v>
                </c:pt>
                <c:pt idx="30">
                  <c:v>13176.068951319741</c:v>
                </c:pt>
                <c:pt idx="31">
                  <c:v>7728.0934860918051</c:v>
                </c:pt>
                <c:pt idx="32">
                  <c:v>6070.467256216748</c:v>
                </c:pt>
                <c:pt idx="33">
                  <c:v>8231.7825671487262</c:v>
                </c:pt>
                <c:pt idx="34">
                  <c:v>10793.329088845192</c:v>
                </c:pt>
                <c:pt idx="35">
                  <c:v>10207.21915636939</c:v>
                </c:pt>
                <c:pt idx="36">
                  <c:v>10736.866559312935</c:v>
                </c:pt>
                <c:pt idx="37">
                  <c:v>10166.556502413796</c:v>
                </c:pt>
                <c:pt idx="38">
                  <c:v>6682.9128324955736</c:v>
                </c:pt>
                <c:pt idx="39">
                  <c:v>12748.486891556373</c:v>
                </c:pt>
                <c:pt idx="40">
                  <c:v>13531.890830953098</c:v>
                </c:pt>
                <c:pt idx="41">
                  <c:v>12623.692486033304</c:v>
                </c:pt>
                <c:pt idx="42">
                  <c:v>6129.8953727416438</c:v>
                </c:pt>
                <c:pt idx="43">
                  <c:v>6120.7369119304358</c:v>
                </c:pt>
                <c:pt idx="44">
                  <c:v>12814.530156902363</c:v>
                </c:pt>
                <c:pt idx="45">
                  <c:v>12831.921189840901</c:v>
                </c:pt>
              </c:numCache>
            </c:numRef>
          </c:val>
          <c:smooth val="0"/>
          <c:extLst>
            <c:ext xmlns:c16="http://schemas.microsoft.com/office/drawing/2014/chart" uri="{C3380CC4-5D6E-409C-BE32-E72D297353CC}">
              <c16:uniqueId val="{00000002-8DD1-4E4A-8FFC-CCD4175B68D8}"/>
            </c:ext>
          </c:extLst>
        </c:ser>
        <c:ser>
          <c:idx val="1"/>
          <c:order val="4"/>
          <c:tx>
            <c:strRef>
              <c:f>'2.2_data'!$B$103</c:f>
              <c:strCache>
                <c:ptCount val="1"/>
                <c:pt idx="0">
                  <c:v>75th percentile</c:v>
                </c:pt>
              </c:strCache>
            </c:strRef>
          </c:tx>
          <c:spPr>
            <a:ln w="25400">
              <a:noFill/>
            </a:ln>
          </c:spPr>
          <c:marker>
            <c:symbol val="none"/>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'2.2_data'!$C$103:$AV$103</c:f>
              <c:numCache>
                <c:formatCode>0</c:formatCode>
                <c:ptCount val="46"/>
                <c:pt idx="0">
                  <c:v>19200.805792027</c:v>
                </c:pt>
                <c:pt idx="1">
                  <c:v>18974.260417256759</c:v>
                </c:pt>
                <c:pt idx="2">
                  <c:v>28351.099352918216</c:v>
                </c:pt>
                <c:pt idx="3">
                  <c:v>29764.895986216154</c:v>
                </c:pt>
                <c:pt idx="4">
                  <c:v>22838.119066440795</c:v>
                </c:pt>
                <c:pt idx="5">
                  <c:v>24029.114019075365</c:v>
                </c:pt>
                <c:pt idx="6">
                  <c:v>20209.896326411275</c:v>
                </c:pt>
                <c:pt idx="7">
                  <c:v>20264.572910258816</c:v>
                </c:pt>
                <c:pt idx="8">
                  <c:v>24145.65795796286</c:v>
                </c:pt>
                <c:pt idx="9">
                  <c:v>26350.162988133408</c:v>
                </c:pt>
                <c:pt idx="10">
                  <c:v>20698.71959183674</c:v>
                </c:pt>
                <c:pt idx="11">
                  <c:v>20232.954932216704</c:v>
                </c:pt>
                <c:pt idx="12">
                  <c:v>26870.991554501823</c:v>
                </c:pt>
                <c:pt idx="13">
                  <c:v>25174.306559230889</c:v>
                </c:pt>
                <c:pt idx="14">
                  <c:v>32596.165279569806</c:v>
                </c:pt>
                <c:pt idx="15">
                  <c:v>37405.495005957477</c:v>
                </c:pt>
                <c:pt idx="16">
                  <c:v>32594.370658045802</c:v>
                </c:pt>
                <c:pt idx="17">
                  <c:v>29658.380288011977</c:v>
                </c:pt>
                <c:pt idx="18">
                  <c:v>19820.227104857768</c:v>
                </c:pt>
                <c:pt idx="19">
                  <c:v>20688.019430050139</c:v>
                </c:pt>
                <c:pt idx="20">
                  <c:v>44271.112388794536</c:v>
                </c:pt>
                <c:pt idx="21">
                  <c:v>38859.242801574561</c:v>
                </c:pt>
                <c:pt idx="22">
                  <c:v>56667.929451648699</c:v>
                </c:pt>
                <c:pt idx="23">
                  <c:v>55511.663793685424</c:v>
                </c:pt>
                <c:pt idx="24">
                  <c:v>24117.18156220446</c:v>
                </c:pt>
                <c:pt idx="25">
                  <c:v>23160.270367642981</c:v>
                </c:pt>
                <c:pt idx="26">
                  <c:v>17968.864820079292</c:v>
                </c:pt>
                <c:pt idx="27">
                  <c:v>17417.912220888553</c:v>
                </c:pt>
                <c:pt idx="28">
                  <c:v>18091.252730622356</c:v>
                </c:pt>
                <c:pt idx="29">
                  <c:v>17813.131203647779</c:v>
                </c:pt>
                <c:pt idx="30">
                  <c:v>22381.384926429419</c:v>
                </c:pt>
                <c:pt idx="31">
                  <c:v>23436.740846577723</c:v>
                </c:pt>
                <c:pt idx="32">
                  <c:v>17913.157472986495</c:v>
                </c:pt>
                <c:pt idx="33">
                  <c:v>17511.766810184497</c:v>
                </c:pt>
                <c:pt idx="34">
                  <c:v>16612.409132661029</c:v>
                </c:pt>
                <c:pt idx="35">
                  <c:v>17586.314183761988</c:v>
                </c:pt>
                <c:pt idx="36">
                  <c:v>18465.051194061023</c:v>
                </c:pt>
                <c:pt idx="37">
                  <c:v>18232.155286580761</c:v>
                </c:pt>
                <c:pt idx="38">
                  <c:v>22752.045247060982</c:v>
                </c:pt>
                <c:pt idx="39">
                  <c:v>24402.078061434171</c:v>
                </c:pt>
                <c:pt idx="40">
                  <c:v>30040.185663424691</c:v>
                </c:pt>
                <c:pt idx="41">
                  <c:v>#N/A</c:v>
                </c:pt>
                <c:pt idx="42">
                  <c:v>20595.786700516772</c:v>
                </c:pt>
                <c:pt idx="43">
                  <c:v>23608.372094472288</c:v>
                </c:pt>
                <c:pt idx="44">
                  <c:v>19959.353384402508</c:v>
                </c:pt>
                <c:pt idx="45">
                  <c:v>20200.543743198265</c:v>
                </c:pt>
              </c:numCache>
            </c:numRef>
          </c:val>
          <c:smooth val="0"/>
          <c:extLst>
            <c:ext xmlns:c16="http://schemas.microsoft.com/office/drawing/2014/chart" uri="{C3380CC4-5D6E-409C-BE32-E72D297353CC}">
              <c16:uniqueId val="{00000003-8DD1-4E4A-8FFC-CCD4175B68D8}"/>
            </c:ext>
          </c:extLst>
        </c:ser>
        <c:dLbls>
          <c:showLegendKey val="0"/>
          <c:showVal val="0"/>
          <c:showCatName val="0"/>
          <c:showSerName val="0"/>
          <c:showPercent val="0"/>
          <c:showBubbleSize val="0"/>
        </c:dLbls>
        <c:hiLowLines>
          <c:spPr>
            <a:ln>
              <a:solidFill>
                <a:srgbClr val="00ABAB"/>
              </a:solidFill>
            </a:ln>
          </c:spPr>
        </c:hiLowLines>
        <c:upDownBars>
          <c:gapWidth val="150"/>
          <c:upBars>
            <c:spPr>
              <a:solidFill>
                <a:srgbClr val="00ABAB"/>
              </a:solidFill>
              <a:ln>
                <a:solidFill>
                  <a:srgbClr val="00ABAB"/>
                </a:solidFill>
              </a:ln>
            </c:spPr>
          </c:upBars>
          <c:downBars/>
        </c:upDownBars>
        <c:axId val="1627822991"/>
        <c:axId val="1627805103"/>
      </c:stockChart>
      <c:stockChart>
        <c:ser>
          <c:idx val="4"/>
          <c:order val="2"/>
          <c:tx>
            <c:v>Mean</c:v>
          </c:tx>
          <c:spPr>
            <a:ln w="25400">
              <a:noFill/>
            </a:ln>
          </c:spPr>
          <c:marker>
            <c:symbol val="diamond"/>
            <c:size val="5"/>
            <c:spPr>
              <a:solidFill>
                <a:schemeClr val="tx2"/>
              </a:solidFill>
              <a:ln>
                <a:solidFill>
                  <a:schemeClr val="tx2"/>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'2.2_data'!$C$100:$AV$100</c:f>
              <c:numCache>
                <c:formatCode>0</c:formatCode>
                <c:ptCount val="46"/>
                <c:pt idx="0">
                  <c:v>16739.948435161368</c:v>
                </c:pt>
                <c:pt idx="1">
                  <c:v>16915.455290914033</c:v>
                </c:pt>
                <c:pt idx="2">
                  <c:v>23791.483054600834</c:v>
                </c:pt>
                <c:pt idx="3">
                  <c:v>22686.609034511152</c:v>
                </c:pt>
                <c:pt idx="4">
                  <c:v>21795.771298341948</c:v>
                </c:pt>
                <c:pt idx="5">
                  <c:v>21420.842657612513</c:v>
                </c:pt>
                <c:pt idx="6">
                  <c:v>17180.712058813355</c:v>
                </c:pt>
                <c:pt idx="7">
                  <c:v>17216.293820151936</c:v>
                </c:pt>
                <c:pt idx="8">
                  <c:v>21154.373601381831</c:v>
                </c:pt>
                <c:pt idx="9">
                  <c:v>21546.355871972355</c:v>
                </c:pt>
                <c:pt idx="10">
                  <c:v>18224.499268318355</c:v>
                </c:pt>
                <c:pt idx="11">
                  <c:v>18251.479825003538</c:v>
                </c:pt>
                <c:pt idx="12">
                  <c:v>22419.267636032404</c:v>
                </c:pt>
                <c:pt idx="13">
                  <c:v>21729.741545666977</c:v>
                </c:pt>
                <c:pt idx="14">
                  <c:v>29027.523832964398</c:v>
                </c:pt>
                <c:pt idx="15">
                  <c:v>29153.242981607877</c:v>
                </c:pt>
                <c:pt idx="16">
                  <c:v>29969.684663193591</c:v>
                </c:pt>
                <c:pt idx="17">
                  <c:v>27960.838264321053</c:v>
                </c:pt>
                <c:pt idx="18">
                  <c:v>17927.808122097525</c:v>
                </c:pt>
                <c:pt idx="19">
                  <c:v>17957.656407109396</c:v>
                </c:pt>
                <c:pt idx="20">
                  <c:v>37465.455031968537</c:v>
                </c:pt>
                <c:pt idx="21">
                  <c:v>37443.785298781484</c:v>
                </c:pt>
                <c:pt idx="22">
                  <c:v>47646.549348602435</c:v>
                </c:pt>
                <c:pt idx="23">
                  <c:v>46535.459610233709</c:v>
                </c:pt>
                <c:pt idx="24">
                  <c:v>19455.502597790375</c:v>
                </c:pt>
                <c:pt idx="25">
                  <c:v>19434.829844356093</c:v>
                </c:pt>
                <c:pt idx="26">
                  <c:v>15493.570160560932</c:v>
                </c:pt>
                <c:pt idx="27">
                  <c:v>15259.399328009224</c:v>
                </c:pt>
                <c:pt idx="28">
                  <c:v>15134.856647380531</c:v>
                </c:pt>
                <c:pt idx="29">
                  <c:v>15423.996739483629</c:v>
                </c:pt>
                <c:pt idx="30">
                  <c:v>17175.269293063404</c:v>
                </c:pt>
                <c:pt idx="31">
                  <c:v>18236.726039911187</c:v>
                </c:pt>
                <c:pt idx="32">
                  <c:v>15222.040459154516</c:v>
                </c:pt>
                <c:pt idx="33">
                  <c:v>14940.847058467607</c:v>
                </c:pt>
                <c:pt idx="34">
                  <c:v>14637.667333418298</c:v>
                </c:pt>
                <c:pt idx="35">
                  <c:v>14835.922701195024</c:v>
                </c:pt>
                <c:pt idx="36">
                  <c:v>16018.502704542763</c:v>
                </c:pt>
                <c:pt idx="37">
                  <c:v>16249.460023695277</c:v>
                </c:pt>
                <c:pt idx="38">
                  <c:v>20572.606200472273</c:v>
                </c:pt>
                <c:pt idx="39">
                  <c:v>21216.758915848324</c:v>
                </c:pt>
                <c:pt idx="40">
                  <c:v>15480.67259280725</c:v>
                </c:pt>
                <c:pt idx="41">
                  <c:v>13412.378518881464</c:v>
                </c:pt>
                <c:pt idx="42">
                  <c:v>14497.042021307949</c:v>
                </c:pt>
                <c:pt idx="43">
                  <c:v>18053.193492180151</c:v>
                </c:pt>
                <c:pt idx="44">
                  <c:v>17863.368408973845</c:v>
                </c:pt>
                <c:pt idx="45">
                  <c:v>17937.311611692348</c:v>
                </c:pt>
              </c:numCache>
            </c:numRef>
          </c:val>
          <c:smooth val="0"/>
          <c:extLst>
            <c:ext xmlns:c16="http://schemas.microsoft.com/office/drawing/2014/chart" uri="{C3380CC4-5D6E-409C-BE32-E72D297353CC}">
              <c16:uniqueId val="{00000004-8DD1-4E4A-8FFC-CCD4175B68D8}"/>
            </c:ext>
          </c:extLst>
        </c:ser>
        <c:dLbls>
          <c:showLegendKey val="0"/>
          <c:showVal val="0"/>
          <c:showCatName val="0"/>
          <c:showSerName val="0"/>
          <c:showPercent val="0"/>
          <c:showBubbleSize val="0"/>
        </c:dLbls>
        <c:axId val="1627822991"/>
        <c:axId val="1627805103"/>
      </c:stockChart>
      <c:catAx>
        <c:axId val="1627822991"/>
        <c:scaling>
          <c:orientation val="minMax"/>
        </c:scaling>
        <c:delete val="0"/>
        <c:axPos val="b"/>
        <c:majorGridlines>
          <c:spPr>
            <a:ln>
              <a:solidFill>
                <a:schemeClr val="tx1"/>
              </a:solidFill>
            </a:ln>
          </c:spPr>
        </c:majorGridlines>
        <c:numFmt formatCode="General" sourceLinked="1"/>
        <c:majorTickMark val="out"/>
        <c:minorTickMark val="none"/>
        <c:tickLblPos val="nextTo"/>
        <c:spPr>
          <a:ln>
            <a:solidFill>
              <a:schemeClr val="tx1"/>
            </a:solidFill>
          </a:ln>
        </c:spPr>
        <c:txPr>
          <a:bodyPr rot="-2940000"/>
          <a:lstStyle/>
          <a:p>
            <a:pPr>
              <a:defRPr sz="700"/>
            </a:pPr>
            <a:endParaRPr lang="en-US"/>
          </a:p>
        </c:txPr>
        <c:crossAx val="1627805103"/>
        <c:crosses val="autoZero"/>
        <c:auto val="1"/>
        <c:lblAlgn val="ctr"/>
        <c:lblOffset val="100"/>
        <c:tickMarkSkip val="2"/>
        <c:noMultiLvlLbl val="0"/>
      </c:catAx>
      <c:valAx>
        <c:axId val="1627805103"/>
        <c:scaling>
          <c:orientation val="minMax"/>
        </c:scaling>
        <c:delete val="0"/>
        <c:axPos val="l"/>
        <c:majorGridlines>
          <c:spPr>
            <a:ln>
              <a:noFill/>
            </a:ln>
          </c:spPr>
        </c:majorGridlines>
        <c:numFmt formatCode="&quot;$&quot;#,##0" sourceLinked="0"/>
        <c:majorTickMark val="out"/>
        <c:minorTickMark val="none"/>
        <c:tickLblPos val="nextTo"/>
        <c:spPr>
          <a:ln>
            <a:solidFill>
              <a:schemeClr val="tx1"/>
            </a:solidFill>
          </a:ln>
        </c:spPr>
        <c:crossAx val="1627822991"/>
        <c:crosses val="autoZero"/>
        <c:crossBetween val="between"/>
      </c:valAx>
    </c:plotArea>
    <c:plotVisOnly val="1"/>
    <c:dispBlanksAs val="gap"/>
    <c:showDLblsOverMax val="0"/>
  </c:chart>
  <c:spPr>
    <a:ln>
      <a:noFill/>
    </a:ln>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75311208454862"/>
          <c:y val="6.549126627982034E-2"/>
          <c:w val="0.83356530807691975"/>
          <c:h val="0.77873954030022763"/>
        </c:manualLayout>
      </c:layout>
      <c:barChart>
        <c:barDir val="col"/>
        <c:grouping val="clustered"/>
        <c:varyColors val="0"/>
        <c:ser>
          <c:idx val="1"/>
          <c:order val="0"/>
          <c:tx>
            <c:strRef>
              <c:f>'2.1_data'!$X$112</c:f>
              <c:strCache>
                <c:ptCount val="1"/>
                <c:pt idx="0">
                  <c:v>2018</c:v>
                </c:pt>
              </c:strCache>
            </c:strRef>
          </c:tx>
          <c:spPr>
            <a:solidFill>
              <a:srgbClr val="BFBFBF"/>
            </a:solidFill>
            <a:ln>
              <a:noFill/>
            </a:ln>
            <a:effectLst/>
          </c:spPr>
          <c:invertIfNegative val="0"/>
          <c:val>
            <c:numRef>
              <c:f>'2.1_data'!$X$113:$X$144</c:f>
              <c:numCache>
                <c:formatCode>"$"#,##0</c:formatCode>
                <c:ptCount val="32"/>
                <c:pt idx="0">
                  <c:v>13566.949669116155</c:v>
                </c:pt>
                <c:pt idx="1">
                  <c:v>14557.429759862267</c:v>
                </c:pt>
                <c:pt idx="2">
                  <c:v>14920.680313157678</c:v>
                </c:pt>
                <c:pt idx="3">
                  <c:v>15071.756331255034</c:v>
                </c:pt>
                <c:pt idx="4">
                  <c:v>15097.199766345635</c:v>
                </c:pt>
                <c:pt idx="5">
                  <c:v>15880.478885388558</c:v>
                </c:pt>
                <c:pt idx="6">
                  <c:v>15939.189597535787</c:v>
                </c:pt>
                <c:pt idx="7">
                  <c:v>16465.812095789275</c:v>
                </c:pt>
                <c:pt idx="8">
                  <c:v>16584.881969184182</c:v>
                </c:pt>
                <c:pt idx="9">
                  <c:v>16900.948920069368</c:v>
                </c:pt>
                <c:pt idx="10">
                  <c:v>16951.467471655775</c:v>
                </c:pt>
                <c:pt idx="11">
                  <c:v>17387.866577838653</c:v>
                </c:pt>
                <c:pt idx="12">
                  <c:v>17689.253823291121</c:v>
                </c:pt>
                <c:pt idx="13">
                  <c:v>18111.550149075618</c:v>
                </c:pt>
                <c:pt idx="14">
                  <c:v>18487.466612889311</c:v>
                </c:pt>
                <c:pt idx="15">
                  <c:v>18957.966172239961</c:v>
                </c:pt>
                <c:pt idx="16">
                  <c:v>19021.780811853521</c:v>
                </c:pt>
                <c:pt idx="17">
                  <c:v>19040.836691636541</c:v>
                </c:pt>
                <c:pt idx="18">
                  <c:v>19134.032804371302</c:v>
                </c:pt>
                <c:pt idx="19">
                  <c:v>19365.489565539683</c:v>
                </c:pt>
                <c:pt idx="20">
                  <c:v>19484.156564667221</c:v>
                </c:pt>
                <c:pt idx="21">
                  <c:v>19558.20751974298</c:v>
                </c:pt>
                <c:pt idx="22">
                  <c:v>19567.113622857018</c:v>
                </c:pt>
                <c:pt idx="23">
                  <c:v>19632.92850645931</c:v>
                </c:pt>
                <c:pt idx="24">
                  <c:v>19742.325431170542</c:v>
                </c:pt>
                <c:pt idx="25">
                  <c:v>20934.484726680155</c:v>
                </c:pt>
                <c:pt idx="26">
                  <c:v>20936.782935201983</c:v>
                </c:pt>
                <c:pt idx="27">
                  <c:v>21308.756805530287</c:v>
                </c:pt>
                <c:pt idx="28">
                  <c:v>21914.150397626432</c:v>
                </c:pt>
                <c:pt idx="29">
                  <c:v>22787.101671366494</c:v>
                </c:pt>
                <c:pt idx="30">
                  <c:v>23048.369606763925</c:v>
                </c:pt>
                <c:pt idx="31">
                  <c:v>23650.386114379195</c:v>
                </c:pt>
              </c:numCache>
            </c:numRef>
          </c:val>
          <c:extLst>
            <c:ext xmlns:c16="http://schemas.microsoft.com/office/drawing/2014/chart" uri="{C3380CC4-5D6E-409C-BE32-E72D297353CC}">
              <c16:uniqueId val="{00000000-CB49-4E5A-818E-85FA852C767D}"/>
            </c:ext>
          </c:extLst>
        </c:ser>
        <c:ser>
          <c:idx val="0"/>
          <c:order val="1"/>
          <c:tx>
            <c:strRef>
              <c:f>'2.1_data'!$Y$112</c:f>
              <c:strCache>
                <c:ptCount val="1"/>
                <c:pt idx="0">
                  <c:v>2019</c:v>
                </c:pt>
              </c:strCache>
            </c:strRef>
          </c:tx>
          <c:spPr>
            <a:solidFill>
              <a:srgbClr val="00ABAB"/>
            </a:solidFill>
            <a:ln>
              <a:noFill/>
              <a:prstDash val="sysDash"/>
            </a:ln>
            <a:effectLst/>
          </c:spPr>
          <c:invertIfNegative val="0"/>
          <c:val>
            <c:numRef>
              <c:f>'2.1_data'!$Y$113:$Y$144</c:f>
              <c:numCache>
                <c:formatCode>"$"#,##0</c:formatCode>
                <c:ptCount val="32"/>
                <c:pt idx="0">
                  <c:v>13072.529648184578</c:v>
                </c:pt>
                <c:pt idx="1">
                  <c:v>15640.475641192908</c:v>
                </c:pt>
                <c:pt idx="2">
                  <c:v>15555.339838188489</c:v>
                </c:pt>
                <c:pt idx="3">
                  <c:v>16193.718284741915</c:v>
                </c:pt>
                <c:pt idx="4">
                  <c:v>15231.017515137963</c:v>
                </c:pt>
                <c:pt idx="5">
                  <c:v>17855.394248357679</c:v>
                </c:pt>
                <c:pt idx="6">
                  <c:v>16479.798033174167</c:v>
                </c:pt>
                <c:pt idx="7">
                  <c:v>16921.173889514561</c:v>
                </c:pt>
                <c:pt idx="8">
                  <c:v>17051.67556899874</c:v>
                </c:pt>
                <c:pt idx="9">
                  <c:v>17670.545016249627</c:v>
                </c:pt>
                <c:pt idx="10">
                  <c:v>16833.736251209873</c:v>
                </c:pt>
                <c:pt idx="11">
                  <c:v>15497.309424493082</c:v>
                </c:pt>
                <c:pt idx="12">
                  <c:v>16913.724854130993</c:v>
                </c:pt>
                <c:pt idx="13">
                  <c:v>19158.329861332262</c:v>
                </c:pt>
                <c:pt idx="14">
                  <c:v>19134.532454703683</c:v>
                </c:pt>
                <c:pt idx="15">
                  <c:v>21353.50074831146</c:v>
                </c:pt>
                <c:pt idx="16">
                  <c:v>19523.169811242391</c:v>
                </c:pt>
                <c:pt idx="17">
                  <c:v>19387.478516278945</c:v>
                </c:pt>
                <c:pt idx="18">
                  <c:v>19648.318785160114</c:v>
                </c:pt>
                <c:pt idx="19">
                  <c:v>20382.333824193269</c:v>
                </c:pt>
                <c:pt idx="20">
                  <c:v>18123.446892384567</c:v>
                </c:pt>
                <c:pt idx="21">
                  <c:v>20837.38866043077</c:v>
                </c:pt>
                <c:pt idx="22">
                  <c:v>15763.61148247607</c:v>
                </c:pt>
                <c:pt idx="23">
                  <c:v>19038.575018777297</c:v>
                </c:pt>
                <c:pt idx="24">
                  <c:v>19652.388268774008</c:v>
                </c:pt>
                <c:pt idx="25">
                  <c:v>20752.834259178049</c:v>
                </c:pt>
                <c:pt idx="26">
                  <c:v>20999.19105767725</c:v>
                </c:pt>
                <c:pt idx="27">
                  <c:v>18909.966299912016</c:v>
                </c:pt>
                <c:pt idx="28">
                  <c:v>22270.237790035077</c:v>
                </c:pt>
                <c:pt idx="29">
                  <c:v>22108.244723376112</c:v>
                </c:pt>
                <c:pt idx="30">
                  <c:v>21419.810102977397</c:v>
                </c:pt>
                <c:pt idx="31">
                  <c:v>24801.547347162508</c:v>
                </c:pt>
              </c:numCache>
            </c:numRef>
          </c:val>
          <c:extLst>
            <c:ext xmlns:c16="http://schemas.microsoft.com/office/drawing/2014/chart" uri="{C3380CC4-5D6E-409C-BE32-E72D297353CC}">
              <c16:uniqueId val="{00000001-CB49-4E5A-818E-85FA852C767D}"/>
            </c:ext>
          </c:extLst>
        </c:ser>
        <c:ser>
          <c:idx val="2"/>
          <c:order val="2"/>
          <c:tx>
            <c:strRef>
              <c:f>'2.1_data'!$Z$112</c:f>
              <c:strCache>
                <c:ptCount val="1"/>
                <c:pt idx="0">
                  <c:v>2020</c:v>
                </c:pt>
              </c:strCache>
            </c:strRef>
          </c:tx>
          <c:spPr>
            <a:solidFill>
              <a:schemeClr val="tx2"/>
            </a:solidFill>
            <a:ln>
              <a:solidFill>
                <a:srgbClr val="002776"/>
              </a:solidFill>
            </a:ln>
            <a:effectLst/>
          </c:spPr>
          <c:invertIfNegative val="0"/>
          <c:dPt>
            <c:idx val="36"/>
            <c:invertIfNegative val="0"/>
            <c:bubble3D val="0"/>
            <c:spPr>
              <a:solidFill>
                <a:schemeClr val="tx2"/>
              </a:solidFill>
              <a:ln>
                <a:noFill/>
              </a:ln>
              <a:effectLst/>
            </c:spPr>
            <c:extLst>
              <c:ext xmlns:c16="http://schemas.microsoft.com/office/drawing/2014/chart" uri="{C3380CC4-5D6E-409C-BE32-E72D297353CC}">
                <c16:uniqueId val="{00000003-CB49-4E5A-818E-85FA852C767D}"/>
              </c:ext>
            </c:extLst>
          </c:dPt>
          <c:val>
            <c:numRef>
              <c:f>'2.1_data'!$Z$113:$Z$144</c:f>
              <c:numCache>
                <c:formatCode>"$"#,##0</c:formatCode>
                <c:ptCount val="32"/>
                <c:pt idx="0">
                  <c:v>13302.036231483533</c:v>
                </c:pt>
                <c:pt idx="1">
                  <c:v>16312.144440782451</c:v>
                </c:pt>
                <c:pt idx="2">
                  <c:v>15731.374217444811</c:v>
                </c:pt>
                <c:pt idx="3">
                  <c:v>21491.468711782734</c:v>
                </c:pt>
                <c:pt idx="4">
                  <c:v>15643.86658426585</c:v>
                </c:pt>
                <c:pt idx="5">
                  <c:v>17918.648636978633</c:v>
                </c:pt>
                <c:pt idx="6">
                  <c:v>15287.782798992257</c:v>
                </c:pt>
                <c:pt idx="7">
                  <c:v>16339.995826033037</c:v>
                </c:pt>
                <c:pt idx="8">
                  <c:v>16851.635253916222</c:v>
                </c:pt>
                <c:pt idx="9">
                  <c:v>18195.669841514671</c:v>
                </c:pt>
                <c:pt idx="10">
                  <c:v>16725.533133795056</c:v>
                </c:pt>
                <c:pt idx="11">
                  <c:v>15996.293920295102</c:v>
                </c:pt>
                <c:pt idx="12">
                  <c:v>17166.620336028809</c:v>
                </c:pt>
                <c:pt idx="13">
                  <c:v>19435.214611342148</c:v>
                </c:pt>
                <c:pt idx="14">
                  <c:v>16855.510270291001</c:v>
                </c:pt>
                <c:pt idx="15">
                  <c:v>19441.961178128386</c:v>
                </c:pt>
                <c:pt idx="16">
                  <c:v>19912.181353275922</c:v>
                </c:pt>
                <c:pt idx="17">
                  <c:v>18389.052175864173</c:v>
                </c:pt>
                <c:pt idx="18">
                  <c:v>17418.164520684601</c:v>
                </c:pt>
                <c:pt idx="19">
                  <c:v>20677.513888504109</c:v>
                </c:pt>
                <c:pt idx="20">
                  <c:v>19895.075497373444</c:v>
                </c:pt>
                <c:pt idx="21">
                  <c:v>22147.869327140146</c:v>
                </c:pt>
                <c:pt idx="22">
                  <c:v>16552.124482208714</c:v>
                </c:pt>
                <c:pt idx="23">
                  <c:v>20156.164762153359</c:v>
                </c:pt>
                <c:pt idx="24">
                  <c:v>18655.901467135431</c:v>
                </c:pt>
                <c:pt idx="25">
                  <c:v>19558.133654956237</c:v>
                </c:pt>
                <c:pt idx="26">
                  <c:v>21445.494876122772</c:v>
                </c:pt>
                <c:pt idx="27">
                  <c:v>16040.442853754799</c:v>
                </c:pt>
                <c:pt idx="28">
                  <c:v>22754.159068165663</c:v>
                </c:pt>
                <c:pt idx="29">
                  <c:v>22844.52905858291</c:v>
                </c:pt>
                <c:pt idx="30">
                  <c:v>23543.25858553527</c:v>
                </c:pt>
                <c:pt idx="31">
                  <c:v>25762.805761524363</c:v>
                </c:pt>
              </c:numCache>
            </c:numRef>
          </c:val>
          <c:extLst>
            <c:ext xmlns:c16="http://schemas.microsoft.com/office/drawing/2014/chart" uri="{C3380CC4-5D6E-409C-BE32-E72D297353CC}">
              <c16:uniqueId val="{00000004-CB49-4E5A-818E-85FA852C767D}"/>
            </c:ext>
          </c:extLst>
        </c:ser>
        <c:dLbls>
          <c:showLegendKey val="0"/>
          <c:showVal val="0"/>
          <c:showCatName val="0"/>
          <c:showSerName val="0"/>
          <c:showPercent val="0"/>
          <c:showBubbleSize val="0"/>
        </c:dLbls>
        <c:gapWidth val="171"/>
        <c:axId val="580713951"/>
        <c:axId val="580714783"/>
      </c:barChart>
      <c:catAx>
        <c:axId val="580713951"/>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(32)</a:t>
                </a:r>
              </a:p>
            </c:rich>
          </c:tx>
          <c:layout>
            <c:manualLayout>
              <c:xMode val="edge"/>
              <c:yMode val="edge"/>
              <c:x val="0.4206516582579089"/>
              <c:y val="0.8703045138886670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max val="25000"/>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valAx>
      <c:spPr>
        <a:noFill/>
        <a:ln>
          <a:noFill/>
        </a:ln>
        <a:effectLst/>
      </c:spPr>
    </c:plotArea>
    <c:legend>
      <c:legendPos val="b"/>
      <c:layout>
        <c:manualLayout>
          <c:xMode val="edge"/>
          <c:yMode val="edge"/>
          <c:x val="0.3863457035193783"/>
          <c:y val="0.92443783206093233"/>
          <c:w val="0.23341790624655606"/>
          <c:h val="6.565066339679136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2019</c:v>
          </c:tx>
          <c:spPr>
            <a:solidFill>
              <a:srgbClr val="00ABAB"/>
            </a:solidFill>
            <a:ln>
              <a:noFill/>
            </a:ln>
            <a:effectLst/>
          </c:spPr>
          <c:invertIfNegative val="0"/>
          <c:cat>
            <c:strRef>
              <c:f>'2.2_data'!$C$5:$X$5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'2.2_data'!$C$6:$X$6</c:f>
              <c:numCache>
                <c:formatCode>General</c:formatCode>
                <c:ptCount val="22"/>
                <c:pt idx="0">
                  <c:v>22</c:v>
                </c:pt>
                <c:pt idx="1">
                  <c:v>1</c:v>
                </c:pt>
                <c:pt idx="2">
                  <c:v>23</c:v>
                </c:pt>
                <c:pt idx="3">
                  <c:v>18</c:v>
                </c:pt>
                <c:pt idx="4">
                  <c:v>13</c:v>
                </c:pt>
                <c:pt idx="5">
                  <c:v>9</c:v>
                </c:pt>
                <c:pt idx="6">
                  <c:v>4</c:v>
                </c:pt>
                <c:pt idx="7">
                  <c:v>3</c:v>
                </c:pt>
                <c:pt idx="8">
                  <c:v>1</c:v>
                </c:pt>
                <c:pt idx="9">
                  <c:v>4</c:v>
                </c:pt>
                <c:pt idx="10">
                  <c:v>0</c:v>
                </c:pt>
                <c:pt idx="11">
                  <c:v>0</c:v>
                </c:pt>
                <c:pt idx="12">
                  <c:v>13</c:v>
                </c:pt>
                <c:pt idx="13">
                  <c:v>11</c:v>
                </c:pt>
                <c:pt idx="14">
                  <c:v>20</c:v>
                </c:pt>
                <c:pt idx="15">
                  <c:v>19</c:v>
                </c:pt>
                <c:pt idx="16">
                  <c:v>11</c:v>
                </c:pt>
                <c:pt idx="17">
                  <c:v>28</c:v>
                </c:pt>
                <c:pt idx="18">
                  <c:v>18</c:v>
                </c:pt>
                <c:pt idx="19">
                  <c:v>15</c:v>
                </c:pt>
                <c:pt idx="20">
                  <c:v>0</c:v>
                </c:pt>
                <c:pt idx="21">
                  <c:v>1</c:v>
                </c:pt>
              </c:numCache>
            </c:numRef>
          </c:val>
          <c:extLst>
            <c:ext xmlns:c16="http://schemas.microsoft.com/office/drawing/2014/chart" uri="{C3380CC4-5D6E-409C-BE32-E72D297353CC}">
              <c16:uniqueId val="{00000000-AFFF-4095-B0D4-0D3187D50C72}"/>
            </c:ext>
          </c:extLst>
        </c:ser>
        <c:ser>
          <c:idx val="4"/>
          <c:order val="1"/>
          <c:tx>
            <c:v>2020</c:v>
          </c:tx>
          <c:spPr>
            <a:solidFill>
              <a:schemeClr val="bg1">
                <a:lumMod val="75000"/>
              </a:schemeClr>
            </a:solidFill>
            <a:ln>
              <a:noFill/>
            </a:ln>
            <a:effectLst/>
          </c:spPr>
          <c:invertIfNegative val="0"/>
          <c:cat>
            <c:strRef>
              <c:f>'2.2_data'!$C$5:$X$5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'2.2_data'!$C$44:$X$44</c:f>
              <c:numCache>
                <c:formatCode>General</c:formatCode>
                <c:ptCount val="22"/>
                <c:pt idx="0">
                  <c:v>22</c:v>
                </c:pt>
                <c:pt idx="1">
                  <c:v>1</c:v>
                </c:pt>
                <c:pt idx="2">
                  <c:v>24</c:v>
                </c:pt>
                <c:pt idx="3">
                  <c:v>24</c:v>
                </c:pt>
                <c:pt idx="4">
                  <c:v>17</c:v>
                </c:pt>
                <c:pt idx="5">
                  <c:v>11</c:v>
                </c:pt>
                <c:pt idx="6">
                  <c:v>4</c:v>
                </c:pt>
                <c:pt idx="7">
                  <c:v>4</c:v>
                </c:pt>
                <c:pt idx="8">
                  <c:v>1</c:v>
                </c:pt>
                <c:pt idx="9">
                  <c:v>5</c:v>
                </c:pt>
                <c:pt idx="10">
                  <c:v>0</c:v>
                </c:pt>
                <c:pt idx="11">
                  <c:v>0</c:v>
                </c:pt>
                <c:pt idx="12">
                  <c:v>15</c:v>
                </c:pt>
                <c:pt idx="13">
                  <c:v>15</c:v>
                </c:pt>
                <c:pt idx="14">
                  <c:v>21</c:v>
                </c:pt>
                <c:pt idx="15">
                  <c:v>18</c:v>
                </c:pt>
                <c:pt idx="16">
                  <c:v>14</c:v>
                </c:pt>
                <c:pt idx="17">
                  <c:v>28</c:v>
                </c:pt>
                <c:pt idx="18">
                  <c:v>20</c:v>
                </c:pt>
                <c:pt idx="19">
                  <c:v>15</c:v>
                </c:pt>
                <c:pt idx="20">
                  <c:v>0</c:v>
                </c:pt>
                <c:pt idx="21">
                  <c:v>2</c:v>
                </c:pt>
              </c:numCache>
            </c:numRef>
          </c:val>
          <c:extLst>
            <c:ext xmlns:c16="http://schemas.microsoft.com/office/drawing/2014/chart" uri="{C3380CC4-5D6E-409C-BE32-E72D297353CC}">
              <c16:uniqueId val="{00000001-AFFF-4095-B0D4-0D3187D50C72}"/>
            </c:ext>
          </c:extLst>
        </c:ser>
        <c:dLbls>
          <c:showLegendKey val="0"/>
          <c:showVal val="0"/>
          <c:showCatName val="0"/>
          <c:showSerName val="0"/>
          <c:showPercent val="0"/>
          <c:showBubbleSize val="0"/>
        </c:dLbls>
        <c:gapWidth val="150"/>
        <c:axId val="1342594959"/>
        <c:axId val="1342597455"/>
        <c:extLst>
          <c:ext xmlns:c15="http://schemas.microsoft.com/office/drawing/2012/chart" uri="{02D57815-91ED-43cb-92C2-25804820EDAC}">
            <c15:filteredBarSeries>
              <c15:ser>
                <c:idx val="1"/>
                <c:order val="2"/>
                <c:tx>
                  <c:strRef>
                    <c:extLst>
                      <c:ext uri="{02D57815-91ED-43cb-92C2-25804820EDAC}">
                        <c15:formulaRef>
                          <c15:sqref>'2.2_data'!$B$7</c15:sqref>
                        </c15:formulaRef>
                      </c:ext>
                    </c:extLst>
                    <c:strCache>
                      <c:ptCount val="1"/>
                      <c:pt idx="0">
                        <c:v>Bachelor</c:v>
                      </c:pt>
                    </c:strCache>
                  </c:strRef>
                </c:tx>
                <c:spPr>
                  <a:solidFill>
                    <a:schemeClr val="bg1">
                      <a:lumMod val="75000"/>
                    </a:schemeClr>
                  </a:solidFill>
                  <a:ln>
                    <a:noFill/>
                  </a:ln>
                  <a:effectLst/>
                </c:spPr>
                <c:invertIfNegative val="0"/>
                <c:cat>
                  <c:strRef>
                    <c:extLst>
                      <c:ext uri="{02D57815-91ED-43cb-92C2-25804820EDAC}">
                        <c15:formulaRef>
                          <c15:sqref>'2.2_data'!$C$5:$X$5</c15:sqref>
                        </c15:formulaRef>
                      </c:ext>
                    </c:extLst>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extLst>
                      <c:ext uri="{02D57815-91ED-43cb-92C2-25804820EDAC}">
                        <c15:formulaRef>
                          <c15:sqref>'2.2_data'!$C$7:$X$7</c15:sqref>
                        </c15:formulaRef>
                      </c:ext>
                    </c:extLst>
                    <c:numCache>
                      <c:formatCode>General</c:formatCode>
                      <c:ptCount val="22"/>
                      <c:pt idx="0">
                        <c:v>37</c:v>
                      </c:pt>
                      <c:pt idx="1">
                        <c:v>30</c:v>
                      </c:pt>
                      <c:pt idx="2">
                        <c:v>37</c:v>
                      </c:pt>
                      <c:pt idx="3">
                        <c:v>37</c:v>
                      </c:pt>
                      <c:pt idx="4">
                        <c:v>37</c:v>
                      </c:pt>
                      <c:pt idx="5">
                        <c:v>31</c:v>
                      </c:pt>
                      <c:pt idx="6">
                        <c:v>35</c:v>
                      </c:pt>
                      <c:pt idx="7">
                        <c:v>23</c:v>
                      </c:pt>
                      <c:pt idx="8">
                        <c:v>29</c:v>
                      </c:pt>
                      <c:pt idx="9">
                        <c:v>32</c:v>
                      </c:pt>
                      <c:pt idx="10">
                        <c:v>11</c:v>
                      </c:pt>
                      <c:pt idx="11">
                        <c:v>9</c:v>
                      </c:pt>
                      <c:pt idx="12">
                        <c:v>37</c:v>
                      </c:pt>
                      <c:pt idx="13">
                        <c:v>36</c:v>
                      </c:pt>
                      <c:pt idx="14">
                        <c:v>37</c:v>
                      </c:pt>
                      <c:pt idx="15">
                        <c:v>29</c:v>
                      </c:pt>
                      <c:pt idx="16">
                        <c:v>37</c:v>
                      </c:pt>
                      <c:pt idx="17">
                        <c:v>37</c:v>
                      </c:pt>
                      <c:pt idx="18">
                        <c:v>37</c:v>
                      </c:pt>
                      <c:pt idx="19">
                        <c:v>37</c:v>
                      </c:pt>
                      <c:pt idx="20">
                        <c:v>3</c:v>
                      </c:pt>
                      <c:pt idx="21">
                        <c:v>6</c:v>
                      </c:pt>
                    </c:numCache>
                  </c:numRef>
                </c:val>
                <c:extLst>
                  <c:ext xmlns:c16="http://schemas.microsoft.com/office/drawing/2014/chart" uri="{C3380CC4-5D6E-409C-BE32-E72D297353CC}">
                    <c16:uniqueId val="{00000003-AFFF-4095-B0D4-0D3187D50C72}"/>
                  </c:ext>
                </c:extLst>
              </c15:ser>
            </c15:filteredBarSeries>
            <c15:filteredBarSeries>
              <c15:ser>
                <c:idx val="2"/>
                <c:order val="3"/>
                <c:tx>
                  <c:strRef>
                    <c:extLst xmlns:c15="http://schemas.microsoft.com/office/drawing/2012/chart">
                      <c:ext xmlns:c15="http://schemas.microsoft.com/office/drawing/2012/chart" uri="{02D57815-91ED-43cb-92C2-25804820EDAC}">
                        <c15:formulaRef>
                          <c15:sqref>'2.2_data'!$B$8</c15:sqref>
                        </c15:formulaRef>
                      </c:ext>
                    </c:extLst>
                    <c:strCache>
                      <c:ptCount val="1"/>
                      <c:pt idx="0">
                        <c:v>Postgraduate</c:v>
                      </c:pt>
                    </c:strCache>
                  </c:strRef>
                </c:tx>
                <c:spPr>
                  <a:solidFill>
                    <a:schemeClr val="tx2"/>
                  </a:solidFill>
                  <a:ln>
                    <a:noFill/>
                  </a:ln>
                  <a:effectLst/>
                </c:spPr>
                <c:invertIfNegative val="0"/>
                <c:cat>
                  <c:strRef>
                    <c:extLst xmlns:c15="http://schemas.microsoft.com/office/drawing/2012/chart">
                      <c:ext xmlns:c15="http://schemas.microsoft.com/office/drawing/2012/chart" uri="{02D57815-91ED-43cb-92C2-25804820EDAC}">
                        <c15:formulaRef>
                          <c15:sqref>'2.2_data'!$C$5:$X$5</c15:sqref>
                        </c15:formulaRef>
                      </c:ext>
                    </c:extLst>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extLst xmlns:c15="http://schemas.microsoft.com/office/drawing/2012/chart">
                      <c:ext xmlns:c15="http://schemas.microsoft.com/office/drawing/2012/chart" uri="{02D57815-91ED-43cb-92C2-25804820EDAC}">
                        <c15:formulaRef>
                          <c15:sqref>'2.2_data'!$C$8:$X$8</c15:sqref>
                        </c15:formulaRef>
                      </c:ext>
                    </c:extLst>
                    <c:numCache>
                      <c:formatCode>General</c:formatCode>
                      <c:ptCount val="22"/>
                      <c:pt idx="0">
                        <c:v>33</c:v>
                      </c:pt>
                      <c:pt idx="1">
                        <c:v>14</c:v>
                      </c:pt>
                      <c:pt idx="2">
                        <c:v>33</c:v>
                      </c:pt>
                      <c:pt idx="3">
                        <c:v>37</c:v>
                      </c:pt>
                      <c:pt idx="4">
                        <c:v>34</c:v>
                      </c:pt>
                      <c:pt idx="5">
                        <c:v>23</c:v>
                      </c:pt>
                      <c:pt idx="6">
                        <c:v>25</c:v>
                      </c:pt>
                      <c:pt idx="7">
                        <c:v>15</c:v>
                      </c:pt>
                      <c:pt idx="8">
                        <c:v>21</c:v>
                      </c:pt>
                      <c:pt idx="9">
                        <c:v>31</c:v>
                      </c:pt>
                      <c:pt idx="10">
                        <c:v>7</c:v>
                      </c:pt>
                      <c:pt idx="11">
                        <c:v>4</c:v>
                      </c:pt>
                      <c:pt idx="12">
                        <c:v>37</c:v>
                      </c:pt>
                      <c:pt idx="13">
                        <c:v>36</c:v>
                      </c:pt>
                      <c:pt idx="14">
                        <c:v>37</c:v>
                      </c:pt>
                      <c:pt idx="15">
                        <c:v>14</c:v>
                      </c:pt>
                      <c:pt idx="16">
                        <c:v>36</c:v>
                      </c:pt>
                      <c:pt idx="17">
                        <c:v>37</c:v>
                      </c:pt>
                      <c:pt idx="18">
                        <c:v>28</c:v>
                      </c:pt>
                      <c:pt idx="19">
                        <c:v>20</c:v>
                      </c:pt>
                      <c:pt idx="20">
                        <c:v>0</c:v>
                      </c:pt>
                      <c:pt idx="21">
                        <c:v>5</c:v>
                      </c:pt>
                    </c:numCache>
                  </c:numRef>
                </c:val>
                <c:extLst xmlns:c15="http://schemas.microsoft.com/office/drawing/2012/chart">
                  <c:ext xmlns:c16="http://schemas.microsoft.com/office/drawing/2014/chart" uri="{C3380CC4-5D6E-409C-BE32-E72D297353CC}">
                    <c16:uniqueId val="{00000004-AFFF-4095-B0D4-0D3187D50C72}"/>
                  </c:ext>
                </c:extLst>
              </c15:ser>
            </c15:filteredBarSeries>
          </c:ext>
        </c:extLst>
      </c:barChart>
      <c:lineChart>
        <c:grouping val="standard"/>
        <c:varyColors val="0"/>
        <c:ser>
          <c:idx val="3"/>
          <c:order val="4"/>
          <c:tx>
            <c:v>All 37 universities</c:v>
          </c:tx>
          <c:spPr>
            <a:ln w="28575" cap="rnd">
              <a:solidFill>
                <a:schemeClr val="tx2">
                  <a:lumMod val="20000"/>
                  <a:lumOff val="80000"/>
                </a:schemeClr>
              </a:solidFill>
              <a:prstDash val="dash"/>
              <a:round/>
            </a:ln>
            <a:effectLst/>
          </c:spPr>
          <c:marker>
            <c:symbol val="none"/>
          </c:marker>
          <c:val>
            <c:numRef>
              <c:f>'2.2_data'!$C$9:$X$9</c:f>
              <c:numCache>
                <c:formatCode>General</c:formatCode>
                <c:ptCount val="22"/>
                <c:pt idx="0">
                  <c:v>37</c:v>
                </c:pt>
                <c:pt idx="1">
                  <c:v>37</c:v>
                </c:pt>
                <c:pt idx="2">
                  <c:v>37</c:v>
                </c:pt>
                <c:pt idx="3">
                  <c:v>37</c:v>
                </c:pt>
                <c:pt idx="4">
                  <c:v>37</c:v>
                </c:pt>
                <c:pt idx="5">
                  <c:v>37</c:v>
                </c:pt>
                <c:pt idx="6">
                  <c:v>37</c:v>
                </c:pt>
                <c:pt idx="7">
                  <c:v>37</c:v>
                </c:pt>
                <c:pt idx="8">
                  <c:v>37</c:v>
                </c:pt>
                <c:pt idx="9">
                  <c:v>37</c:v>
                </c:pt>
                <c:pt idx="10">
                  <c:v>37</c:v>
                </c:pt>
                <c:pt idx="11">
                  <c:v>37</c:v>
                </c:pt>
                <c:pt idx="12">
                  <c:v>37</c:v>
                </c:pt>
                <c:pt idx="13">
                  <c:v>37</c:v>
                </c:pt>
                <c:pt idx="14">
                  <c:v>37</c:v>
                </c:pt>
                <c:pt idx="15">
                  <c:v>37</c:v>
                </c:pt>
                <c:pt idx="16">
                  <c:v>37</c:v>
                </c:pt>
                <c:pt idx="17">
                  <c:v>37</c:v>
                </c:pt>
                <c:pt idx="18">
                  <c:v>37</c:v>
                </c:pt>
                <c:pt idx="19">
                  <c:v>37</c:v>
                </c:pt>
                <c:pt idx="20">
                  <c:v>37</c:v>
                </c:pt>
                <c:pt idx="21">
                  <c:v>37</c:v>
                </c:pt>
              </c:numCache>
            </c:numRef>
          </c:val>
          <c:smooth val="0"/>
          <c:extLst>
            <c:ext xmlns:c16="http://schemas.microsoft.com/office/drawing/2014/chart" uri="{C3380CC4-5D6E-409C-BE32-E72D297353CC}">
              <c16:uniqueId val="{00000002-AFFF-4095-B0D4-0D3187D50C72}"/>
            </c:ext>
          </c:extLst>
        </c:ser>
        <c:dLbls>
          <c:showLegendKey val="0"/>
          <c:showVal val="0"/>
          <c:showCatName val="0"/>
          <c:showSerName val="0"/>
          <c:showPercent val="0"/>
          <c:showBubbleSize val="0"/>
        </c:dLbls>
        <c:marker val="1"/>
        <c:smooth val="0"/>
        <c:axId val="1342594959"/>
        <c:axId val="1342597455"/>
      </c:line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in val="0"/>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2019</c:v>
          </c:tx>
          <c:spPr>
            <a:solidFill>
              <a:srgbClr val="00ABAB"/>
            </a:solidFill>
            <a:ln>
              <a:solidFill>
                <a:srgbClr val="00ABAB"/>
              </a:solidFill>
            </a:ln>
            <a:effectLst/>
          </c:spPr>
          <c:invertIfNegative val="0"/>
          <c:cat>
            <c:strRef>
              <c:f>'2.2_data'!$C$5:$X$5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extLst xmlns:c15="http://schemas.microsoft.com/office/drawing/2012/chart"/>
            </c:strRef>
          </c:cat>
          <c:val>
            <c:numRef>
              <c:f>'2.2_data'!$C$7:$X$7</c:f>
              <c:numCache>
                <c:formatCode>General</c:formatCode>
                <c:ptCount val="22"/>
                <c:pt idx="0">
                  <c:v>37</c:v>
                </c:pt>
                <c:pt idx="1">
                  <c:v>30</c:v>
                </c:pt>
                <c:pt idx="2">
                  <c:v>37</c:v>
                </c:pt>
                <c:pt idx="3">
                  <c:v>37</c:v>
                </c:pt>
                <c:pt idx="4">
                  <c:v>37</c:v>
                </c:pt>
                <c:pt idx="5">
                  <c:v>31</c:v>
                </c:pt>
                <c:pt idx="6">
                  <c:v>35</c:v>
                </c:pt>
                <c:pt idx="7">
                  <c:v>23</c:v>
                </c:pt>
                <c:pt idx="8">
                  <c:v>29</c:v>
                </c:pt>
                <c:pt idx="9">
                  <c:v>32</c:v>
                </c:pt>
                <c:pt idx="10">
                  <c:v>11</c:v>
                </c:pt>
                <c:pt idx="11">
                  <c:v>9</c:v>
                </c:pt>
                <c:pt idx="12">
                  <c:v>37</c:v>
                </c:pt>
                <c:pt idx="13">
                  <c:v>36</c:v>
                </c:pt>
                <c:pt idx="14">
                  <c:v>37</c:v>
                </c:pt>
                <c:pt idx="15">
                  <c:v>29</c:v>
                </c:pt>
                <c:pt idx="16">
                  <c:v>37</c:v>
                </c:pt>
                <c:pt idx="17">
                  <c:v>37</c:v>
                </c:pt>
                <c:pt idx="18">
                  <c:v>37</c:v>
                </c:pt>
                <c:pt idx="19">
                  <c:v>37</c:v>
                </c:pt>
                <c:pt idx="20">
                  <c:v>3</c:v>
                </c:pt>
                <c:pt idx="21">
                  <c:v>6</c:v>
                </c:pt>
              </c:numCache>
              <c:extLst xmlns:c15="http://schemas.microsoft.com/office/drawing/2012/chart"/>
            </c:numRef>
          </c:val>
          <c:extLst xmlns:c15="http://schemas.microsoft.com/office/drawing/2012/chart">
            <c:ext xmlns:c16="http://schemas.microsoft.com/office/drawing/2014/chart" uri="{C3380CC4-5D6E-409C-BE32-E72D297353CC}">
              <c16:uniqueId val="{00000000-0EE0-454A-BE66-5845AC18A645}"/>
            </c:ext>
          </c:extLst>
        </c:ser>
        <c:ser>
          <c:idx val="0"/>
          <c:order val="1"/>
          <c:tx>
            <c:v>2020</c:v>
          </c:tx>
          <c:spPr>
            <a:solidFill>
              <a:schemeClr val="bg1">
                <a:lumMod val="75000"/>
              </a:schemeClr>
            </a:solidFill>
            <a:ln>
              <a:noFill/>
            </a:ln>
            <a:effectLst/>
          </c:spPr>
          <c:invertIfNegative val="0"/>
          <c:cat>
            <c:strRef>
              <c:f>'2.2_data'!$C$5:$X$5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'2.2_data'!$C$45:$X$45</c:f>
              <c:numCache>
                <c:formatCode>General</c:formatCode>
                <c:ptCount val="22"/>
                <c:pt idx="0">
                  <c:v>37</c:v>
                </c:pt>
                <c:pt idx="1">
                  <c:v>31</c:v>
                </c:pt>
                <c:pt idx="2">
                  <c:v>37</c:v>
                </c:pt>
                <c:pt idx="3">
                  <c:v>37</c:v>
                </c:pt>
                <c:pt idx="4">
                  <c:v>37</c:v>
                </c:pt>
                <c:pt idx="5">
                  <c:v>31</c:v>
                </c:pt>
                <c:pt idx="6">
                  <c:v>36</c:v>
                </c:pt>
                <c:pt idx="7">
                  <c:v>21</c:v>
                </c:pt>
                <c:pt idx="8">
                  <c:v>29</c:v>
                </c:pt>
                <c:pt idx="9">
                  <c:v>32</c:v>
                </c:pt>
                <c:pt idx="10">
                  <c:v>11</c:v>
                </c:pt>
                <c:pt idx="11">
                  <c:v>9</c:v>
                </c:pt>
                <c:pt idx="12">
                  <c:v>37</c:v>
                </c:pt>
                <c:pt idx="13">
                  <c:v>37</c:v>
                </c:pt>
                <c:pt idx="14">
                  <c:v>37</c:v>
                </c:pt>
                <c:pt idx="15">
                  <c:v>29</c:v>
                </c:pt>
                <c:pt idx="16">
                  <c:v>37</c:v>
                </c:pt>
                <c:pt idx="17">
                  <c:v>37</c:v>
                </c:pt>
                <c:pt idx="18">
                  <c:v>37</c:v>
                </c:pt>
                <c:pt idx="19">
                  <c:v>37</c:v>
                </c:pt>
                <c:pt idx="20">
                  <c:v>2</c:v>
                </c:pt>
                <c:pt idx="21">
                  <c:v>7</c:v>
                </c:pt>
              </c:numCache>
            </c:numRef>
          </c:val>
          <c:extLst>
            <c:ext xmlns:c16="http://schemas.microsoft.com/office/drawing/2014/chart" uri="{C3380CC4-5D6E-409C-BE32-E72D297353CC}">
              <c16:uniqueId val="{00000001-0EE0-454A-BE66-5845AC18A645}"/>
            </c:ext>
          </c:extLst>
        </c:ser>
        <c:dLbls>
          <c:showLegendKey val="0"/>
          <c:showVal val="0"/>
          <c:showCatName val="0"/>
          <c:showSerName val="0"/>
          <c:showPercent val="0"/>
          <c:showBubbleSize val="0"/>
        </c:dLbls>
        <c:gapWidth val="150"/>
        <c:axId val="1342594959"/>
        <c:axId val="1342597455"/>
        <c:extLst>
          <c:ext xmlns:c15="http://schemas.microsoft.com/office/drawing/2012/chart" uri="{02D57815-91ED-43cb-92C2-25804820EDAC}">
            <c15:filteredBarSeries>
              <c15:ser>
                <c:idx val="2"/>
                <c:order val="2"/>
                <c:tx>
                  <c:strRef>
                    <c:extLst>
                      <c:ext uri="{02D57815-91ED-43cb-92C2-25804820EDAC}">
                        <c15:formulaRef>
                          <c15:sqref>'2.2_data'!$B$8</c15:sqref>
                        </c15:formulaRef>
                      </c:ext>
                    </c:extLst>
                    <c:strCache>
                      <c:ptCount val="1"/>
                      <c:pt idx="0">
                        <c:v>Postgraduate</c:v>
                      </c:pt>
                    </c:strCache>
                  </c:strRef>
                </c:tx>
                <c:spPr>
                  <a:solidFill>
                    <a:schemeClr val="tx2"/>
                  </a:solidFill>
                  <a:ln>
                    <a:noFill/>
                  </a:ln>
                  <a:effectLst/>
                </c:spPr>
                <c:invertIfNegative val="0"/>
                <c:cat>
                  <c:strRef>
                    <c:extLst>
                      <c:ext uri="{02D57815-91ED-43cb-92C2-25804820EDAC}">
                        <c15:formulaRef>
                          <c15:sqref>'2.2_data'!$C$5:$X$5</c15:sqref>
                        </c15:formulaRef>
                      </c:ext>
                    </c:extLst>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extLst>
                      <c:ext uri="{02D57815-91ED-43cb-92C2-25804820EDAC}">
                        <c15:formulaRef>
                          <c15:sqref>'2.2_data'!$C$8:$X$8</c15:sqref>
                        </c15:formulaRef>
                      </c:ext>
                    </c:extLst>
                    <c:numCache>
                      <c:formatCode>General</c:formatCode>
                      <c:ptCount val="22"/>
                      <c:pt idx="0">
                        <c:v>33</c:v>
                      </c:pt>
                      <c:pt idx="1">
                        <c:v>14</c:v>
                      </c:pt>
                      <c:pt idx="2">
                        <c:v>33</c:v>
                      </c:pt>
                      <c:pt idx="3">
                        <c:v>37</c:v>
                      </c:pt>
                      <c:pt idx="4">
                        <c:v>34</c:v>
                      </c:pt>
                      <c:pt idx="5">
                        <c:v>23</c:v>
                      </c:pt>
                      <c:pt idx="6">
                        <c:v>25</c:v>
                      </c:pt>
                      <c:pt idx="7">
                        <c:v>15</c:v>
                      </c:pt>
                      <c:pt idx="8">
                        <c:v>21</c:v>
                      </c:pt>
                      <c:pt idx="9">
                        <c:v>31</c:v>
                      </c:pt>
                      <c:pt idx="10">
                        <c:v>7</c:v>
                      </c:pt>
                      <c:pt idx="11">
                        <c:v>4</c:v>
                      </c:pt>
                      <c:pt idx="12">
                        <c:v>37</c:v>
                      </c:pt>
                      <c:pt idx="13">
                        <c:v>36</c:v>
                      </c:pt>
                      <c:pt idx="14">
                        <c:v>37</c:v>
                      </c:pt>
                      <c:pt idx="15">
                        <c:v>14</c:v>
                      </c:pt>
                      <c:pt idx="16">
                        <c:v>36</c:v>
                      </c:pt>
                      <c:pt idx="17">
                        <c:v>37</c:v>
                      </c:pt>
                      <c:pt idx="18">
                        <c:v>28</c:v>
                      </c:pt>
                      <c:pt idx="19">
                        <c:v>20</c:v>
                      </c:pt>
                      <c:pt idx="20">
                        <c:v>0</c:v>
                      </c:pt>
                      <c:pt idx="21">
                        <c:v>5</c:v>
                      </c:pt>
                    </c:numCache>
                  </c:numRef>
                </c:val>
                <c:extLst>
                  <c:ext xmlns:c16="http://schemas.microsoft.com/office/drawing/2014/chart" uri="{C3380CC4-5D6E-409C-BE32-E72D297353CC}">
                    <c16:uniqueId val="{00000003-0EE0-454A-BE66-5845AC18A645}"/>
                  </c:ext>
                </c:extLst>
              </c15:ser>
            </c15:filteredBarSeries>
          </c:ext>
        </c:extLst>
      </c:barChart>
      <c:lineChart>
        <c:grouping val="standard"/>
        <c:varyColors val="0"/>
        <c:ser>
          <c:idx val="3"/>
          <c:order val="3"/>
          <c:tx>
            <c:v>All 37 universities</c:v>
          </c:tx>
          <c:spPr>
            <a:ln w="28575" cap="rnd">
              <a:solidFill>
                <a:schemeClr val="tx2">
                  <a:lumMod val="20000"/>
                  <a:lumOff val="80000"/>
                </a:schemeClr>
              </a:solidFill>
              <a:prstDash val="dash"/>
              <a:round/>
            </a:ln>
            <a:effectLst/>
          </c:spPr>
          <c:marker>
            <c:symbol val="none"/>
          </c:marker>
          <c:val>
            <c:numRef>
              <c:f>'2.2_data'!$C$9:$X$9</c:f>
              <c:numCache>
                <c:formatCode>General</c:formatCode>
                <c:ptCount val="22"/>
                <c:pt idx="0">
                  <c:v>37</c:v>
                </c:pt>
                <c:pt idx="1">
                  <c:v>37</c:v>
                </c:pt>
                <c:pt idx="2">
                  <c:v>37</c:v>
                </c:pt>
                <c:pt idx="3">
                  <c:v>37</c:v>
                </c:pt>
                <c:pt idx="4">
                  <c:v>37</c:v>
                </c:pt>
                <c:pt idx="5">
                  <c:v>37</c:v>
                </c:pt>
                <c:pt idx="6">
                  <c:v>37</c:v>
                </c:pt>
                <c:pt idx="7">
                  <c:v>37</c:v>
                </c:pt>
                <c:pt idx="8">
                  <c:v>37</c:v>
                </c:pt>
                <c:pt idx="9">
                  <c:v>37</c:v>
                </c:pt>
                <c:pt idx="10">
                  <c:v>37</c:v>
                </c:pt>
                <c:pt idx="11">
                  <c:v>37</c:v>
                </c:pt>
                <c:pt idx="12">
                  <c:v>37</c:v>
                </c:pt>
                <c:pt idx="13">
                  <c:v>37</c:v>
                </c:pt>
                <c:pt idx="14">
                  <c:v>37</c:v>
                </c:pt>
                <c:pt idx="15">
                  <c:v>37</c:v>
                </c:pt>
                <c:pt idx="16">
                  <c:v>37</c:v>
                </c:pt>
                <c:pt idx="17">
                  <c:v>37</c:v>
                </c:pt>
                <c:pt idx="18">
                  <c:v>37</c:v>
                </c:pt>
                <c:pt idx="19">
                  <c:v>37</c:v>
                </c:pt>
                <c:pt idx="20">
                  <c:v>37</c:v>
                </c:pt>
                <c:pt idx="21">
                  <c:v>37</c:v>
                </c:pt>
              </c:numCache>
            </c:numRef>
          </c:val>
          <c:smooth val="0"/>
          <c:extLst>
            <c:ext xmlns:c16="http://schemas.microsoft.com/office/drawing/2014/chart" uri="{C3380CC4-5D6E-409C-BE32-E72D297353CC}">
              <c16:uniqueId val="{00000002-0EE0-454A-BE66-5845AC18A645}"/>
            </c:ext>
          </c:extLst>
        </c:ser>
        <c:dLbls>
          <c:showLegendKey val="0"/>
          <c:showVal val="0"/>
          <c:showCatName val="0"/>
          <c:showSerName val="0"/>
          <c:showPercent val="0"/>
          <c:showBubbleSize val="0"/>
        </c:dLbls>
        <c:marker val="1"/>
        <c:smooth val="0"/>
        <c:axId val="1342594959"/>
        <c:axId val="1342597455"/>
      </c:line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in val="0"/>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2019</c:v>
          </c:tx>
          <c:spPr>
            <a:solidFill>
              <a:srgbClr val="00ABAB"/>
            </a:solidFill>
            <a:ln>
              <a:solidFill>
                <a:srgbClr val="00ABAB"/>
              </a:solidFill>
            </a:ln>
            <a:effectLst/>
          </c:spPr>
          <c:invertIfNegative val="0"/>
          <c:cat>
            <c:strRef>
              <c:f>'2.2_data'!$C$5:$X$5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extLst xmlns:c15="http://schemas.microsoft.com/office/drawing/2012/chart"/>
            </c:strRef>
          </c:cat>
          <c:val>
            <c:numRef>
              <c:f>'2.2_data'!$C$8:$X$8</c:f>
              <c:numCache>
                <c:formatCode>General</c:formatCode>
                <c:ptCount val="22"/>
                <c:pt idx="0">
                  <c:v>33</c:v>
                </c:pt>
                <c:pt idx="1">
                  <c:v>14</c:v>
                </c:pt>
                <c:pt idx="2">
                  <c:v>33</c:v>
                </c:pt>
                <c:pt idx="3">
                  <c:v>37</c:v>
                </c:pt>
                <c:pt idx="4">
                  <c:v>34</c:v>
                </c:pt>
                <c:pt idx="5">
                  <c:v>23</c:v>
                </c:pt>
                <c:pt idx="6">
                  <c:v>25</c:v>
                </c:pt>
                <c:pt idx="7">
                  <c:v>15</c:v>
                </c:pt>
                <c:pt idx="8">
                  <c:v>21</c:v>
                </c:pt>
                <c:pt idx="9">
                  <c:v>31</c:v>
                </c:pt>
                <c:pt idx="10">
                  <c:v>7</c:v>
                </c:pt>
                <c:pt idx="11">
                  <c:v>4</c:v>
                </c:pt>
                <c:pt idx="12">
                  <c:v>37</c:v>
                </c:pt>
                <c:pt idx="13">
                  <c:v>36</c:v>
                </c:pt>
                <c:pt idx="14">
                  <c:v>37</c:v>
                </c:pt>
                <c:pt idx="15">
                  <c:v>14</c:v>
                </c:pt>
                <c:pt idx="16">
                  <c:v>36</c:v>
                </c:pt>
                <c:pt idx="17">
                  <c:v>37</c:v>
                </c:pt>
                <c:pt idx="18">
                  <c:v>28</c:v>
                </c:pt>
                <c:pt idx="19">
                  <c:v>20</c:v>
                </c:pt>
                <c:pt idx="20">
                  <c:v>0</c:v>
                </c:pt>
                <c:pt idx="21">
                  <c:v>5</c:v>
                </c:pt>
              </c:numCache>
              <c:extLst xmlns:c15="http://schemas.microsoft.com/office/drawing/2012/chart"/>
            </c:numRef>
          </c:val>
          <c:extLst xmlns:c15="http://schemas.microsoft.com/office/drawing/2012/chart">
            <c:ext xmlns:c16="http://schemas.microsoft.com/office/drawing/2014/chart" uri="{C3380CC4-5D6E-409C-BE32-E72D297353CC}">
              <c16:uniqueId val="{00000000-0161-455C-B959-423681572D1B}"/>
            </c:ext>
          </c:extLst>
        </c:ser>
        <c:ser>
          <c:idx val="4"/>
          <c:order val="2"/>
          <c:tx>
            <c:v>2020</c:v>
          </c:tx>
          <c:spPr>
            <a:solidFill>
              <a:schemeClr val="bg1">
                <a:lumMod val="75000"/>
              </a:schemeClr>
            </a:solidFill>
            <a:ln>
              <a:noFill/>
            </a:ln>
            <a:effectLst/>
          </c:spPr>
          <c:invertIfNegative val="0"/>
          <c:cat>
            <c:strRef>
              <c:f>'2.2_data'!$C$5:$X$5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'2.2_data'!$C$46:$X$46</c:f>
              <c:numCache>
                <c:formatCode>General</c:formatCode>
                <c:ptCount val="22"/>
                <c:pt idx="0">
                  <c:v>35</c:v>
                </c:pt>
                <c:pt idx="1">
                  <c:v>16</c:v>
                </c:pt>
                <c:pt idx="2">
                  <c:v>32</c:v>
                </c:pt>
                <c:pt idx="3">
                  <c:v>37</c:v>
                </c:pt>
                <c:pt idx="4">
                  <c:v>35</c:v>
                </c:pt>
                <c:pt idx="5">
                  <c:v>24</c:v>
                </c:pt>
                <c:pt idx="6">
                  <c:v>28</c:v>
                </c:pt>
                <c:pt idx="7">
                  <c:v>14</c:v>
                </c:pt>
                <c:pt idx="8">
                  <c:v>20</c:v>
                </c:pt>
                <c:pt idx="9">
                  <c:v>32</c:v>
                </c:pt>
                <c:pt idx="10">
                  <c:v>8</c:v>
                </c:pt>
                <c:pt idx="11">
                  <c:v>4</c:v>
                </c:pt>
                <c:pt idx="12">
                  <c:v>37</c:v>
                </c:pt>
                <c:pt idx="13">
                  <c:v>36</c:v>
                </c:pt>
                <c:pt idx="14">
                  <c:v>37</c:v>
                </c:pt>
                <c:pt idx="15">
                  <c:v>13</c:v>
                </c:pt>
                <c:pt idx="16">
                  <c:v>36</c:v>
                </c:pt>
                <c:pt idx="17">
                  <c:v>37</c:v>
                </c:pt>
                <c:pt idx="18">
                  <c:v>28</c:v>
                </c:pt>
                <c:pt idx="19">
                  <c:v>21</c:v>
                </c:pt>
                <c:pt idx="20">
                  <c:v>0</c:v>
                </c:pt>
                <c:pt idx="21">
                  <c:v>6</c:v>
                </c:pt>
              </c:numCache>
            </c:numRef>
          </c:val>
          <c:extLst>
            <c:ext xmlns:c16="http://schemas.microsoft.com/office/drawing/2014/chart" uri="{C3380CC4-5D6E-409C-BE32-E72D297353CC}">
              <c16:uniqueId val="{00000001-0161-455C-B959-423681572D1B}"/>
            </c:ext>
          </c:extLst>
        </c:ser>
        <c:dLbls>
          <c:showLegendKey val="0"/>
          <c:showVal val="0"/>
          <c:showCatName val="0"/>
          <c:showSerName val="0"/>
          <c:showPercent val="0"/>
          <c:showBubbleSize val="0"/>
        </c:dLbls>
        <c:gapWidth val="150"/>
        <c:axId val="1342594959"/>
        <c:axId val="1342597455"/>
      </c:barChart>
      <c:lineChart>
        <c:grouping val="standard"/>
        <c:varyColors val="0"/>
        <c:ser>
          <c:idx val="3"/>
          <c:order val="1"/>
          <c:tx>
            <c:v>All 37 universities</c:v>
          </c:tx>
          <c:spPr>
            <a:ln w="28575" cap="rnd">
              <a:solidFill>
                <a:schemeClr val="tx2">
                  <a:lumMod val="20000"/>
                  <a:lumOff val="80000"/>
                </a:schemeClr>
              </a:solidFill>
              <a:prstDash val="dash"/>
              <a:round/>
            </a:ln>
            <a:effectLst/>
          </c:spPr>
          <c:marker>
            <c:symbol val="none"/>
          </c:marker>
          <c:val>
            <c:numRef>
              <c:f>'2.2_data'!$C$9:$X$9</c:f>
              <c:numCache>
                <c:formatCode>General</c:formatCode>
                <c:ptCount val="22"/>
                <c:pt idx="0">
                  <c:v>37</c:v>
                </c:pt>
                <c:pt idx="1">
                  <c:v>37</c:v>
                </c:pt>
                <c:pt idx="2">
                  <c:v>37</c:v>
                </c:pt>
                <c:pt idx="3">
                  <c:v>37</c:v>
                </c:pt>
                <c:pt idx="4">
                  <c:v>37</c:v>
                </c:pt>
                <c:pt idx="5">
                  <c:v>37</c:v>
                </c:pt>
                <c:pt idx="6">
                  <c:v>37</c:v>
                </c:pt>
                <c:pt idx="7">
                  <c:v>37</c:v>
                </c:pt>
                <c:pt idx="8">
                  <c:v>37</c:v>
                </c:pt>
                <c:pt idx="9">
                  <c:v>37</c:v>
                </c:pt>
                <c:pt idx="10">
                  <c:v>37</c:v>
                </c:pt>
                <c:pt idx="11">
                  <c:v>37</c:v>
                </c:pt>
                <c:pt idx="12">
                  <c:v>37</c:v>
                </c:pt>
                <c:pt idx="13">
                  <c:v>37</c:v>
                </c:pt>
                <c:pt idx="14">
                  <c:v>37</c:v>
                </c:pt>
                <c:pt idx="15">
                  <c:v>37</c:v>
                </c:pt>
                <c:pt idx="16">
                  <c:v>37</c:v>
                </c:pt>
                <c:pt idx="17">
                  <c:v>37</c:v>
                </c:pt>
                <c:pt idx="18">
                  <c:v>37</c:v>
                </c:pt>
                <c:pt idx="19">
                  <c:v>37</c:v>
                </c:pt>
                <c:pt idx="20">
                  <c:v>37</c:v>
                </c:pt>
                <c:pt idx="21">
                  <c:v>37</c:v>
                </c:pt>
              </c:numCache>
            </c:numRef>
          </c:val>
          <c:smooth val="0"/>
          <c:extLst>
            <c:ext xmlns:c16="http://schemas.microsoft.com/office/drawing/2014/chart" uri="{C3380CC4-5D6E-409C-BE32-E72D297353CC}">
              <c16:uniqueId val="{00000002-0161-455C-B959-423681572D1B}"/>
            </c:ext>
          </c:extLst>
        </c:ser>
        <c:dLbls>
          <c:showLegendKey val="0"/>
          <c:showVal val="0"/>
          <c:showCatName val="0"/>
          <c:showSerName val="0"/>
          <c:showPercent val="0"/>
          <c:showBubbleSize val="0"/>
        </c:dLbls>
        <c:marker val="1"/>
        <c:smooth val="0"/>
        <c:axId val="1342594959"/>
        <c:axId val="1342597455"/>
      </c:line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in val="0"/>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'2.2_data'!$B$18</c:f>
              <c:strCache>
                <c:ptCount val="1"/>
                <c:pt idx="0">
                  <c:v>Sub-bachelor</c:v>
                </c:pt>
              </c:strCache>
            </c:strRef>
          </c:tx>
          <c:spPr>
            <a:solidFill>
              <a:srgbClr val="00ABAB"/>
            </a:solidFill>
            <a:ln>
              <a:noFill/>
            </a:ln>
            <a:effectLst/>
          </c:spPr>
          <c:invertIfNegative val="0"/>
          <c:cat>
            <c:strRef>
              <c:f>'2.2_data'!$C$17:$X$17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'2.2_data'!$C$18:$X$18</c:f>
              <c:numCache>
                <c:formatCode>General</c:formatCode>
                <c:ptCount val="22"/>
                <c:pt idx="0">
                  <c:v>7</c:v>
                </c:pt>
                <c:pt idx="1">
                  <c:v>3</c:v>
                </c:pt>
                <c:pt idx="2">
                  <c:v>3</c:v>
                </c:pt>
                <c:pt idx="3">
                  <c:v>10</c:v>
                </c:pt>
                <c:pt idx="4">
                  <c:v>9</c:v>
                </c:pt>
                <c:pt idx="5">
                  <c:v>5</c:v>
                </c:pt>
                <c:pt idx="6">
                  <c:v>12</c:v>
                </c:pt>
                <c:pt idx="7">
                  <c:v>5</c:v>
                </c:pt>
                <c:pt idx="8">
                  <c:v>3</c:v>
                </c:pt>
                <c:pt idx="9">
                  <c:v>4</c:v>
                </c:pt>
                <c:pt idx="10">
                  <c:v>0</c:v>
                </c:pt>
                <c:pt idx="11">
                  <c:v>0</c:v>
                </c:pt>
                <c:pt idx="12">
                  <c:v>10</c:v>
                </c:pt>
                <c:pt idx="13">
                  <c:v>8</c:v>
                </c:pt>
                <c:pt idx="14">
                  <c:v>8</c:v>
                </c:pt>
                <c:pt idx="15">
                  <c:v>5</c:v>
                </c:pt>
                <c:pt idx="16">
                  <c:v>12</c:v>
                </c:pt>
                <c:pt idx="17">
                  <c:v>4</c:v>
                </c:pt>
                <c:pt idx="18">
                  <c:v>10</c:v>
                </c:pt>
                <c:pt idx="19">
                  <c:v>14</c:v>
                </c:pt>
                <c:pt idx="20">
                  <c:v>1</c:v>
                </c:pt>
                <c:pt idx="21">
                  <c:v>2</c:v>
                </c:pt>
              </c:numCache>
            </c:numRef>
          </c:val>
          <c:extLst>
            <c:ext xmlns:c16="http://schemas.microsoft.com/office/drawing/2014/chart" uri="{C3380CC4-5D6E-409C-BE32-E72D297353CC}">
              <c16:uniqueId val="{00000000-106D-4768-82F7-39C75E9E7EE7}"/>
            </c:ext>
          </c:extLst>
        </c:ser>
        <c:ser>
          <c:idx val="1"/>
          <c:order val="1"/>
          <c:tx>
            <c:strRef>
              <c:f>'2.2_data'!$B$19</c:f>
              <c:strCache>
                <c:ptCount val="1"/>
                <c:pt idx="0">
                  <c:v>Bachelor</c:v>
                </c:pt>
              </c:strCache>
            </c:strRef>
          </c:tx>
          <c:spPr>
            <a:solidFill>
              <a:schemeClr val="bg1">
                <a:lumMod val="75000"/>
              </a:schemeClr>
            </a:solidFill>
            <a:ln>
              <a:noFill/>
            </a:ln>
            <a:effectLst/>
          </c:spPr>
          <c:invertIfNegative val="0"/>
          <c:cat>
            <c:strRef>
              <c:f>'2.2_data'!$C$17:$X$17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'2.2_data'!$C$19:$X$19</c:f>
              <c:numCache>
                <c:formatCode>General</c:formatCode>
                <c:ptCount val="22"/>
                <c:pt idx="0">
                  <c:v>0</c:v>
                </c:pt>
                <c:pt idx="1">
                  <c:v>1</c:v>
                </c:pt>
                <c:pt idx="2">
                  <c:v>0</c:v>
                </c:pt>
                <c:pt idx="3">
                  <c:v>0</c:v>
                </c:pt>
                <c:pt idx="4">
                  <c:v>0</c:v>
                </c:pt>
                <c:pt idx="5">
                  <c:v>1</c:v>
                </c:pt>
                <c:pt idx="6">
                  <c:v>0</c:v>
                </c:pt>
                <c:pt idx="7">
                  <c:v>5</c:v>
                </c:pt>
                <c:pt idx="8">
                  <c:v>2</c:v>
                </c:pt>
                <c:pt idx="9">
                  <c:v>0</c:v>
                </c:pt>
                <c:pt idx="10">
                  <c:v>1</c:v>
                </c:pt>
                <c:pt idx="11">
                  <c:v>0</c:v>
                </c:pt>
                <c:pt idx="12">
                  <c:v>0</c:v>
                </c:pt>
                <c:pt idx="13">
                  <c:v>0</c:v>
                </c:pt>
                <c:pt idx="14">
                  <c:v>0</c:v>
                </c:pt>
                <c:pt idx="15">
                  <c:v>5</c:v>
                </c:pt>
                <c:pt idx="16">
                  <c:v>0</c:v>
                </c:pt>
                <c:pt idx="17">
                  <c:v>0</c:v>
                </c:pt>
                <c:pt idx="18">
                  <c:v>0</c:v>
                </c:pt>
                <c:pt idx="19">
                  <c:v>0</c:v>
                </c:pt>
                <c:pt idx="20">
                  <c:v>3</c:v>
                </c:pt>
                <c:pt idx="21">
                  <c:v>3</c:v>
                </c:pt>
              </c:numCache>
            </c:numRef>
          </c:val>
          <c:extLst>
            <c:ext xmlns:c16="http://schemas.microsoft.com/office/drawing/2014/chart" uri="{C3380CC4-5D6E-409C-BE32-E72D297353CC}">
              <c16:uniqueId val="{00000001-106D-4768-82F7-39C75E9E7EE7}"/>
            </c:ext>
          </c:extLst>
        </c:ser>
        <c:ser>
          <c:idx val="2"/>
          <c:order val="2"/>
          <c:tx>
            <c:strRef>
              <c:f>'2.2_data'!$B$20</c:f>
              <c:strCache>
                <c:ptCount val="1"/>
                <c:pt idx="0">
                  <c:v>Postgraduate</c:v>
                </c:pt>
              </c:strCache>
            </c:strRef>
          </c:tx>
          <c:spPr>
            <a:solidFill>
              <a:schemeClr val="tx2"/>
            </a:solidFill>
            <a:ln>
              <a:noFill/>
            </a:ln>
            <a:effectLst/>
          </c:spPr>
          <c:invertIfNegative val="0"/>
          <c:cat>
            <c:strRef>
              <c:f>'2.2_data'!$C$17:$X$17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'2.2_data'!$C$20:$X$20</c:f>
              <c:numCache>
                <c:formatCode>General</c:formatCode>
                <c:ptCount val="22"/>
                <c:pt idx="0">
                  <c:v>2</c:v>
                </c:pt>
                <c:pt idx="1">
                  <c:v>3</c:v>
                </c:pt>
                <c:pt idx="2">
                  <c:v>1</c:v>
                </c:pt>
                <c:pt idx="3">
                  <c:v>0</c:v>
                </c:pt>
                <c:pt idx="4">
                  <c:v>1</c:v>
                </c:pt>
                <c:pt idx="5">
                  <c:v>5</c:v>
                </c:pt>
                <c:pt idx="6">
                  <c:v>5</c:v>
                </c:pt>
                <c:pt idx="7">
                  <c:v>5</c:v>
                </c:pt>
                <c:pt idx="8">
                  <c:v>2</c:v>
                </c:pt>
                <c:pt idx="9">
                  <c:v>1</c:v>
                </c:pt>
                <c:pt idx="10">
                  <c:v>1</c:v>
                </c:pt>
                <c:pt idx="11">
                  <c:v>4</c:v>
                </c:pt>
                <c:pt idx="12">
                  <c:v>0</c:v>
                </c:pt>
                <c:pt idx="13">
                  <c:v>0</c:v>
                </c:pt>
                <c:pt idx="14">
                  <c:v>0</c:v>
                </c:pt>
                <c:pt idx="15">
                  <c:v>7</c:v>
                </c:pt>
                <c:pt idx="16">
                  <c:v>1</c:v>
                </c:pt>
                <c:pt idx="17">
                  <c:v>0</c:v>
                </c:pt>
                <c:pt idx="18">
                  <c:v>5</c:v>
                </c:pt>
                <c:pt idx="19">
                  <c:v>10</c:v>
                </c:pt>
                <c:pt idx="20">
                  <c:v>1</c:v>
                </c:pt>
                <c:pt idx="21">
                  <c:v>0</c:v>
                </c:pt>
              </c:numCache>
            </c:numRef>
          </c:val>
          <c:extLst>
            <c:ext xmlns:c16="http://schemas.microsoft.com/office/drawing/2014/chart" uri="{C3380CC4-5D6E-409C-BE32-E72D297353CC}">
              <c16:uniqueId val="{00000002-106D-4768-82F7-39C75E9E7EE7}"/>
            </c:ext>
          </c:extLst>
        </c:ser>
        <c:dLbls>
          <c:showLegendKey val="0"/>
          <c:showVal val="0"/>
          <c:showCatName val="0"/>
          <c:showSerName val="0"/>
          <c:showPercent val="0"/>
          <c:showBubbleSize val="0"/>
        </c:dLbls>
        <c:gapWidth val="219"/>
        <c:overlap val="-27"/>
        <c:axId val="1342594959"/>
        <c:axId val="1342597455"/>
      </c:bar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'2.2_data'!$B$56</c:f>
              <c:strCache>
                <c:ptCount val="1"/>
                <c:pt idx="0">
                  <c:v>Sub-bachelor</c:v>
                </c:pt>
              </c:strCache>
            </c:strRef>
          </c:tx>
          <c:spPr>
            <a:solidFill>
              <a:srgbClr val="00ABAB"/>
            </a:solidFill>
            <a:ln>
              <a:noFill/>
            </a:ln>
            <a:effectLst/>
          </c:spPr>
          <c:invertIfNegative val="0"/>
          <c:cat>
            <c:strRef>
              <c:f>'2.2_data'!$C$55:$X$55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'2.2_data'!$C$56:$X$56</c:f>
              <c:numCache>
                <c:formatCode>General</c:formatCode>
                <c:ptCount val="22"/>
                <c:pt idx="0">
                  <c:v>8</c:v>
                </c:pt>
                <c:pt idx="1">
                  <c:v>5</c:v>
                </c:pt>
                <c:pt idx="2">
                  <c:v>6</c:v>
                </c:pt>
                <c:pt idx="3">
                  <c:v>7</c:v>
                </c:pt>
                <c:pt idx="4">
                  <c:v>8</c:v>
                </c:pt>
                <c:pt idx="5">
                  <c:v>4</c:v>
                </c:pt>
                <c:pt idx="6">
                  <c:v>14</c:v>
                </c:pt>
                <c:pt idx="7">
                  <c:v>6</c:v>
                </c:pt>
                <c:pt idx="8">
                  <c:v>3</c:v>
                </c:pt>
                <c:pt idx="9">
                  <c:v>5</c:v>
                </c:pt>
                <c:pt idx="10">
                  <c:v>0</c:v>
                </c:pt>
                <c:pt idx="11">
                  <c:v>0</c:v>
                </c:pt>
                <c:pt idx="12">
                  <c:v>9</c:v>
                </c:pt>
                <c:pt idx="13">
                  <c:v>6</c:v>
                </c:pt>
                <c:pt idx="14">
                  <c:v>7</c:v>
                </c:pt>
                <c:pt idx="15">
                  <c:v>7</c:v>
                </c:pt>
                <c:pt idx="16">
                  <c:v>10</c:v>
                </c:pt>
                <c:pt idx="17">
                  <c:v>7</c:v>
                </c:pt>
                <c:pt idx="18">
                  <c:v>7</c:v>
                </c:pt>
                <c:pt idx="19">
                  <c:v>12</c:v>
                </c:pt>
                <c:pt idx="20">
                  <c:v>2</c:v>
                </c:pt>
                <c:pt idx="21">
                  <c:v>1</c:v>
                </c:pt>
              </c:numCache>
            </c:numRef>
          </c:val>
          <c:extLst>
            <c:ext xmlns:c16="http://schemas.microsoft.com/office/drawing/2014/chart" uri="{C3380CC4-5D6E-409C-BE32-E72D297353CC}">
              <c16:uniqueId val="{00000000-3AB1-4370-8F78-1A10752E96B5}"/>
            </c:ext>
          </c:extLst>
        </c:ser>
        <c:ser>
          <c:idx val="1"/>
          <c:order val="1"/>
          <c:tx>
            <c:strRef>
              <c:f>'2.2_data'!$B$57</c:f>
              <c:strCache>
                <c:ptCount val="1"/>
                <c:pt idx="0">
                  <c:v>Bachelor</c:v>
                </c:pt>
              </c:strCache>
            </c:strRef>
          </c:tx>
          <c:spPr>
            <a:solidFill>
              <a:schemeClr val="bg1">
                <a:lumMod val="75000"/>
              </a:schemeClr>
            </a:solidFill>
            <a:ln>
              <a:noFill/>
            </a:ln>
            <a:effectLst/>
          </c:spPr>
          <c:invertIfNegative val="0"/>
          <c:cat>
            <c:strRef>
              <c:f>'2.2_data'!$C$55:$X$55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'2.2_data'!$C$57:$X$57</c:f>
              <c:numCache>
                <c:formatCode>General</c:formatCode>
                <c:ptCount val="22"/>
                <c:pt idx="0">
                  <c:v>0</c:v>
                </c:pt>
                <c:pt idx="1">
                  <c:v>0</c:v>
                </c:pt>
                <c:pt idx="2">
                  <c:v>0</c:v>
                </c:pt>
                <c:pt idx="3">
                  <c:v>0</c:v>
                </c:pt>
                <c:pt idx="4">
                  <c:v>0</c:v>
                </c:pt>
                <c:pt idx="5">
                  <c:v>1</c:v>
                </c:pt>
                <c:pt idx="6">
                  <c:v>0</c:v>
                </c:pt>
                <c:pt idx="7">
                  <c:v>3</c:v>
                </c:pt>
                <c:pt idx="8">
                  <c:v>3</c:v>
                </c:pt>
                <c:pt idx="9">
                  <c:v>0</c:v>
                </c:pt>
                <c:pt idx="10">
                  <c:v>0</c:v>
                </c:pt>
                <c:pt idx="11">
                  <c:v>0</c:v>
                </c:pt>
                <c:pt idx="12">
                  <c:v>0</c:v>
                </c:pt>
                <c:pt idx="13">
                  <c:v>0</c:v>
                </c:pt>
                <c:pt idx="14">
                  <c:v>0</c:v>
                </c:pt>
                <c:pt idx="15">
                  <c:v>5</c:v>
                </c:pt>
                <c:pt idx="16">
                  <c:v>0</c:v>
                </c:pt>
                <c:pt idx="17">
                  <c:v>0</c:v>
                </c:pt>
                <c:pt idx="18">
                  <c:v>0</c:v>
                </c:pt>
                <c:pt idx="19">
                  <c:v>0</c:v>
                </c:pt>
                <c:pt idx="20">
                  <c:v>3</c:v>
                </c:pt>
                <c:pt idx="21">
                  <c:v>6</c:v>
                </c:pt>
              </c:numCache>
            </c:numRef>
          </c:val>
          <c:extLst>
            <c:ext xmlns:c16="http://schemas.microsoft.com/office/drawing/2014/chart" uri="{C3380CC4-5D6E-409C-BE32-E72D297353CC}">
              <c16:uniqueId val="{00000001-3AB1-4370-8F78-1A10752E96B5}"/>
            </c:ext>
          </c:extLst>
        </c:ser>
        <c:ser>
          <c:idx val="2"/>
          <c:order val="2"/>
          <c:tx>
            <c:strRef>
              <c:f>'2.2_data'!$B$58</c:f>
              <c:strCache>
                <c:ptCount val="1"/>
                <c:pt idx="0">
                  <c:v>Postgraduate</c:v>
                </c:pt>
              </c:strCache>
            </c:strRef>
          </c:tx>
          <c:spPr>
            <a:solidFill>
              <a:schemeClr val="tx2"/>
            </a:solidFill>
            <a:ln>
              <a:noFill/>
            </a:ln>
            <a:effectLst/>
          </c:spPr>
          <c:invertIfNegative val="0"/>
          <c:cat>
            <c:strRef>
              <c:f>'2.2_data'!$C$55:$X$55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'2.2_data'!$C$58:$X$58</c:f>
              <c:numCache>
                <c:formatCode>General</c:formatCode>
                <c:ptCount val="22"/>
                <c:pt idx="0">
                  <c:v>1</c:v>
                </c:pt>
                <c:pt idx="1">
                  <c:v>5</c:v>
                </c:pt>
                <c:pt idx="2">
                  <c:v>1</c:v>
                </c:pt>
                <c:pt idx="3">
                  <c:v>0</c:v>
                </c:pt>
                <c:pt idx="4">
                  <c:v>0</c:v>
                </c:pt>
                <c:pt idx="5">
                  <c:v>3</c:v>
                </c:pt>
                <c:pt idx="6">
                  <c:v>3</c:v>
                </c:pt>
                <c:pt idx="7">
                  <c:v>6</c:v>
                </c:pt>
                <c:pt idx="8">
                  <c:v>2</c:v>
                </c:pt>
                <c:pt idx="9">
                  <c:v>0</c:v>
                </c:pt>
                <c:pt idx="10">
                  <c:v>0</c:v>
                </c:pt>
                <c:pt idx="11">
                  <c:v>4</c:v>
                </c:pt>
                <c:pt idx="12">
                  <c:v>0</c:v>
                </c:pt>
                <c:pt idx="13">
                  <c:v>1</c:v>
                </c:pt>
                <c:pt idx="14">
                  <c:v>0</c:v>
                </c:pt>
                <c:pt idx="15">
                  <c:v>7</c:v>
                </c:pt>
                <c:pt idx="16">
                  <c:v>1</c:v>
                </c:pt>
                <c:pt idx="17">
                  <c:v>0</c:v>
                </c:pt>
                <c:pt idx="18">
                  <c:v>5</c:v>
                </c:pt>
                <c:pt idx="19">
                  <c:v>9</c:v>
                </c:pt>
                <c:pt idx="20">
                  <c:v>1</c:v>
                </c:pt>
                <c:pt idx="21">
                  <c:v>0</c:v>
                </c:pt>
              </c:numCache>
            </c:numRef>
          </c:val>
          <c:extLst>
            <c:ext xmlns:c16="http://schemas.microsoft.com/office/drawing/2014/chart" uri="{C3380CC4-5D6E-409C-BE32-E72D297353CC}">
              <c16:uniqueId val="{00000002-3AB1-4370-8F78-1A10752E96B5}"/>
            </c:ext>
          </c:extLst>
        </c:ser>
        <c:dLbls>
          <c:showLegendKey val="0"/>
          <c:showVal val="0"/>
          <c:showCatName val="0"/>
          <c:showSerName val="0"/>
          <c:showPercent val="0"/>
          <c:showBubbleSize val="0"/>
        </c:dLbls>
        <c:gapWidth val="219"/>
        <c:overlap val="-27"/>
        <c:axId val="1342594959"/>
        <c:axId val="1342597455"/>
      </c:bar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in val="0"/>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47454463458019E-2"/>
          <c:y val="4.7655119557351508E-2"/>
          <c:w val="0.94307619071480486"/>
          <c:h val="0.71481090567460959"/>
        </c:manualLayout>
      </c:layout>
      <c:stockChart>
        <c:ser>
          <c:idx val="0"/>
          <c:order val="0"/>
          <c:tx>
            <c:strRef>
              <c:f>'2.2_data'!$B$84</c:f>
              <c:strCache>
                <c:ptCount val="1"/>
                <c:pt idx="0">
                  <c:v>25th percentile</c:v>
                </c:pt>
              </c:strCache>
            </c:strRef>
          </c:tx>
          <c:spPr>
            <a:ln w="25400">
              <a:noFill/>
            </a:ln>
          </c:spPr>
          <c:marker>
            <c:symbol val="none"/>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'2.2_data'!$C$84:$AV$84</c:f>
              <c:numCache>
                <c:formatCode>0</c:formatCode>
                <c:ptCount val="46"/>
                <c:pt idx="0">
                  <c:v>13385.557371755742</c:v>
                </c:pt>
                <c:pt idx="1">
                  <c:v>13875.339333448057</c:v>
                </c:pt>
                <c:pt idx="2">
                  <c:v>#N/A</c:v>
                </c:pt>
                <c:pt idx="3">
                  <c:v>#N/A</c:v>
                </c:pt>
                <c:pt idx="4">
                  <c:v>15751.315367853391</c:v>
                </c:pt>
                <c:pt idx="5">
                  <c:v>16196.74371517669</c:v>
                </c:pt>
                <c:pt idx="6">
                  <c:v>13936.977813476751</c:v>
                </c:pt>
                <c:pt idx="7">
                  <c:v>14199.355910405848</c:v>
                </c:pt>
                <c:pt idx="8">
                  <c:v>18018.708587537905</c:v>
                </c:pt>
                <c:pt idx="9">
                  <c:v>16147.80423396279</c:v>
                </c:pt>
                <c:pt idx="10">
                  <c:v>12828.094689817581</c:v>
                </c:pt>
                <c:pt idx="11">
                  <c:v>13165.081779125734</c:v>
                </c:pt>
                <c:pt idx="12">
                  <c:v>16520.068345705724</c:v>
                </c:pt>
                <c:pt idx="13">
                  <c:v>16444.718737778578</c:v>
                </c:pt>
                <c:pt idx="14">
                  <c:v>24895.689900603778</c:v>
                </c:pt>
                <c:pt idx="15">
                  <c:v>25467.918269876274</c:v>
                </c:pt>
                <c:pt idx="16">
                  <c:v>#N/A</c:v>
                </c:pt>
                <c:pt idx="17">
                  <c:v>#N/A</c:v>
                </c:pt>
                <c:pt idx="18">
                  <c:v>14311.79609988154</c:v>
                </c:pt>
                <c:pt idx="19">
                  <c:v>15601.072858713635</c:v>
                </c:pt>
                <c:pt idx="20">
                  <c:v>#N/A</c:v>
                </c:pt>
                <c:pt idx="21">
                  <c:v>#N/A</c:v>
                </c:pt>
                <c:pt idx="22">
                  <c:v>#N/A</c:v>
                </c:pt>
                <c:pt idx="23">
                  <c:v>#N/A</c:v>
                </c:pt>
                <c:pt idx="24">
                  <c:v>13760.823903940971</c:v>
                </c:pt>
                <c:pt idx="25">
                  <c:v>13457.287917612148</c:v>
                </c:pt>
                <c:pt idx="26">
                  <c:v>13045.360330376525</c:v>
                </c:pt>
                <c:pt idx="27">
                  <c:v>12404.907920282028</c:v>
                </c:pt>
                <c:pt idx="28">
                  <c:v>11694.444686128596</c:v>
                </c:pt>
                <c:pt idx="29">
                  <c:v>13403.573546827956</c:v>
                </c:pt>
                <c:pt idx="30">
                  <c:v>15341.963988218848</c:v>
                </c:pt>
                <c:pt idx="31">
                  <c:v>15030.645778117268</c:v>
                </c:pt>
                <c:pt idx="32">
                  <c:v>11194.486749924645</c:v>
                </c:pt>
                <c:pt idx="33">
                  <c:v>11279.200050875092</c:v>
                </c:pt>
                <c:pt idx="34">
                  <c:v>12961.612581364208</c:v>
                </c:pt>
                <c:pt idx="35">
                  <c:v>12577.935540146907</c:v>
                </c:pt>
                <c:pt idx="36">
                  <c:v>11783.500975048082</c:v>
                </c:pt>
                <c:pt idx="37">
                  <c:v>13395.881618108873</c:v>
                </c:pt>
                <c:pt idx="38">
                  <c:v>15334.474354134532</c:v>
                </c:pt>
                <c:pt idx="39">
                  <c:v>14689.266852435952</c:v>
                </c:pt>
                <c:pt idx="40">
                  <c:v>#N/A</c:v>
                </c:pt>
                <c:pt idx="41">
                  <c:v>#N/A</c:v>
                </c:pt>
                <c:pt idx="42">
                  <c:v>#N/A</c:v>
                </c:pt>
                <c:pt idx="43">
                  <c:v>#N/A</c:v>
                </c:pt>
                <c:pt idx="44">
                  <c:v>14966.468229326725</c:v>
                </c:pt>
                <c:pt idx="45">
                  <c:v>14005.352383507334</c:v>
                </c:pt>
              </c:numCache>
            </c:numRef>
          </c:val>
          <c:smooth val="0"/>
          <c:extLst>
            <c:ext xmlns:c16="http://schemas.microsoft.com/office/drawing/2014/chart" uri="{C3380CC4-5D6E-409C-BE32-E72D297353CC}">
              <c16:uniqueId val="{00000000-85D7-4409-8E7B-D5DC9B7C112A}"/>
            </c:ext>
          </c:extLst>
        </c:ser>
        <c:ser>
          <c:idx val="3"/>
          <c:order val="1"/>
          <c:tx>
            <c:strRef>
              <c:f>'2.2_data'!$B$90</c:f>
              <c:strCache>
                <c:ptCount val="1"/>
                <c:pt idx="0">
                  <c:v>Maximum</c:v>
                </c:pt>
              </c:strCache>
            </c:strRef>
          </c:tx>
          <c:spPr>
            <a:ln w="25400">
              <a:noFill/>
            </a:ln>
          </c:spPr>
          <c:marker>
            <c:symbol val="dash"/>
            <c:size val="5"/>
            <c:spPr>
              <a:solidFill>
                <a:srgbClr val="00ABAB"/>
              </a:solidFill>
              <a:ln>
                <a:solidFill>
                  <a:srgbClr val="00ABAB"/>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'2.2_data'!$C$90:$AV$90</c:f>
              <c:numCache>
                <c:formatCode>0</c:formatCode>
                <c:ptCount val="46"/>
                <c:pt idx="0">
                  <c:v>23962.997224883973</c:v>
                </c:pt>
                <c:pt idx="1">
                  <c:v>28666.373868945266</c:v>
                </c:pt>
                <c:pt idx="2">
                  <c:v>#N/A</c:v>
                </c:pt>
                <c:pt idx="3">
                  <c:v>#N/A</c:v>
                </c:pt>
                <c:pt idx="4">
                  <c:v>48776.273047036993</c:v>
                </c:pt>
                <c:pt idx="5">
                  <c:v>45027.485388653717</c:v>
                </c:pt>
                <c:pt idx="6">
                  <c:v>39696.646240768823</c:v>
                </c:pt>
                <c:pt idx="7">
                  <c:v>33980.601959184962</c:v>
                </c:pt>
                <c:pt idx="8">
                  <c:v>47510.182011175144</c:v>
                </c:pt>
                <c:pt idx="9">
                  <c:v>52265.70456351641</c:v>
                </c:pt>
                <c:pt idx="10">
                  <c:v>31338.124434353133</c:v>
                </c:pt>
                <c:pt idx="11">
                  <c:v>28066.722381332373</c:v>
                </c:pt>
                <c:pt idx="12">
                  <c:v>51868.934031916528</c:v>
                </c:pt>
                <c:pt idx="13">
                  <c:v>24817.126669609603</c:v>
                </c:pt>
                <c:pt idx="14">
                  <c:v>68998.231232082471</c:v>
                </c:pt>
                <c:pt idx="15">
                  <c:v>50696.673968685944</c:v>
                </c:pt>
                <c:pt idx="16">
                  <c:v>#N/A</c:v>
                </c:pt>
                <c:pt idx="17">
                  <c:v>#N/A</c:v>
                </c:pt>
                <c:pt idx="18">
                  <c:v>17518.014939872723</c:v>
                </c:pt>
                <c:pt idx="19">
                  <c:v>19084.359445366415</c:v>
                </c:pt>
                <c:pt idx="20">
                  <c:v>#N/A</c:v>
                </c:pt>
                <c:pt idx="21">
                  <c:v>#N/A</c:v>
                </c:pt>
                <c:pt idx="22">
                  <c:v>#N/A</c:v>
                </c:pt>
                <c:pt idx="23">
                  <c:v>#N/A</c:v>
                </c:pt>
                <c:pt idx="24">
                  <c:v>24399.339805507345</c:v>
                </c:pt>
                <c:pt idx="25">
                  <c:v>28666.373868945266</c:v>
                </c:pt>
                <c:pt idx="26">
                  <c:v>24677.743416136382</c:v>
                </c:pt>
                <c:pt idx="27">
                  <c:v>30836.030310094637</c:v>
                </c:pt>
                <c:pt idx="28">
                  <c:v>32996.542709610861</c:v>
                </c:pt>
                <c:pt idx="29">
                  <c:v>29920.545894899475</c:v>
                </c:pt>
                <c:pt idx="30">
                  <c:v>27636.269275055674</c:v>
                </c:pt>
                <c:pt idx="31">
                  <c:v>27145.474165047646</c:v>
                </c:pt>
                <c:pt idx="32">
                  <c:v>23301.045135688735</c:v>
                </c:pt>
                <c:pt idx="33">
                  <c:v>28666.373868945266</c:v>
                </c:pt>
                <c:pt idx="34">
                  <c:v>26276.291252050287</c:v>
                </c:pt>
                <c:pt idx="35">
                  <c:v>28666.373868945266</c:v>
                </c:pt>
                <c:pt idx="36">
                  <c:v>22934.578153927945</c:v>
                </c:pt>
                <c:pt idx="37">
                  <c:v>34238.085339692494</c:v>
                </c:pt>
                <c:pt idx="38">
                  <c:v>25902.757054045582</c:v>
                </c:pt>
                <c:pt idx="39">
                  <c:v>34632.819174934732</c:v>
                </c:pt>
                <c:pt idx="40">
                  <c:v>#N/A</c:v>
                </c:pt>
                <c:pt idx="41">
                  <c:v>#N/A</c:v>
                </c:pt>
                <c:pt idx="42">
                  <c:v>#N/A</c:v>
                </c:pt>
                <c:pt idx="43">
                  <c:v>9812.2234776741279</c:v>
                </c:pt>
                <c:pt idx="44">
                  <c:v>27856.501991215442</c:v>
                </c:pt>
                <c:pt idx="45">
                  <c:v>29624.774261838094</c:v>
                </c:pt>
              </c:numCache>
            </c:numRef>
          </c:val>
          <c:smooth val="0"/>
          <c:extLst>
            <c:ext xmlns:c16="http://schemas.microsoft.com/office/drawing/2014/chart" uri="{C3380CC4-5D6E-409C-BE32-E72D297353CC}">
              <c16:uniqueId val="{00000001-85D7-4409-8E7B-D5DC9B7C112A}"/>
            </c:ext>
          </c:extLst>
        </c:ser>
        <c:ser>
          <c:idx val="2"/>
          <c:order val="3"/>
          <c:tx>
            <c:strRef>
              <c:f>'2.2_data'!$B$89</c:f>
              <c:strCache>
                <c:ptCount val="1"/>
                <c:pt idx="0">
                  <c:v>Minimum</c:v>
                </c:pt>
              </c:strCache>
            </c:strRef>
          </c:tx>
          <c:spPr>
            <a:ln w="25400">
              <a:noFill/>
            </a:ln>
          </c:spPr>
          <c:marker>
            <c:symbol val="dash"/>
            <c:size val="5"/>
            <c:spPr>
              <a:solidFill>
                <a:srgbClr val="00ABAB"/>
              </a:solidFill>
              <a:ln>
                <a:solidFill>
                  <a:srgbClr val="00ABAB"/>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'2.2_data'!$C$89:$AV$89</c:f>
              <c:numCache>
                <c:formatCode>0</c:formatCode>
                <c:ptCount val="46"/>
                <c:pt idx="0">
                  <c:v>11613.785764328712</c:v>
                </c:pt>
                <c:pt idx="1">
                  <c:v>8388.2397072285894</c:v>
                </c:pt>
                <c:pt idx="2">
                  <c:v>#N/A</c:v>
                </c:pt>
                <c:pt idx="3">
                  <c:v>#N/A</c:v>
                </c:pt>
                <c:pt idx="4">
                  <c:v>6999.4262093455809</c:v>
                </c:pt>
                <c:pt idx="5">
                  <c:v>8288.9159959157751</c:v>
                </c:pt>
                <c:pt idx="6">
                  <c:v>6619.5731852393492</c:v>
                </c:pt>
                <c:pt idx="7">
                  <c:v>3131.7040504824308</c:v>
                </c:pt>
                <c:pt idx="8">
                  <c:v>11323.845818385693</c:v>
                </c:pt>
                <c:pt idx="9">
                  <c:v>8486.1984876155657</c:v>
                </c:pt>
                <c:pt idx="10">
                  <c:v>7773.2277474048606</c:v>
                </c:pt>
                <c:pt idx="11">
                  <c:v>6702.6279723200105</c:v>
                </c:pt>
                <c:pt idx="12">
                  <c:v>16419.526299849069</c:v>
                </c:pt>
                <c:pt idx="13">
                  <c:v>16365.12072025632</c:v>
                </c:pt>
                <c:pt idx="14">
                  <c:v>24895.689900603778</c:v>
                </c:pt>
                <c:pt idx="15">
                  <c:v>25091.719740971035</c:v>
                </c:pt>
                <c:pt idx="16">
                  <c:v>#N/A</c:v>
                </c:pt>
                <c:pt idx="17">
                  <c:v>#N/A</c:v>
                </c:pt>
                <c:pt idx="18">
                  <c:v>13864.666625295349</c:v>
                </c:pt>
                <c:pt idx="19">
                  <c:v>15491.24449152912</c:v>
                </c:pt>
                <c:pt idx="20">
                  <c:v>#N/A</c:v>
                </c:pt>
                <c:pt idx="21">
                  <c:v>#N/A</c:v>
                </c:pt>
                <c:pt idx="22">
                  <c:v>#N/A</c:v>
                </c:pt>
                <c:pt idx="23">
                  <c:v>#N/A</c:v>
                </c:pt>
                <c:pt idx="24">
                  <c:v>7684.4619008657901</c:v>
                </c:pt>
                <c:pt idx="25">
                  <c:v>9744.5956376285503</c:v>
                </c:pt>
                <c:pt idx="26">
                  <c:v>8971.0947979808061</c:v>
                </c:pt>
                <c:pt idx="27">
                  <c:v>2362.4252607832777</c:v>
                </c:pt>
                <c:pt idx="28">
                  <c:v>8748.9965022039833</c:v>
                </c:pt>
                <c:pt idx="29">
                  <c:v>8351.4346833690033</c:v>
                </c:pt>
                <c:pt idx="30">
                  <c:v>7599.6810615312506</c:v>
                </c:pt>
                <c:pt idx="31">
                  <c:v>7736.8640050865433</c:v>
                </c:pt>
                <c:pt idx="32">
                  <c:v>7387.3744353376342</c:v>
                </c:pt>
                <c:pt idx="33">
                  <c:v>5296.8164360144638</c:v>
                </c:pt>
                <c:pt idx="34">
                  <c:v>9116.2453870666777</c:v>
                </c:pt>
                <c:pt idx="35">
                  <c:v>5317.2091131574325</c:v>
                </c:pt>
                <c:pt idx="36">
                  <c:v>7161.4614855719692</c:v>
                </c:pt>
                <c:pt idx="37">
                  <c:v>8885.6795644919366</c:v>
                </c:pt>
                <c:pt idx="38">
                  <c:v>7643.5795292311359</c:v>
                </c:pt>
                <c:pt idx="39">
                  <c:v>9122.1052501447684</c:v>
                </c:pt>
                <c:pt idx="40">
                  <c:v>#N/A</c:v>
                </c:pt>
                <c:pt idx="41">
                  <c:v>#N/A</c:v>
                </c:pt>
                <c:pt idx="42">
                  <c:v>#N/A</c:v>
                </c:pt>
                <c:pt idx="43">
                  <c:v>4225.3287552675502</c:v>
                </c:pt>
                <c:pt idx="44">
                  <c:v>8513.5462637247547</c:v>
                </c:pt>
                <c:pt idx="45">
                  <c:v>6000.0222389127484</c:v>
                </c:pt>
              </c:numCache>
            </c:numRef>
          </c:val>
          <c:smooth val="0"/>
          <c:extLst>
            <c:ext xmlns:c16="http://schemas.microsoft.com/office/drawing/2014/chart" uri="{C3380CC4-5D6E-409C-BE32-E72D297353CC}">
              <c16:uniqueId val="{00000002-85D7-4409-8E7B-D5DC9B7C112A}"/>
            </c:ext>
          </c:extLst>
        </c:ser>
        <c:ser>
          <c:idx val="1"/>
          <c:order val="4"/>
          <c:tx>
            <c:strRef>
              <c:f>'2.2_data'!$B$85</c:f>
              <c:strCache>
                <c:ptCount val="1"/>
                <c:pt idx="0">
                  <c:v>75th percentile</c:v>
                </c:pt>
              </c:strCache>
            </c:strRef>
          </c:tx>
          <c:spPr>
            <a:ln w="25400">
              <a:noFill/>
            </a:ln>
          </c:spPr>
          <c:marker>
            <c:symbol val="none"/>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'2.2_data'!$C$85:$AV$85</c:f>
              <c:numCache>
                <c:formatCode>0</c:formatCode>
                <c:ptCount val="46"/>
                <c:pt idx="0">
                  <c:v>19356.939239554675</c:v>
                </c:pt>
                <c:pt idx="1">
                  <c:v>20581.932127144773</c:v>
                </c:pt>
                <c:pt idx="2">
                  <c:v>#N/A</c:v>
                </c:pt>
                <c:pt idx="3">
                  <c:v>#N/A</c:v>
                </c:pt>
                <c:pt idx="4">
                  <c:v>23709.510050910176</c:v>
                </c:pt>
                <c:pt idx="5">
                  <c:v>25188.832350614335</c:v>
                </c:pt>
                <c:pt idx="6">
                  <c:v>20864.790019883108</c:v>
                </c:pt>
                <c:pt idx="7">
                  <c:v>20368.413620422412</c:v>
                </c:pt>
                <c:pt idx="8">
                  <c:v>30813.071193449236</c:v>
                </c:pt>
                <c:pt idx="9">
                  <c:v>36313.465056816975</c:v>
                </c:pt>
                <c:pt idx="10">
                  <c:v>25225.474862900257</c:v>
                </c:pt>
                <c:pt idx="11">
                  <c:v>20747.969120214853</c:v>
                </c:pt>
                <c:pt idx="12">
                  <c:v>45708.771416561227</c:v>
                </c:pt>
                <c:pt idx="13">
                  <c:v>24015.252661116428</c:v>
                </c:pt>
                <c:pt idx="14">
                  <c:v>68998.231232082471</c:v>
                </c:pt>
                <c:pt idx="15">
                  <c:v>45706.739121507926</c:v>
                </c:pt>
                <c:pt idx="16">
                  <c:v>#N/A</c:v>
                </c:pt>
                <c:pt idx="17">
                  <c:v>#N/A</c:v>
                </c:pt>
                <c:pt idx="18">
                  <c:v>17324.43288345277</c:v>
                </c:pt>
                <c:pt idx="19">
                  <c:v>18676.433035336689</c:v>
                </c:pt>
                <c:pt idx="20">
                  <c:v>#N/A</c:v>
                </c:pt>
                <c:pt idx="21">
                  <c:v>#N/A</c:v>
                </c:pt>
                <c:pt idx="22">
                  <c:v>#N/A</c:v>
                </c:pt>
                <c:pt idx="23">
                  <c:v>#N/A</c:v>
                </c:pt>
                <c:pt idx="24">
                  <c:v>18657.795336210911</c:v>
                </c:pt>
                <c:pt idx="25">
                  <c:v>19558.077782431159</c:v>
                </c:pt>
                <c:pt idx="26">
                  <c:v>21233.758299101246</c:v>
                </c:pt>
                <c:pt idx="27">
                  <c:v>27512.024187719428</c:v>
                </c:pt>
                <c:pt idx="28">
                  <c:v>17414.124348938516</c:v>
                </c:pt>
                <c:pt idx="29">
                  <c:v>18150.682167478233</c:v>
                </c:pt>
                <c:pt idx="30">
                  <c:v>21396.273922194843</c:v>
                </c:pt>
                <c:pt idx="31">
                  <c:v>23118.377951251612</c:v>
                </c:pt>
                <c:pt idx="32">
                  <c:v>17419.198253859347</c:v>
                </c:pt>
                <c:pt idx="33">
                  <c:v>19085.075783524993</c:v>
                </c:pt>
                <c:pt idx="34">
                  <c:v>18599.03569227918</c:v>
                </c:pt>
                <c:pt idx="35">
                  <c:v>19823.985138880806</c:v>
                </c:pt>
                <c:pt idx="36">
                  <c:v>18745.666240049381</c:v>
                </c:pt>
                <c:pt idx="37">
                  <c:v>20912.195092566424</c:v>
                </c:pt>
                <c:pt idx="38">
                  <c:v>21883.765280671756</c:v>
                </c:pt>
                <c:pt idx="39">
                  <c:v>23877.630418861714</c:v>
                </c:pt>
                <c:pt idx="40">
                  <c:v>#N/A</c:v>
                </c:pt>
                <c:pt idx="41">
                  <c:v>#N/A</c:v>
                </c:pt>
                <c:pt idx="42">
                  <c:v>#N/A</c:v>
                </c:pt>
                <c:pt idx="43">
                  <c:v>#N/A</c:v>
                </c:pt>
                <c:pt idx="44">
                  <c:v>20829.221837595083</c:v>
                </c:pt>
                <c:pt idx="45">
                  <c:v>21056.328601079167</c:v>
                </c:pt>
              </c:numCache>
            </c:numRef>
          </c:val>
          <c:smooth val="0"/>
          <c:extLst>
            <c:ext xmlns:c16="http://schemas.microsoft.com/office/drawing/2014/chart" uri="{C3380CC4-5D6E-409C-BE32-E72D297353CC}">
              <c16:uniqueId val="{00000003-85D7-4409-8E7B-D5DC9B7C112A}"/>
            </c:ext>
          </c:extLst>
        </c:ser>
        <c:dLbls>
          <c:showLegendKey val="0"/>
          <c:showVal val="0"/>
          <c:showCatName val="0"/>
          <c:showSerName val="0"/>
          <c:showPercent val="0"/>
          <c:showBubbleSize val="0"/>
        </c:dLbls>
        <c:hiLowLines>
          <c:spPr>
            <a:ln>
              <a:solidFill>
                <a:srgbClr val="00ABAB"/>
              </a:solidFill>
            </a:ln>
          </c:spPr>
        </c:hiLowLines>
        <c:upDownBars>
          <c:gapWidth val="150"/>
          <c:upBars>
            <c:spPr>
              <a:solidFill>
                <a:srgbClr val="00ABAB"/>
              </a:solidFill>
              <a:ln>
                <a:solidFill>
                  <a:srgbClr val="00ABAB"/>
                </a:solidFill>
              </a:ln>
            </c:spPr>
          </c:upBars>
          <c:downBars/>
        </c:upDownBars>
        <c:axId val="1627822991"/>
        <c:axId val="1627805103"/>
      </c:stockChart>
      <c:stockChart>
        <c:ser>
          <c:idx val="4"/>
          <c:order val="2"/>
          <c:tx>
            <c:v>Mean</c:v>
          </c:tx>
          <c:spPr>
            <a:ln w="25400">
              <a:noFill/>
            </a:ln>
          </c:spPr>
          <c:marker>
            <c:symbol val="diamond"/>
            <c:size val="5"/>
            <c:spPr>
              <a:solidFill>
                <a:schemeClr val="tx2"/>
              </a:solidFill>
              <a:ln>
                <a:solidFill>
                  <a:schemeClr val="tx2"/>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'2.2_data'!$C$82:$AV$82</c:f>
              <c:numCache>
                <c:formatCode>0</c:formatCode>
                <c:ptCount val="46"/>
                <c:pt idx="0">
                  <c:v>17580.746537088999</c:v>
                </c:pt>
                <c:pt idx="1">
                  <c:v>18851.536453103323</c:v>
                </c:pt>
                <c:pt idx="2">
                  <c:v>24001.126516801822</c:v>
                </c:pt>
                <c:pt idx="3">
                  <c:v>36351.577492295852</c:v>
                </c:pt>
                <c:pt idx="4">
                  <c:v>23264.676237232434</c:v>
                </c:pt>
                <c:pt idx="5">
                  <c:v>22566.499451983564</c:v>
                </c:pt>
                <c:pt idx="6">
                  <c:v>19227.947101671223</c:v>
                </c:pt>
                <c:pt idx="7">
                  <c:v>19763.486822100727</c:v>
                </c:pt>
                <c:pt idx="8">
                  <c:v>27016.709308517235</c:v>
                </c:pt>
                <c:pt idx="9">
                  <c:v>26878.601539991894</c:v>
                </c:pt>
                <c:pt idx="10">
                  <c:v>18582.508790719126</c:v>
                </c:pt>
                <c:pt idx="11">
                  <c:v>20663.380430447934</c:v>
                </c:pt>
                <c:pt idx="12">
                  <c:v>24731.264980973971</c:v>
                </c:pt>
                <c:pt idx="13">
                  <c:v>16689.3314018009</c:v>
                </c:pt>
                <c:pt idx="14">
                  <c:v>50110.832872182524</c:v>
                </c:pt>
                <c:pt idx="15">
                  <c:v>33076.05937157345</c:v>
                </c:pt>
                <c:pt idx="16">
                  <c:v>24810.410765988243</c:v>
                </c:pt>
                <c:pt idx="17">
                  <c:v>22967.758780745586</c:v>
                </c:pt>
                <c:pt idx="18">
                  <c:v>15735.872234666356</c:v>
                </c:pt>
                <c:pt idx="19">
                  <c:v>16223.077848542029</c:v>
                </c:pt>
                <c:pt idx="20">
                  <c:v>#N/A</c:v>
                </c:pt>
                <c:pt idx="21">
                  <c:v>#N/A</c:v>
                </c:pt>
                <c:pt idx="22">
                  <c:v>#N/A</c:v>
                </c:pt>
                <c:pt idx="23">
                  <c:v>#N/A</c:v>
                </c:pt>
                <c:pt idx="24">
                  <c:v>17707.682514726053</c:v>
                </c:pt>
                <c:pt idx="25">
                  <c:v>18435.585323973868</c:v>
                </c:pt>
                <c:pt idx="26">
                  <c:v>18150.559046810667</c:v>
                </c:pt>
                <c:pt idx="27">
                  <c:v>15835.272218311804</c:v>
                </c:pt>
                <c:pt idx="28">
                  <c:v>15281.586362766009</c:v>
                </c:pt>
                <c:pt idx="29">
                  <c:v>16851.281096969353</c:v>
                </c:pt>
                <c:pt idx="30">
                  <c:v>18919.265630784801</c:v>
                </c:pt>
                <c:pt idx="31">
                  <c:v>19959.319604849999</c:v>
                </c:pt>
                <c:pt idx="32">
                  <c:v>14604.390139354548</c:v>
                </c:pt>
                <c:pt idx="33">
                  <c:v>15453.082166851775</c:v>
                </c:pt>
                <c:pt idx="34">
                  <c:v>13900.473533827626</c:v>
                </c:pt>
                <c:pt idx="35">
                  <c:v>12540.014721939948</c:v>
                </c:pt>
                <c:pt idx="36">
                  <c:v>15634.710559217889</c:v>
                </c:pt>
                <c:pt idx="37">
                  <c:v>16114.756939155457</c:v>
                </c:pt>
                <c:pt idx="38">
                  <c:v>21746.331214522819</c:v>
                </c:pt>
                <c:pt idx="39">
                  <c:v>22919.041329632655</c:v>
                </c:pt>
                <c:pt idx="40">
                  <c:v>#N/A</c:v>
                </c:pt>
                <c:pt idx="41">
                  <c:v>#N/A</c:v>
                </c:pt>
                <c:pt idx="42">
                  <c:v>9864.6077138624296</c:v>
                </c:pt>
                <c:pt idx="43">
                  <c:v>8751.4206822804736</c:v>
                </c:pt>
                <c:pt idx="44">
                  <c:v>18009.640406410552</c:v>
                </c:pt>
                <c:pt idx="45">
                  <c:v>17913.668271223865</c:v>
                </c:pt>
              </c:numCache>
            </c:numRef>
          </c:val>
          <c:smooth val="0"/>
          <c:extLst>
            <c:ext xmlns:c16="http://schemas.microsoft.com/office/drawing/2014/chart" uri="{C3380CC4-5D6E-409C-BE32-E72D297353CC}">
              <c16:uniqueId val="{00000004-85D7-4409-8E7B-D5DC9B7C112A}"/>
            </c:ext>
          </c:extLst>
        </c:ser>
        <c:dLbls>
          <c:showLegendKey val="0"/>
          <c:showVal val="0"/>
          <c:showCatName val="0"/>
          <c:showSerName val="0"/>
          <c:showPercent val="0"/>
          <c:showBubbleSize val="0"/>
        </c:dLbls>
        <c:axId val="1627822991"/>
        <c:axId val="1627805103"/>
      </c:stockChart>
      <c:catAx>
        <c:axId val="1627822991"/>
        <c:scaling>
          <c:orientation val="minMax"/>
        </c:scaling>
        <c:delete val="0"/>
        <c:axPos val="b"/>
        <c:majorGridlines>
          <c:spPr>
            <a:ln>
              <a:solidFill>
                <a:schemeClr val="tx1"/>
              </a:solidFill>
            </a:ln>
          </c:spPr>
        </c:majorGridlines>
        <c:numFmt formatCode="General" sourceLinked="1"/>
        <c:majorTickMark val="out"/>
        <c:minorTickMark val="none"/>
        <c:tickLblPos val="nextTo"/>
        <c:spPr>
          <a:ln>
            <a:solidFill>
              <a:schemeClr val="tx1"/>
            </a:solidFill>
          </a:ln>
        </c:spPr>
        <c:txPr>
          <a:bodyPr rot="-2940000"/>
          <a:lstStyle/>
          <a:p>
            <a:pPr>
              <a:defRPr sz="700"/>
            </a:pPr>
            <a:endParaRPr lang="en-US"/>
          </a:p>
        </c:txPr>
        <c:crossAx val="1627805103"/>
        <c:crosses val="autoZero"/>
        <c:auto val="1"/>
        <c:lblAlgn val="ctr"/>
        <c:lblOffset val="100"/>
        <c:tickMarkSkip val="2"/>
        <c:noMultiLvlLbl val="0"/>
      </c:catAx>
      <c:valAx>
        <c:axId val="1627805103"/>
        <c:scaling>
          <c:orientation val="minMax"/>
        </c:scaling>
        <c:delete val="0"/>
        <c:axPos val="l"/>
        <c:majorGridlines>
          <c:spPr>
            <a:ln>
              <a:noFill/>
            </a:ln>
          </c:spPr>
        </c:majorGridlines>
        <c:numFmt formatCode="&quot;$&quot;#,##0" sourceLinked="0"/>
        <c:majorTickMark val="out"/>
        <c:minorTickMark val="none"/>
        <c:tickLblPos val="nextTo"/>
        <c:spPr>
          <a:ln>
            <a:solidFill>
              <a:schemeClr val="tx1"/>
            </a:solidFill>
          </a:ln>
        </c:spPr>
        <c:crossAx val="1627822991"/>
        <c:crosses val="autoZero"/>
        <c:crossBetween val="between"/>
      </c:valAx>
    </c:plotArea>
    <c:plotVisOnly val="1"/>
    <c:dispBlanksAs val="gap"/>
    <c:showDLblsOverMax val="0"/>
  </c:chart>
  <c:spPr>
    <a:ln>
      <a:noFill/>
    </a:ln>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47454463458019E-2"/>
          <c:y val="4.7655119557351508E-2"/>
          <c:w val="0.94307619071480486"/>
          <c:h val="0.71481090567460959"/>
        </c:manualLayout>
      </c:layout>
      <c:stockChart>
        <c:ser>
          <c:idx val="0"/>
          <c:order val="0"/>
          <c:tx>
            <c:strRef>
              <c:f>'2.2_data'!$B$102</c:f>
              <c:strCache>
                <c:ptCount val="1"/>
                <c:pt idx="0">
                  <c:v>25th percentile</c:v>
                </c:pt>
              </c:strCache>
            </c:strRef>
          </c:tx>
          <c:spPr>
            <a:ln w="25400">
              <a:noFill/>
            </a:ln>
          </c:spPr>
          <c:marker>
            <c:symbol val="none"/>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'2.2_data'!$C$102:$AV$102</c:f>
              <c:numCache>
                <c:formatCode>0</c:formatCode>
                <c:ptCount val="46"/>
                <c:pt idx="0">
                  <c:v>14373.037701207621</c:v>
                </c:pt>
                <c:pt idx="1">
                  <c:v>14692.910201620005</c:v>
                </c:pt>
                <c:pt idx="2">
                  <c:v>17758.490807725131</c:v>
                </c:pt>
                <c:pt idx="3">
                  <c:v>15931.094010067376</c:v>
                </c:pt>
                <c:pt idx="4">
                  <c:v>17881.186146496169</c:v>
                </c:pt>
                <c:pt idx="5">
                  <c:v>16781.657102678091</c:v>
                </c:pt>
                <c:pt idx="6">
                  <c:v>13904.053424662232</c:v>
                </c:pt>
                <c:pt idx="7">
                  <c:v>14406.086090393881</c:v>
                </c:pt>
                <c:pt idx="8">
                  <c:v>18374.924502638052</c:v>
                </c:pt>
                <c:pt idx="9">
                  <c:v>17828.007698041078</c:v>
                </c:pt>
                <c:pt idx="10">
                  <c:v>15121.471953680953</c:v>
                </c:pt>
                <c:pt idx="11">
                  <c:v>15427.639557208131</c:v>
                </c:pt>
                <c:pt idx="12">
                  <c:v>18898.863732823163</c:v>
                </c:pt>
                <c:pt idx="13">
                  <c:v>18300.341650033835</c:v>
                </c:pt>
                <c:pt idx="14">
                  <c:v>25704.56154517613</c:v>
                </c:pt>
                <c:pt idx="15">
                  <c:v>26253.781230780849</c:v>
                </c:pt>
                <c:pt idx="16">
                  <c:v>20951.003253284645</c:v>
                </c:pt>
                <c:pt idx="17">
                  <c:v>21929.124795987002</c:v>
                </c:pt>
                <c:pt idx="18">
                  <c:v>17096.09344250405</c:v>
                </c:pt>
                <c:pt idx="19">
                  <c:v>15726.618821632317</c:v>
                </c:pt>
                <c:pt idx="20">
                  <c:v>31318.515512183767</c:v>
                </c:pt>
                <c:pt idx="21">
                  <c:v>31963.284652719729</c:v>
                </c:pt>
                <c:pt idx="22">
                  <c:v>33767.452057365248</c:v>
                </c:pt>
                <c:pt idx="23">
                  <c:v>37744.665753116184</c:v>
                </c:pt>
                <c:pt idx="24">
                  <c:v>17141.176056563811</c:v>
                </c:pt>
                <c:pt idx="25">
                  <c:v>16790.924201634371</c:v>
                </c:pt>
                <c:pt idx="26">
                  <c:v>13619.059394759428</c:v>
                </c:pt>
                <c:pt idx="27">
                  <c:v>13478.730461706251</c:v>
                </c:pt>
                <c:pt idx="28">
                  <c:v>13218.446401292535</c:v>
                </c:pt>
                <c:pt idx="29">
                  <c:v>14121.97977573629</c:v>
                </c:pt>
                <c:pt idx="30">
                  <c:v>15183.222458342214</c:v>
                </c:pt>
                <c:pt idx="31">
                  <c:v>15487.717218776652</c:v>
                </c:pt>
                <c:pt idx="32">
                  <c:v>13158.989952060547</c:v>
                </c:pt>
                <c:pt idx="33">
                  <c:v>12963.819297229895</c:v>
                </c:pt>
                <c:pt idx="34">
                  <c:v>13406.512247935281</c:v>
                </c:pt>
                <c:pt idx="35">
                  <c:v>13212.438630418972</c:v>
                </c:pt>
                <c:pt idx="36">
                  <c:v>13726.254810838644</c:v>
                </c:pt>
                <c:pt idx="37">
                  <c:v>13911.943447117925</c:v>
                </c:pt>
                <c:pt idx="38">
                  <c:v>16727.693322647836</c:v>
                </c:pt>
                <c:pt idx="39">
                  <c:v>17074.584505620533</c:v>
                </c:pt>
                <c:pt idx="40">
                  <c:v>13531.890830953098</c:v>
                </c:pt>
                <c:pt idx="41">
                  <c:v>#N/A</c:v>
                </c:pt>
                <c:pt idx="42">
                  <c:v>7766.6422093596584</c:v>
                </c:pt>
                <c:pt idx="43">
                  <c:v>10687.21666077199</c:v>
                </c:pt>
                <c:pt idx="44">
                  <c:v>15673.542717147559</c:v>
                </c:pt>
                <c:pt idx="45">
                  <c:v>15725.596127252767</c:v>
                </c:pt>
              </c:numCache>
            </c:numRef>
          </c:val>
          <c:smooth val="0"/>
          <c:extLst>
            <c:ext xmlns:c16="http://schemas.microsoft.com/office/drawing/2014/chart" uri="{C3380CC4-5D6E-409C-BE32-E72D297353CC}">
              <c16:uniqueId val="{00000000-6346-47A8-9016-61A4465FFD66}"/>
            </c:ext>
          </c:extLst>
        </c:ser>
        <c:ser>
          <c:idx val="3"/>
          <c:order val="1"/>
          <c:tx>
            <c:strRef>
              <c:f>'2.2_data'!$B$108</c:f>
              <c:strCache>
                <c:ptCount val="1"/>
                <c:pt idx="0">
                  <c:v>Maximum</c:v>
                </c:pt>
              </c:strCache>
            </c:strRef>
          </c:tx>
          <c:spPr>
            <a:ln w="25400">
              <a:noFill/>
            </a:ln>
          </c:spPr>
          <c:marker>
            <c:symbol val="dash"/>
            <c:size val="5"/>
            <c:spPr>
              <a:solidFill>
                <a:srgbClr val="00ABAB"/>
              </a:solidFill>
              <a:ln>
                <a:solidFill>
                  <a:srgbClr val="00ABAB"/>
                </a:solidFill>
              </a:ln>
            </c:spPr>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'2.2_data'!$C$108:$AV$108</c:f>
              <c:numCache>
                <c:formatCode>0</c:formatCode>
                <c:ptCount val="46"/>
                <c:pt idx="0">
                  <c:v>30959.842869226159</c:v>
                </c:pt>
                <c:pt idx="1">
                  <c:v>35582.902510157299</c:v>
                </c:pt>
                <c:pt idx="2">
                  <c:v>40380.491920093344</c:v>
                </c:pt>
                <c:pt idx="3">
                  <c:v>41059.392890462514</c:v>
                </c:pt>
                <c:pt idx="4">
                  <c:v>36150.204042590449</c:v>
                </c:pt>
                <c:pt idx="5">
                  <c:v>36752.003268318411</c:v>
                </c:pt>
                <c:pt idx="6">
                  <c:v>28445.604629978563</c:v>
                </c:pt>
                <c:pt idx="7">
                  <c:v>31439.467904342768</c:v>
                </c:pt>
                <c:pt idx="8">
                  <c:v>37684.349301943352</c:v>
                </c:pt>
                <c:pt idx="9">
                  <c:v>40321.324300773093</c:v>
                </c:pt>
                <c:pt idx="10">
                  <c:v>29538.624379155834</c:v>
                </c:pt>
                <c:pt idx="11">
                  <c:v>28758.014533072877</c:v>
                </c:pt>
                <c:pt idx="12">
                  <c:v>65927.415058823521</c:v>
                </c:pt>
                <c:pt idx="13">
                  <c:v>60493.906829268293</c:v>
                </c:pt>
                <c:pt idx="14">
                  <c:v>54066.335646875814</c:v>
                </c:pt>
                <c:pt idx="15">
                  <c:v>93831.296538063456</c:v>
                </c:pt>
                <c:pt idx="16">
                  <c:v>41566.91189808528</c:v>
                </c:pt>
                <c:pt idx="17">
                  <c:v>35998.7298744</c:v>
                </c:pt>
                <c:pt idx="18">
                  <c:v>22783.456225720034</c:v>
                </c:pt>
                <c:pt idx="19">
                  <c:v>25985.185311320605</c:v>
                </c:pt>
                <c:pt idx="20">
                  <c:v>55953.497364255985</c:v>
                </c:pt>
                <c:pt idx="21">
                  <c:v>57419.876064550641</c:v>
                </c:pt>
                <c:pt idx="22">
                  <c:v>69015.337897573787</c:v>
                </c:pt>
                <c:pt idx="23">
                  <c:v>64300.169383529188</c:v>
                </c:pt>
                <c:pt idx="24">
                  <c:v>29118.939919572011</c:v>
                </c:pt>
                <c:pt idx="25">
                  <c:v>37531.95899987025</c:v>
                </c:pt>
                <c:pt idx="26">
                  <c:v>27008.988041620451</c:v>
                </c:pt>
                <c:pt idx="27">
                  <c:v>28084.7644109635</c:v>
                </c:pt>
                <c:pt idx="28">
                  <c:v>23627.931647305908</c:v>
                </c:pt>
                <c:pt idx="29">
                  <c:v>24460.594003791051</c:v>
                </c:pt>
                <c:pt idx="30">
                  <c:v>31965.769453507335</c:v>
                </c:pt>
                <c:pt idx="31">
                  <c:v>31299.411108917953</c:v>
                </c:pt>
                <c:pt idx="32">
                  <c:v>32269.874660098983</c:v>
                </c:pt>
                <c:pt idx="33">
                  <c:v>31601.955297958179</c:v>
                </c:pt>
                <c:pt idx="34">
                  <c:v>25507.073054024855</c:v>
                </c:pt>
                <c:pt idx="35">
                  <c:v>24345.863590911282</c:v>
                </c:pt>
                <c:pt idx="36">
                  <c:v>24109.02754017858</c:v>
                </c:pt>
                <c:pt idx="37">
                  <c:v>23508.756731709709</c:v>
                </c:pt>
                <c:pt idx="38">
                  <c:v>34446.112883575734</c:v>
                </c:pt>
                <c:pt idx="39">
                  <c:v>35112.221219435509</c:v>
                </c:pt>
                <c:pt idx="40">
                  <c:v>30040.185663424691</c:v>
                </c:pt>
                <c:pt idx="41">
                  <c:v>16099.753149327044</c:v>
                </c:pt>
                <c:pt idx="42">
                  <c:v>22991.718408997633</c:v>
                </c:pt>
                <c:pt idx="43">
                  <c:v>67994.279492810121</c:v>
                </c:pt>
                <c:pt idx="44">
                  <c:v>24368.560271898536</c:v>
                </c:pt>
                <c:pt idx="45">
                  <c:v>25682.678111644484</c:v>
                </c:pt>
              </c:numCache>
            </c:numRef>
          </c:val>
          <c:smooth val="0"/>
          <c:extLst>
            <c:ext xmlns:c16="http://schemas.microsoft.com/office/drawing/2014/chart" uri="{C3380CC4-5D6E-409C-BE32-E72D297353CC}">
              <c16:uniqueId val="{00000001-6346-47A8-9016-61A4465FFD66}"/>
            </c:ext>
          </c:extLst>
        </c:ser>
        <c:ser>
          <c:idx val="2"/>
          <c:order val="3"/>
          <c:tx>
            <c:strRef>
              <c:f>'2.2_data'!$B$107</c:f>
              <c:strCache>
                <c:ptCount val="1"/>
                <c:pt idx="0">
                  <c:v>Minimum</c:v>
                </c:pt>
              </c:strCache>
            </c:strRef>
          </c:tx>
          <c:spPr>
            <a:ln w="25400">
              <a:noFill/>
            </a:ln>
          </c:spPr>
          <c:marker>
            <c:symbol val="dash"/>
            <c:size val="5"/>
            <c:spPr>
              <a:solidFill>
                <a:srgbClr val="00ABAB"/>
              </a:solidFill>
              <a:ln>
                <a:solidFill>
                  <a:srgbClr val="00ABAB"/>
                </a:solidFill>
              </a:ln>
            </c:spPr>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'2.2_data'!$C$107:$AV$107</c:f>
              <c:numCache>
                <c:formatCode>0</c:formatCode>
                <c:ptCount val="46"/>
                <c:pt idx="0">
                  <c:v>10780.908731603375</c:v>
                </c:pt>
                <c:pt idx="1">
                  <c:v>9293.2476689570794</c:v>
                </c:pt>
                <c:pt idx="2">
                  <c:v>8913.1475129386581</c:v>
                </c:pt>
                <c:pt idx="3">
                  <c:v>9361.3338643970383</c:v>
                </c:pt>
                <c:pt idx="4">
                  <c:v>13642.50211060133</c:v>
                </c:pt>
                <c:pt idx="5">
                  <c:v>13425.001561982652</c:v>
                </c:pt>
                <c:pt idx="6">
                  <c:v>4816.046717016181</c:v>
                </c:pt>
                <c:pt idx="7">
                  <c:v>5715.2536559990231</c:v>
                </c:pt>
                <c:pt idx="8">
                  <c:v>13055.225809588292</c:v>
                </c:pt>
                <c:pt idx="9">
                  <c:v>14972.73690239097</c:v>
                </c:pt>
                <c:pt idx="10">
                  <c:v>8031.9349638573149</c:v>
                </c:pt>
                <c:pt idx="11">
                  <c:v>8891.4128388056597</c:v>
                </c:pt>
                <c:pt idx="12">
                  <c:v>10727.185907704241</c:v>
                </c:pt>
                <c:pt idx="13">
                  <c:v>12848.695436254262</c:v>
                </c:pt>
                <c:pt idx="14">
                  <c:v>17344.551556777122</c:v>
                </c:pt>
                <c:pt idx="15">
                  <c:v>16990.075012861191</c:v>
                </c:pt>
                <c:pt idx="16">
                  <c:v>13609.870835252606</c:v>
                </c:pt>
                <c:pt idx="17">
                  <c:v>11910.303559938975</c:v>
                </c:pt>
                <c:pt idx="18">
                  <c:v>13864.128578198104</c:v>
                </c:pt>
                <c:pt idx="19">
                  <c:v>13797.445499185789</c:v>
                </c:pt>
                <c:pt idx="20">
                  <c:v>29520.191616766468</c:v>
                </c:pt>
                <c:pt idx="21">
                  <c:v>29312.200261053269</c:v>
                </c:pt>
                <c:pt idx="22">
                  <c:v>24955.663334579942</c:v>
                </c:pt>
                <c:pt idx="23">
                  <c:v>27809.021829550908</c:v>
                </c:pt>
                <c:pt idx="24">
                  <c:v>12227.784186088866</c:v>
                </c:pt>
                <c:pt idx="25">
                  <c:v>12567.558271595544</c:v>
                </c:pt>
                <c:pt idx="26">
                  <c:v>11745.240156478721</c:v>
                </c:pt>
                <c:pt idx="27">
                  <c:v>11340.234838146478</c:v>
                </c:pt>
                <c:pt idx="28">
                  <c:v>6087.8175431536993</c:v>
                </c:pt>
                <c:pt idx="29">
                  <c:v>9990.7776309483434</c:v>
                </c:pt>
                <c:pt idx="30">
                  <c:v>13176.068951319741</c:v>
                </c:pt>
                <c:pt idx="31">
                  <c:v>7728.0934860918051</c:v>
                </c:pt>
                <c:pt idx="32">
                  <c:v>6070.467256216748</c:v>
                </c:pt>
                <c:pt idx="33">
                  <c:v>8231.7825671487262</c:v>
                </c:pt>
                <c:pt idx="34">
                  <c:v>10793.329088845192</c:v>
                </c:pt>
                <c:pt idx="35">
                  <c:v>10207.21915636939</c:v>
                </c:pt>
                <c:pt idx="36">
                  <c:v>10736.866559312935</c:v>
                </c:pt>
                <c:pt idx="37">
                  <c:v>10166.556502413796</c:v>
                </c:pt>
                <c:pt idx="38">
                  <c:v>6682.9128324955736</c:v>
                </c:pt>
                <c:pt idx="39">
                  <c:v>12748.486891556373</c:v>
                </c:pt>
                <c:pt idx="40">
                  <c:v>13531.890830953098</c:v>
                </c:pt>
                <c:pt idx="41">
                  <c:v>12623.692486033304</c:v>
                </c:pt>
                <c:pt idx="42">
                  <c:v>6129.8953727416438</c:v>
                </c:pt>
                <c:pt idx="43">
                  <c:v>6120.7369119304358</c:v>
                </c:pt>
                <c:pt idx="44">
                  <c:v>12814.530156902363</c:v>
                </c:pt>
                <c:pt idx="45">
                  <c:v>12831.921189840901</c:v>
                </c:pt>
              </c:numCache>
            </c:numRef>
          </c:val>
          <c:smooth val="0"/>
          <c:extLst>
            <c:ext xmlns:c16="http://schemas.microsoft.com/office/drawing/2014/chart" uri="{C3380CC4-5D6E-409C-BE32-E72D297353CC}">
              <c16:uniqueId val="{00000002-6346-47A8-9016-61A4465FFD66}"/>
            </c:ext>
          </c:extLst>
        </c:ser>
        <c:ser>
          <c:idx val="1"/>
          <c:order val="4"/>
          <c:tx>
            <c:strRef>
              <c:f>'2.2_data'!$B$103</c:f>
              <c:strCache>
                <c:ptCount val="1"/>
                <c:pt idx="0">
                  <c:v>75th percentile</c:v>
                </c:pt>
              </c:strCache>
            </c:strRef>
          </c:tx>
          <c:spPr>
            <a:ln w="25400">
              <a:noFill/>
            </a:ln>
          </c:spPr>
          <c:marker>
            <c:symbol val="none"/>
          </c:marker>
          <c:cat>
            <c:strRef>
              <c:f>'2.2_data'!$C$137:$AV$137</c:f>
              <c:strCache>
                <c:ptCount val="46"/>
                <c:pt idx="0">
                  <c:v>2019 MathSci (26,086)</c:v>
                </c:pt>
                <c:pt idx="1">
                  <c:v>2020 MathSci (26,213)</c:v>
                </c:pt>
                <c:pt idx="2">
                  <c:v>2019 MedicalSci (5,740)</c:v>
                </c:pt>
                <c:pt idx="3">
                  <c:v>2020 MedicalSci (6,314)</c:v>
                </c:pt>
                <c:pt idx="4">
                  <c:v>2019 OthNat-PhysSci (68,334)</c:v>
                </c:pt>
                <c:pt idx="5">
                  <c:v>2020 OthNat-PhysSci (68,061)</c:v>
                </c:pt>
                <c:pt idx="6">
                  <c:v>2019 InfoTech (36,906)</c:v>
                </c:pt>
                <c:pt idx="7">
                  <c:v>2020 InfoTech (37,277)</c:v>
                </c:pt>
                <c:pt idx="8">
                  <c:v>2019 Eng&amp;Related (47,273)</c:v>
                </c:pt>
                <c:pt idx="9">
                  <c:v>2020 Eng&amp;Related (46,744)</c:v>
                </c:pt>
                <c:pt idx="10">
                  <c:v>2019 Archi&amp;Build (16,753)</c:v>
                </c:pt>
                <c:pt idx="11">
                  <c:v>2020 Archi&amp;Build (15,910)</c:v>
                </c:pt>
                <c:pt idx="12">
                  <c:v>2019 Environment (4,822)</c:v>
                </c:pt>
                <c:pt idx="13">
                  <c:v>2020 Environment (5,083)</c:v>
                </c:pt>
                <c:pt idx="14">
                  <c:v>2019 OthAg&amp;Enviro (3,885)</c:v>
                </c:pt>
                <c:pt idx="15">
                  <c:v>2020 OthAg&amp;Enviro (3,568)</c:v>
                </c:pt>
                <c:pt idx="16">
                  <c:v>2019 MedicalStudies (12,758)</c:v>
                </c:pt>
                <c:pt idx="17">
                  <c:v>2020 MedicalStudies (12,457)</c:v>
                </c:pt>
                <c:pt idx="18">
                  <c:v>2019 Nursing (50,113)</c:v>
                </c:pt>
                <c:pt idx="19">
                  <c:v>2020 Nursing (52,141)</c:v>
                </c:pt>
                <c:pt idx="20">
                  <c:v>2019 Dental (2,480)</c:v>
                </c:pt>
                <c:pt idx="21">
                  <c:v>2020 Dental (2,543)</c:v>
                </c:pt>
                <c:pt idx="22">
                  <c:v>2019 Veterinary (2,864)</c:v>
                </c:pt>
                <c:pt idx="23">
                  <c:v>2020 Veterinary (3,010)</c:v>
                </c:pt>
                <c:pt idx="24">
                  <c:v>2019 OthHealth (46,307)</c:v>
                </c:pt>
                <c:pt idx="25">
                  <c:v>2020 OthHealth (47,457)</c:v>
                </c:pt>
                <c:pt idx="26">
                  <c:v>2019 Education (43,510)</c:v>
                </c:pt>
                <c:pt idx="27">
                  <c:v>2020 Education (43,099)</c:v>
                </c:pt>
                <c:pt idx="28">
                  <c:v>2019 Mgmt&amp;Comm (94,350)</c:v>
                </c:pt>
                <c:pt idx="29">
                  <c:v>2020 Mgmt&amp;Comm (88,139)</c:v>
                </c:pt>
                <c:pt idx="30">
                  <c:v>2019 ForeignLang (9,389)</c:v>
                </c:pt>
                <c:pt idx="31">
                  <c:v>2020 ForeignLang (7,970)</c:v>
                </c:pt>
                <c:pt idx="32">
                  <c:v>2019 Psych (25,983)</c:v>
                </c:pt>
                <c:pt idx="33">
                  <c:v>2020 Psych (26,207)</c:v>
                </c:pt>
                <c:pt idx="34">
                  <c:v>2019 OtherSoc&amp;Cult (131,459)</c:v>
                </c:pt>
                <c:pt idx="35">
                  <c:v>2020 OtherSoc&amp;Cult (130,460)</c:v>
                </c:pt>
                <c:pt idx="36">
                  <c:v>2019 Comms&amp;Media (27,085)</c:v>
                </c:pt>
                <c:pt idx="37">
                  <c:v>2020 Comms&amp;Media (26,479)</c:v>
                </c:pt>
                <c:pt idx="38">
                  <c:v>2019 OthCreative (26,756)</c:v>
                </c:pt>
                <c:pt idx="39">
                  <c:v>2020 OthCreative (25,390)</c:v>
                </c:pt>
                <c:pt idx="40">
                  <c:v>2019 FoodHosp&amp;Person (51)</c:v>
                </c:pt>
                <c:pt idx="41">
                  <c:v>2020 FoodHosp&amp;Person (30)</c:v>
                </c:pt>
                <c:pt idx="42">
                  <c:v>2019 MixedField (965)</c:v>
                </c:pt>
                <c:pt idx="43">
                  <c:v>2020 MixedField (1,194)</c:v>
                </c:pt>
                <c:pt idx="44">
                  <c:v>2019 Total (683,870)</c:v>
                </c:pt>
                <c:pt idx="45">
                  <c:v>2020 Total (675,746)</c:v>
                </c:pt>
              </c:strCache>
            </c:strRef>
          </c:cat>
          <c:val>
            <c:numRef>
              <c:f>'2.2_data'!$C$103:$AV$103</c:f>
              <c:numCache>
                <c:formatCode>0</c:formatCode>
                <c:ptCount val="46"/>
                <c:pt idx="0">
                  <c:v>19200.805792027</c:v>
                </c:pt>
                <c:pt idx="1">
                  <c:v>18974.260417256759</c:v>
                </c:pt>
                <c:pt idx="2">
                  <c:v>28351.099352918216</c:v>
                </c:pt>
                <c:pt idx="3">
                  <c:v>29764.895986216154</c:v>
                </c:pt>
                <c:pt idx="4">
                  <c:v>22838.119066440795</c:v>
                </c:pt>
                <c:pt idx="5">
                  <c:v>24029.114019075365</c:v>
                </c:pt>
                <c:pt idx="6">
                  <c:v>20209.896326411275</c:v>
                </c:pt>
                <c:pt idx="7">
                  <c:v>20264.572910258816</c:v>
                </c:pt>
                <c:pt idx="8">
                  <c:v>24145.65795796286</c:v>
                </c:pt>
                <c:pt idx="9">
                  <c:v>26350.162988133408</c:v>
                </c:pt>
                <c:pt idx="10">
                  <c:v>20698.71959183674</c:v>
                </c:pt>
                <c:pt idx="11">
                  <c:v>20232.954932216704</c:v>
                </c:pt>
                <c:pt idx="12">
                  <c:v>26870.991554501823</c:v>
                </c:pt>
                <c:pt idx="13">
                  <c:v>25174.306559230889</c:v>
                </c:pt>
                <c:pt idx="14">
                  <c:v>32596.165279569806</c:v>
                </c:pt>
                <c:pt idx="15">
                  <c:v>37405.495005957477</c:v>
                </c:pt>
                <c:pt idx="16">
                  <c:v>32594.370658045802</c:v>
                </c:pt>
                <c:pt idx="17">
                  <c:v>29658.380288011977</c:v>
                </c:pt>
                <c:pt idx="18">
                  <c:v>19820.227104857768</c:v>
                </c:pt>
                <c:pt idx="19">
                  <c:v>20688.019430050139</c:v>
                </c:pt>
                <c:pt idx="20">
                  <c:v>44271.112388794536</c:v>
                </c:pt>
                <c:pt idx="21">
                  <c:v>38859.242801574561</c:v>
                </c:pt>
                <c:pt idx="22">
                  <c:v>56667.929451648699</c:v>
                </c:pt>
                <c:pt idx="23">
                  <c:v>55511.663793685424</c:v>
                </c:pt>
                <c:pt idx="24">
                  <c:v>24117.18156220446</c:v>
                </c:pt>
                <c:pt idx="25">
                  <c:v>23160.270367642981</c:v>
                </c:pt>
                <c:pt idx="26">
                  <c:v>17968.864820079292</c:v>
                </c:pt>
                <c:pt idx="27">
                  <c:v>17417.912220888553</c:v>
                </c:pt>
                <c:pt idx="28">
                  <c:v>18091.252730622356</c:v>
                </c:pt>
                <c:pt idx="29">
                  <c:v>17813.131203647779</c:v>
                </c:pt>
                <c:pt idx="30">
                  <c:v>22381.384926429419</c:v>
                </c:pt>
                <c:pt idx="31">
                  <c:v>23436.740846577723</c:v>
                </c:pt>
                <c:pt idx="32">
                  <c:v>17913.157472986495</c:v>
                </c:pt>
                <c:pt idx="33">
                  <c:v>17511.766810184497</c:v>
                </c:pt>
                <c:pt idx="34">
                  <c:v>16612.409132661029</c:v>
                </c:pt>
                <c:pt idx="35">
                  <c:v>17586.314183761988</c:v>
                </c:pt>
                <c:pt idx="36">
                  <c:v>18465.051194061023</c:v>
                </c:pt>
                <c:pt idx="37">
                  <c:v>18232.155286580761</c:v>
                </c:pt>
                <c:pt idx="38">
                  <c:v>22752.045247060982</c:v>
                </c:pt>
                <c:pt idx="39">
                  <c:v>24402.078061434171</c:v>
                </c:pt>
                <c:pt idx="40">
                  <c:v>30040.185663424691</c:v>
                </c:pt>
                <c:pt idx="41">
                  <c:v>#N/A</c:v>
                </c:pt>
                <c:pt idx="42">
                  <c:v>20595.786700516772</c:v>
                </c:pt>
                <c:pt idx="43">
                  <c:v>23608.372094472288</c:v>
                </c:pt>
                <c:pt idx="44">
                  <c:v>19959.353384402508</c:v>
                </c:pt>
                <c:pt idx="45">
                  <c:v>20200.543743198265</c:v>
                </c:pt>
              </c:numCache>
            </c:numRef>
          </c:val>
          <c:smooth val="0"/>
          <c:extLst>
            <c:ext xmlns:c16="http://schemas.microsoft.com/office/drawing/2014/chart" uri="{C3380CC4-5D6E-409C-BE32-E72D297353CC}">
              <c16:uniqueId val="{00000003-6346-47A8-9016-61A4465FFD66}"/>
            </c:ext>
          </c:extLst>
        </c:ser>
        <c:dLbls>
          <c:showLegendKey val="0"/>
          <c:showVal val="0"/>
          <c:showCatName val="0"/>
          <c:showSerName val="0"/>
          <c:showPercent val="0"/>
          <c:showBubbleSize val="0"/>
        </c:dLbls>
        <c:hiLowLines>
          <c:spPr>
            <a:ln>
              <a:solidFill>
                <a:srgbClr val="00ABAB"/>
              </a:solidFill>
            </a:ln>
          </c:spPr>
        </c:hiLowLines>
        <c:upDownBars>
          <c:gapWidth val="150"/>
          <c:upBars>
            <c:spPr>
              <a:solidFill>
                <a:srgbClr val="00ABAB"/>
              </a:solidFill>
              <a:ln>
                <a:solidFill>
                  <a:srgbClr val="00ABAB"/>
                </a:solidFill>
              </a:ln>
            </c:spPr>
          </c:upBars>
          <c:downBars/>
        </c:upDownBars>
        <c:axId val="1627822991"/>
        <c:axId val="1627805103"/>
      </c:stockChart>
      <c:stockChart>
        <c:ser>
          <c:idx val="4"/>
          <c:order val="2"/>
          <c:tx>
            <c:v>Mean</c:v>
          </c:tx>
          <c:spPr>
            <a:ln w="25400">
              <a:noFill/>
            </a:ln>
          </c:spPr>
          <c:marker>
            <c:symbol val="diamond"/>
            <c:size val="5"/>
            <c:spPr>
              <a:solidFill>
                <a:schemeClr val="tx2"/>
              </a:solidFill>
              <a:ln>
                <a:solidFill>
                  <a:schemeClr val="tx2"/>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'2.2_data'!$C$100:$AV$100</c:f>
              <c:numCache>
                <c:formatCode>0</c:formatCode>
                <c:ptCount val="46"/>
                <c:pt idx="0">
                  <c:v>16739.948435161368</c:v>
                </c:pt>
                <c:pt idx="1">
                  <c:v>16915.455290914033</c:v>
                </c:pt>
                <c:pt idx="2">
                  <c:v>23791.483054600834</c:v>
                </c:pt>
                <c:pt idx="3">
                  <c:v>22686.609034511152</c:v>
                </c:pt>
                <c:pt idx="4">
                  <c:v>21795.771298341948</c:v>
                </c:pt>
                <c:pt idx="5">
                  <c:v>21420.842657612513</c:v>
                </c:pt>
                <c:pt idx="6">
                  <c:v>17180.712058813355</c:v>
                </c:pt>
                <c:pt idx="7">
                  <c:v>17216.293820151936</c:v>
                </c:pt>
                <c:pt idx="8">
                  <c:v>21154.373601381831</c:v>
                </c:pt>
                <c:pt idx="9">
                  <c:v>21546.355871972355</c:v>
                </c:pt>
                <c:pt idx="10">
                  <c:v>18224.499268318355</c:v>
                </c:pt>
                <c:pt idx="11">
                  <c:v>18251.479825003538</c:v>
                </c:pt>
                <c:pt idx="12">
                  <c:v>22419.267636032404</c:v>
                </c:pt>
                <c:pt idx="13">
                  <c:v>21729.741545666977</c:v>
                </c:pt>
                <c:pt idx="14">
                  <c:v>29027.523832964398</c:v>
                </c:pt>
                <c:pt idx="15">
                  <c:v>29153.242981607877</c:v>
                </c:pt>
                <c:pt idx="16">
                  <c:v>29969.684663193591</c:v>
                </c:pt>
                <c:pt idx="17">
                  <c:v>27960.838264321053</c:v>
                </c:pt>
                <c:pt idx="18">
                  <c:v>17927.808122097525</c:v>
                </c:pt>
                <c:pt idx="19">
                  <c:v>17957.656407109396</c:v>
                </c:pt>
                <c:pt idx="20">
                  <c:v>37465.455031968537</c:v>
                </c:pt>
                <c:pt idx="21">
                  <c:v>37443.785298781484</c:v>
                </c:pt>
                <c:pt idx="22">
                  <c:v>47646.549348602435</c:v>
                </c:pt>
                <c:pt idx="23">
                  <c:v>46535.459610233709</c:v>
                </c:pt>
                <c:pt idx="24">
                  <c:v>19455.502597790375</c:v>
                </c:pt>
                <c:pt idx="25">
                  <c:v>19434.829844356093</c:v>
                </c:pt>
                <c:pt idx="26">
                  <c:v>15493.570160560932</c:v>
                </c:pt>
                <c:pt idx="27">
                  <c:v>15259.399328009224</c:v>
                </c:pt>
                <c:pt idx="28">
                  <c:v>15134.856647380531</c:v>
                </c:pt>
                <c:pt idx="29">
                  <c:v>15423.996739483629</c:v>
                </c:pt>
                <c:pt idx="30">
                  <c:v>17175.269293063404</c:v>
                </c:pt>
                <c:pt idx="31">
                  <c:v>18236.726039911187</c:v>
                </c:pt>
                <c:pt idx="32">
                  <c:v>15222.040459154516</c:v>
                </c:pt>
                <c:pt idx="33">
                  <c:v>14940.847058467607</c:v>
                </c:pt>
                <c:pt idx="34">
                  <c:v>14637.667333418298</c:v>
                </c:pt>
                <c:pt idx="35">
                  <c:v>14835.922701195024</c:v>
                </c:pt>
                <c:pt idx="36">
                  <c:v>16018.502704542763</c:v>
                </c:pt>
                <c:pt idx="37">
                  <c:v>16249.460023695277</c:v>
                </c:pt>
                <c:pt idx="38">
                  <c:v>20572.606200472273</c:v>
                </c:pt>
                <c:pt idx="39">
                  <c:v>21216.758915848324</c:v>
                </c:pt>
                <c:pt idx="40">
                  <c:v>15480.67259280725</c:v>
                </c:pt>
                <c:pt idx="41">
                  <c:v>13412.378518881464</c:v>
                </c:pt>
                <c:pt idx="42">
                  <c:v>14497.042021307949</c:v>
                </c:pt>
                <c:pt idx="43">
                  <c:v>18053.193492180151</c:v>
                </c:pt>
                <c:pt idx="44">
                  <c:v>17863.368408973845</c:v>
                </c:pt>
                <c:pt idx="45">
                  <c:v>17937.311611692348</c:v>
                </c:pt>
              </c:numCache>
            </c:numRef>
          </c:val>
          <c:smooth val="0"/>
          <c:extLst>
            <c:ext xmlns:c16="http://schemas.microsoft.com/office/drawing/2014/chart" uri="{C3380CC4-5D6E-409C-BE32-E72D297353CC}">
              <c16:uniqueId val="{00000004-6346-47A8-9016-61A4465FFD66}"/>
            </c:ext>
          </c:extLst>
        </c:ser>
        <c:dLbls>
          <c:showLegendKey val="0"/>
          <c:showVal val="0"/>
          <c:showCatName val="0"/>
          <c:showSerName val="0"/>
          <c:showPercent val="0"/>
          <c:showBubbleSize val="0"/>
        </c:dLbls>
        <c:axId val="1627822991"/>
        <c:axId val="1627805103"/>
      </c:stockChart>
      <c:catAx>
        <c:axId val="1627822991"/>
        <c:scaling>
          <c:orientation val="minMax"/>
        </c:scaling>
        <c:delete val="0"/>
        <c:axPos val="b"/>
        <c:majorGridlines>
          <c:spPr>
            <a:ln>
              <a:solidFill>
                <a:schemeClr val="tx1"/>
              </a:solidFill>
            </a:ln>
          </c:spPr>
        </c:majorGridlines>
        <c:numFmt formatCode="General" sourceLinked="1"/>
        <c:majorTickMark val="out"/>
        <c:minorTickMark val="none"/>
        <c:tickLblPos val="nextTo"/>
        <c:spPr>
          <a:ln>
            <a:solidFill>
              <a:schemeClr val="tx1"/>
            </a:solidFill>
          </a:ln>
        </c:spPr>
        <c:txPr>
          <a:bodyPr rot="-2940000"/>
          <a:lstStyle/>
          <a:p>
            <a:pPr>
              <a:defRPr sz="700"/>
            </a:pPr>
            <a:endParaRPr lang="en-US"/>
          </a:p>
        </c:txPr>
        <c:crossAx val="1627805103"/>
        <c:crosses val="autoZero"/>
        <c:auto val="1"/>
        <c:lblAlgn val="ctr"/>
        <c:lblOffset val="100"/>
        <c:tickMarkSkip val="2"/>
        <c:noMultiLvlLbl val="0"/>
      </c:catAx>
      <c:valAx>
        <c:axId val="1627805103"/>
        <c:scaling>
          <c:orientation val="minMax"/>
        </c:scaling>
        <c:delete val="0"/>
        <c:axPos val="l"/>
        <c:majorGridlines>
          <c:spPr>
            <a:ln>
              <a:noFill/>
            </a:ln>
          </c:spPr>
        </c:majorGridlines>
        <c:numFmt formatCode="&quot;$&quot;#,##0" sourceLinked="0"/>
        <c:majorTickMark val="out"/>
        <c:minorTickMark val="none"/>
        <c:tickLblPos val="nextTo"/>
        <c:spPr>
          <a:ln>
            <a:solidFill>
              <a:schemeClr val="tx1"/>
            </a:solidFill>
          </a:ln>
        </c:spPr>
        <c:crossAx val="1627822991"/>
        <c:crosses val="autoZero"/>
        <c:crossBetween val="between"/>
      </c:valAx>
    </c:plotArea>
    <c:plotVisOnly val="1"/>
    <c:dispBlanksAs val="gap"/>
    <c:showDLblsOverMax val="0"/>
  </c:chart>
  <c:spPr>
    <a:ln>
      <a:noFill/>
    </a:ln>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2420027115825441E-2"/>
          <c:w val="0.83759886264216976"/>
          <c:h val="0.47524882778329192"/>
        </c:manualLayout>
      </c:layout>
      <c:barChart>
        <c:barDir val="col"/>
        <c:grouping val="clustered"/>
        <c:varyColors val="0"/>
        <c:ser>
          <c:idx val="1"/>
          <c:order val="0"/>
          <c:tx>
            <c:v>75th percentile minus 25th percentile</c:v>
          </c:tx>
          <c:spPr>
            <a:solidFill>
              <a:srgbClr val="00ABAB"/>
            </a:solidFill>
            <a:ln>
              <a:noFill/>
            </a:ln>
            <a:effectLst/>
          </c:spPr>
          <c:invertIfNegative val="0"/>
          <c:cat>
            <c:strRef>
              <c:f>'Teaching costs_All_FOEs_2019'!$C$2235:$X$2235</c:f>
              <c:strCache>
                <c:ptCount val="22"/>
                <c:pt idx="0">
                  <c:v>Nursing (50,113)</c:v>
                </c:pt>
                <c:pt idx="1">
                  <c:v>OtherSoc&amp;Cult (131,459)</c:v>
                </c:pt>
                <c:pt idx="2">
                  <c:v>Education (43,510)</c:v>
                </c:pt>
                <c:pt idx="3">
                  <c:v>Comms&amp;Media (27,085)</c:v>
                </c:pt>
                <c:pt idx="4">
                  <c:v>Psych (25,983)</c:v>
                </c:pt>
                <c:pt idx="5">
                  <c:v>MathSci (26,086)</c:v>
                </c:pt>
                <c:pt idx="6">
                  <c:v>Mgmt&amp;Comm (94,350)</c:v>
                </c:pt>
                <c:pt idx="7">
                  <c:v>OthNat-PhysSci (68,334)</c:v>
                </c:pt>
                <c:pt idx="8">
                  <c:v>Archi&amp;Build (16,753)</c:v>
                </c:pt>
                <c:pt idx="9">
                  <c:v>Eng&amp;Related (47,273)</c:v>
                </c:pt>
                <c:pt idx="10">
                  <c:v>OthCreative (26,756)</c:v>
                </c:pt>
                <c:pt idx="11">
                  <c:v>InfoTech (36,906)</c:v>
                </c:pt>
                <c:pt idx="12">
                  <c:v>OthAg&amp;Enviro (3,885)</c:v>
                </c:pt>
                <c:pt idx="13">
                  <c:v>OthHealth (46,307)</c:v>
                </c:pt>
                <c:pt idx="14">
                  <c:v>ForeignLang (9,389)</c:v>
                </c:pt>
                <c:pt idx="15">
                  <c:v>Environment (4,822)</c:v>
                </c:pt>
                <c:pt idx="16">
                  <c:v>MedicalSci (5,740)</c:v>
                </c:pt>
                <c:pt idx="17">
                  <c:v>MedicalStudies (12,758)</c:v>
                </c:pt>
                <c:pt idx="18">
                  <c:v>MixedField (965)</c:v>
                </c:pt>
                <c:pt idx="19">
                  <c:v>Dental (2,480)</c:v>
                </c:pt>
                <c:pt idx="20">
                  <c:v>FoodHosp&amp;Person (51)</c:v>
                </c:pt>
                <c:pt idx="21">
                  <c:v>Veterinary (2,864)</c:v>
                </c:pt>
              </c:strCache>
            </c:strRef>
          </c:cat>
          <c:val>
            <c:numRef>
              <c:f>'Teaching costs_All_FOEs_2019'!$C$2236:$X$2236</c:f>
              <c:numCache>
                <c:formatCode>"$"#,##0</c:formatCode>
                <c:ptCount val="22"/>
                <c:pt idx="0">
                  <c:v>2724.1336623537172</c:v>
                </c:pt>
                <c:pt idx="1">
                  <c:v>3205.8968847257474</c:v>
                </c:pt>
                <c:pt idx="2">
                  <c:v>4349.8054253198643</c:v>
                </c:pt>
                <c:pt idx="3">
                  <c:v>4738.7963832223795</c:v>
                </c:pt>
                <c:pt idx="4">
                  <c:v>4754.1675209259483</c:v>
                </c:pt>
                <c:pt idx="5">
                  <c:v>4827.7680908193797</c:v>
                </c:pt>
                <c:pt idx="6">
                  <c:v>4872.8063293298219</c:v>
                </c:pt>
                <c:pt idx="7">
                  <c:v>4956.9329199446256</c:v>
                </c:pt>
                <c:pt idx="8">
                  <c:v>5577.2476381557863</c:v>
                </c:pt>
                <c:pt idx="9">
                  <c:v>5770.7334553248074</c:v>
                </c:pt>
                <c:pt idx="10">
                  <c:v>6024.3519244131458</c:v>
                </c:pt>
                <c:pt idx="11">
                  <c:v>6305.8429017490434</c:v>
                </c:pt>
                <c:pt idx="12">
                  <c:v>6891.6037343936769</c:v>
                </c:pt>
                <c:pt idx="13">
                  <c:v>6976.0055056406491</c:v>
                </c:pt>
                <c:pt idx="14">
                  <c:v>7198.1624680872046</c:v>
                </c:pt>
                <c:pt idx="15">
                  <c:v>7972.1278216786595</c:v>
                </c:pt>
                <c:pt idx="16">
                  <c:v>10592.608545193085</c:v>
                </c:pt>
                <c:pt idx="17">
                  <c:v>11643.367404761157</c:v>
                </c:pt>
                <c:pt idx="18">
                  <c:v>12829.144491157112</c:v>
                </c:pt>
                <c:pt idx="19">
                  <c:v>12952.596876610769</c:v>
                </c:pt>
                <c:pt idx="20">
                  <c:v>16508.294832471591</c:v>
                </c:pt>
                <c:pt idx="21">
                  <c:v>22900.477394283451</c:v>
                </c:pt>
              </c:numCache>
            </c:numRef>
          </c:val>
          <c:extLst>
            <c:ext xmlns:c16="http://schemas.microsoft.com/office/drawing/2014/chart" uri="{C3380CC4-5D6E-409C-BE32-E72D297353CC}">
              <c16:uniqueId val="{00000000-C693-459E-B837-68E58B04B74E}"/>
            </c:ext>
          </c:extLst>
        </c:ser>
        <c:ser>
          <c:idx val="0"/>
          <c:order val="1"/>
          <c:tx>
            <c:v>Average cost per EFTSL</c:v>
          </c:tx>
          <c:spPr>
            <a:solidFill>
              <a:schemeClr val="bg1">
                <a:lumMod val="75000"/>
              </a:schemeClr>
            </a:solidFill>
            <a:ln>
              <a:noFill/>
            </a:ln>
            <a:effectLst/>
          </c:spPr>
          <c:invertIfNegative val="0"/>
          <c:cat>
            <c:strRef>
              <c:f>'Teaching costs_All_FOEs_2019'!$C$2235:$X$2235</c:f>
              <c:strCache>
                <c:ptCount val="22"/>
                <c:pt idx="0">
                  <c:v>Nursing (50,113)</c:v>
                </c:pt>
                <c:pt idx="1">
                  <c:v>OtherSoc&amp;Cult (131,459)</c:v>
                </c:pt>
                <c:pt idx="2">
                  <c:v>Education (43,510)</c:v>
                </c:pt>
                <c:pt idx="3">
                  <c:v>Comms&amp;Media (27,085)</c:v>
                </c:pt>
                <c:pt idx="4">
                  <c:v>Psych (25,983)</c:v>
                </c:pt>
                <c:pt idx="5">
                  <c:v>MathSci (26,086)</c:v>
                </c:pt>
                <c:pt idx="6">
                  <c:v>Mgmt&amp;Comm (94,350)</c:v>
                </c:pt>
                <c:pt idx="7">
                  <c:v>OthNat-PhysSci (68,334)</c:v>
                </c:pt>
                <c:pt idx="8">
                  <c:v>Archi&amp;Build (16,753)</c:v>
                </c:pt>
                <c:pt idx="9">
                  <c:v>Eng&amp;Related (47,273)</c:v>
                </c:pt>
                <c:pt idx="10">
                  <c:v>OthCreative (26,756)</c:v>
                </c:pt>
                <c:pt idx="11">
                  <c:v>InfoTech (36,906)</c:v>
                </c:pt>
                <c:pt idx="12">
                  <c:v>OthAg&amp;Enviro (3,885)</c:v>
                </c:pt>
                <c:pt idx="13">
                  <c:v>OthHealth (46,307)</c:v>
                </c:pt>
                <c:pt idx="14">
                  <c:v>ForeignLang (9,389)</c:v>
                </c:pt>
                <c:pt idx="15">
                  <c:v>Environment (4,822)</c:v>
                </c:pt>
                <c:pt idx="16">
                  <c:v>MedicalSci (5,740)</c:v>
                </c:pt>
                <c:pt idx="17">
                  <c:v>MedicalStudies (12,758)</c:v>
                </c:pt>
                <c:pt idx="18">
                  <c:v>MixedField (965)</c:v>
                </c:pt>
                <c:pt idx="19">
                  <c:v>Dental (2,480)</c:v>
                </c:pt>
                <c:pt idx="20">
                  <c:v>FoodHosp&amp;Person (51)</c:v>
                </c:pt>
                <c:pt idx="21">
                  <c:v>Veterinary (2,864)</c:v>
                </c:pt>
              </c:strCache>
            </c:strRef>
          </c:cat>
          <c:val>
            <c:numRef>
              <c:f>'Teaching costs_All_FOEs_2019'!$C$2237:$X$2237</c:f>
              <c:numCache>
                <c:formatCode>"$"#,##0</c:formatCode>
                <c:ptCount val="22"/>
                <c:pt idx="0">
                  <c:v>17927.808122097525</c:v>
                </c:pt>
                <c:pt idx="1">
                  <c:v>14637.667333418298</c:v>
                </c:pt>
                <c:pt idx="2">
                  <c:v>15493.570160560932</c:v>
                </c:pt>
                <c:pt idx="3">
                  <c:v>16018.502704542763</c:v>
                </c:pt>
                <c:pt idx="4">
                  <c:v>15222.040459154516</c:v>
                </c:pt>
                <c:pt idx="5">
                  <c:v>16739.948435161368</c:v>
                </c:pt>
                <c:pt idx="6">
                  <c:v>15134.856647380531</c:v>
                </c:pt>
                <c:pt idx="7">
                  <c:v>21795.771298341948</c:v>
                </c:pt>
                <c:pt idx="8">
                  <c:v>18224.499268318355</c:v>
                </c:pt>
                <c:pt idx="9">
                  <c:v>21154.373601381831</c:v>
                </c:pt>
                <c:pt idx="10">
                  <c:v>20572.606200472273</c:v>
                </c:pt>
                <c:pt idx="11">
                  <c:v>17180.712058813355</c:v>
                </c:pt>
                <c:pt idx="12">
                  <c:v>29027.523832964398</c:v>
                </c:pt>
                <c:pt idx="13">
                  <c:v>19455.502597790375</c:v>
                </c:pt>
                <c:pt idx="14">
                  <c:v>17175.269293063404</c:v>
                </c:pt>
                <c:pt idx="15">
                  <c:v>22419.267636032404</c:v>
                </c:pt>
                <c:pt idx="16">
                  <c:v>23791.483054600834</c:v>
                </c:pt>
                <c:pt idx="17">
                  <c:v>29969.684663193591</c:v>
                </c:pt>
                <c:pt idx="18">
                  <c:v>14497.042021307949</c:v>
                </c:pt>
                <c:pt idx="19">
                  <c:v>37465.455031968537</c:v>
                </c:pt>
                <c:pt idx="20">
                  <c:v>15480.67259280725</c:v>
                </c:pt>
                <c:pt idx="21">
                  <c:v>47646.549348602435</c:v>
                </c:pt>
              </c:numCache>
            </c:numRef>
          </c:val>
          <c:extLst>
            <c:ext xmlns:c16="http://schemas.microsoft.com/office/drawing/2014/chart" uri="{C3380CC4-5D6E-409C-BE32-E72D297353CC}">
              <c16:uniqueId val="{00000001-C693-459E-B837-68E58B04B74E}"/>
            </c:ext>
          </c:extLst>
        </c:ser>
        <c:dLbls>
          <c:showLegendKey val="0"/>
          <c:showVal val="0"/>
          <c:showCatName val="0"/>
          <c:showSerName val="0"/>
          <c:showPercent val="0"/>
          <c:showBubbleSize val="0"/>
        </c:dLbls>
        <c:gapWidth val="150"/>
        <c:axId val="580713951"/>
        <c:axId val="580714783"/>
      </c:barChart>
      <c:catAx>
        <c:axId val="58071395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max val="50000"/>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maj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2420027115825441E-2"/>
          <c:w val="0.83759886264216976"/>
          <c:h val="0.47524882778329192"/>
        </c:manualLayout>
      </c:layout>
      <c:barChart>
        <c:barDir val="col"/>
        <c:grouping val="clustered"/>
        <c:varyColors val="0"/>
        <c:ser>
          <c:idx val="0"/>
          <c:order val="0"/>
          <c:tx>
            <c:strRef>
              <c:f>'Teaching costs_All_FOEs_2020'!$B$2236</c:f>
              <c:strCache>
                <c:ptCount val="1"/>
                <c:pt idx="0">
                  <c:v>75th percentile - 25th percentile (sorted)</c:v>
                </c:pt>
              </c:strCache>
            </c:strRef>
          </c:tx>
          <c:spPr>
            <a:solidFill>
              <a:srgbClr val="00ABAB"/>
            </a:solidFill>
            <a:ln>
              <a:noFill/>
            </a:ln>
            <a:effectLst/>
          </c:spPr>
          <c:invertIfNegative val="0"/>
          <c:cat>
            <c:strRef>
              <c:f>'Teaching costs_All_FOEs_2020'!$C$2235:$W$2235</c:f>
              <c:strCache>
                <c:ptCount val="21"/>
                <c:pt idx="0">
                  <c:v>Mgmt&amp;Comm (88,139)</c:v>
                </c:pt>
                <c:pt idx="1">
                  <c:v>Education (43,099)</c:v>
                </c:pt>
                <c:pt idx="2">
                  <c:v>MathSci (26,213)</c:v>
                </c:pt>
                <c:pt idx="3">
                  <c:v>Comms&amp;Media (26,479)</c:v>
                </c:pt>
                <c:pt idx="4">
                  <c:v>OtherSoc&amp;Cult (130,460)</c:v>
                </c:pt>
                <c:pt idx="5">
                  <c:v>Psych (26,207)</c:v>
                </c:pt>
                <c:pt idx="6">
                  <c:v>Archi&amp;Build (15,910)</c:v>
                </c:pt>
                <c:pt idx="7">
                  <c:v>Nursing (52,141)</c:v>
                </c:pt>
                <c:pt idx="8">
                  <c:v>InfoTech (37,277)</c:v>
                </c:pt>
                <c:pt idx="9">
                  <c:v>OthHealth (47,457)</c:v>
                </c:pt>
                <c:pt idx="10">
                  <c:v>Environment (5,083)</c:v>
                </c:pt>
                <c:pt idx="11">
                  <c:v>Dental (2,543)</c:v>
                </c:pt>
                <c:pt idx="12">
                  <c:v>OthNat-PhysSci (68,061)</c:v>
                </c:pt>
                <c:pt idx="13">
                  <c:v>OthCreative (25,390)</c:v>
                </c:pt>
                <c:pt idx="14">
                  <c:v>MedicalStudies (12,457)</c:v>
                </c:pt>
                <c:pt idx="15">
                  <c:v>ForeignLang (7,970)</c:v>
                </c:pt>
                <c:pt idx="16">
                  <c:v>Eng&amp;Related (46,744)</c:v>
                </c:pt>
                <c:pt idx="17">
                  <c:v>OthAg&amp;Enviro (3,568)</c:v>
                </c:pt>
                <c:pt idx="18">
                  <c:v>MixedField (1,194)</c:v>
                </c:pt>
                <c:pt idx="19">
                  <c:v>MedicalSci (6,314)</c:v>
                </c:pt>
                <c:pt idx="20">
                  <c:v>Veterinary (3,010)</c:v>
                </c:pt>
              </c:strCache>
              <c:extLst/>
            </c:strRef>
          </c:cat>
          <c:val>
            <c:numRef>
              <c:f>'Teaching costs_All_FOEs_2020'!$C$2236:$W$2236</c:f>
              <c:numCache>
                <c:formatCode>"$"#,##0</c:formatCode>
                <c:ptCount val="21"/>
                <c:pt idx="0">
                  <c:v>3691.151427911489</c:v>
                </c:pt>
                <c:pt idx="1">
                  <c:v>3939.1817591823019</c:v>
                </c:pt>
                <c:pt idx="2">
                  <c:v>4281.350215636754</c:v>
                </c:pt>
                <c:pt idx="3">
                  <c:v>4320.211839462836</c:v>
                </c:pt>
                <c:pt idx="4">
                  <c:v>4373.8755533430158</c:v>
                </c:pt>
                <c:pt idx="5">
                  <c:v>4547.9475129546026</c:v>
                </c:pt>
                <c:pt idx="6">
                  <c:v>4805.315375008573</c:v>
                </c:pt>
                <c:pt idx="7">
                  <c:v>4961.4006084178218</c:v>
                </c:pt>
                <c:pt idx="8">
                  <c:v>5858.4868198649347</c:v>
                </c:pt>
                <c:pt idx="9">
                  <c:v>6369.3461660086105</c:v>
                </c:pt>
                <c:pt idx="10">
                  <c:v>6873.9649091970532</c:v>
                </c:pt>
                <c:pt idx="11">
                  <c:v>6895.958148854832</c:v>
                </c:pt>
                <c:pt idx="12">
                  <c:v>7247.4569163972737</c:v>
                </c:pt>
                <c:pt idx="13">
                  <c:v>7327.4935558136385</c:v>
                </c:pt>
                <c:pt idx="14">
                  <c:v>7729.255492024975</c:v>
                </c:pt>
                <c:pt idx="15">
                  <c:v>7949.0236278010707</c:v>
                </c:pt>
                <c:pt idx="16">
                  <c:v>8522.1552900923307</c:v>
                </c:pt>
                <c:pt idx="17">
                  <c:v>11151.713775176628</c:v>
                </c:pt>
                <c:pt idx="18">
                  <c:v>12921.155433700298</c:v>
                </c:pt>
                <c:pt idx="19">
                  <c:v>13833.801976148778</c:v>
                </c:pt>
                <c:pt idx="20">
                  <c:v>17766.99804056924</c:v>
                </c:pt>
              </c:numCache>
              <c:extLst/>
            </c:numRef>
          </c:val>
          <c:extLst>
            <c:ext xmlns:c16="http://schemas.microsoft.com/office/drawing/2014/chart" uri="{C3380CC4-5D6E-409C-BE32-E72D297353CC}">
              <c16:uniqueId val="{00000000-FCA2-4388-BEEA-7107B68AA373}"/>
            </c:ext>
          </c:extLst>
        </c:ser>
        <c:ser>
          <c:idx val="2"/>
          <c:order val="1"/>
          <c:tx>
            <c:strRef>
              <c:f>'Teaching costs_All_FOEs_2020'!$B$2237</c:f>
              <c:strCache>
                <c:ptCount val="1"/>
                <c:pt idx="0">
                  <c:v>Average cost</c:v>
                </c:pt>
              </c:strCache>
            </c:strRef>
          </c:tx>
          <c:spPr>
            <a:solidFill>
              <a:srgbClr val="BFBFBF"/>
            </a:solidFill>
            <a:ln>
              <a:noFill/>
            </a:ln>
            <a:effectLst/>
          </c:spPr>
          <c:invertIfNegative val="0"/>
          <c:cat>
            <c:strRef>
              <c:f>'Teaching costs_All_FOEs_2020'!$C$2235:$W$2235</c:f>
              <c:strCache>
                <c:ptCount val="21"/>
                <c:pt idx="0">
                  <c:v>Mgmt&amp;Comm (88,139)</c:v>
                </c:pt>
                <c:pt idx="1">
                  <c:v>Education (43,099)</c:v>
                </c:pt>
                <c:pt idx="2">
                  <c:v>MathSci (26,213)</c:v>
                </c:pt>
                <c:pt idx="3">
                  <c:v>Comms&amp;Media (26,479)</c:v>
                </c:pt>
                <c:pt idx="4">
                  <c:v>OtherSoc&amp;Cult (130,460)</c:v>
                </c:pt>
                <c:pt idx="5">
                  <c:v>Psych (26,207)</c:v>
                </c:pt>
                <c:pt idx="6">
                  <c:v>Archi&amp;Build (15,910)</c:v>
                </c:pt>
                <c:pt idx="7">
                  <c:v>Nursing (52,141)</c:v>
                </c:pt>
                <c:pt idx="8">
                  <c:v>InfoTech (37,277)</c:v>
                </c:pt>
                <c:pt idx="9">
                  <c:v>OthHealth (47,457)</c:v>
                </c:pt>
                <c:pt idx="10">
                  <c:v>Environment (5,083)</c:v>
                </c:pt>
                <c:pt idx="11">
                  <c:v>Dental (2,543)</c:v>
                </c:pt>
                <c:pt idx="12">
                  <c:v>OthNat-PhysSci (68,061)</c:v>
                </c:pt>
                <c:pt idx="13">
                  <c:v>OthCreative (25,390)</c:v>
                </c:pt>
                <c:pt idx="14">
                  <c:v>MedicalStudies (12,457)</c:v>
                </c:pt>
                <c:pt idx="15">
                  <c:v>ForeignLang (7,970)</c:v>
                </c:pt>
                <c:pt idx="16">
                  <c:v>Eng&amp;Related (46,744)</c:v>
                </c:pt>
                <c:pt idx="17">
                  <c:v>OthAg&amp;Enviro (3,568)</c:v>
                </c:pt>
                <c:pt idx="18">
                  <c:v>MixedField (1,194)</c:v>
                </c:pt>
                <c:pt idx="19">
                  <c:v>MedicalSci (6,314)</c:v>
                </c:pt>
                <c:pt idx="20">
                  <c:v>Veterinary (3,010)</c:v>
                </c:pt>
              </c:strCache>
              <c:extLst/>
            </c:strRef>
          </c:cat>
          <c:val>
            <c:numRef>
              <c:f>'Teaching costs_All_FOEs_2020'!$C$2237:$W$2237</c:f>
              <c:numCache>
                <c:formatCode>"$"#,##0</c:formatCode>
                <c:ptCount val="21"/>
                <c:pt idx="0">
                  <c:v>15423.996739483629</c:v>
                </c:pt>
                <c:pt idx="1">
                  <c:v>15259.399328009224</c:v>
                </c:pt>
                <c:pt idx="2">
                  <c:v>16915.455290914033</c:v>
                </c:pt>
                <c:pt idx="3">
                  <c:v>16249.460023695277</c:v>
                </c:pt>
                <c:pt idx="4">
                  <c:v>14835.922701195024</c:v>
                </c:pt>
                <c:pt idx="5">
                  <c:v>14940.847058467607</c:v>
                </c:pt>
                <c:pt idx="6">
                  <c:v>18251.479825003538</c:v>
                </c:pt>
                <c:pt idx="7">
                  <c:v>17957.656407109396</c:v>
                </c:pt>
                <c:pt idx="8">
                  <c:v>17216.293820151936</c:v>
                </c:pt>
                <c:pt idx="9">
                  <c:v>19434.829844356093</c:v>
                </c:pt>
                <c:pt idx="10">
                  <c:v>21729.741545666977</c:v>
                </c:pt>
                <c:pt idx="11">
                  <c:v>37443.785298781484</c:v>
                </c:pt>
                <c:pt idx="12">
                  <c:v>21420.842657612513</c:v>
                </c:pt>
                <c:pt idx="13">
                  <c:v>21216.758915848324</c:v>
                </c:pt>
                <c:pt idx="14">
                  <c:v>27960.838264321053</c:v>
                </c:pt>
                <c:pt idx="15">
                  <c:v>18236.726039911187</c:v>
                </c:pt>
                <c:pt idx="16">
                  <c:v>21546.355871972355</c:v>
                </c:pt>
                <c:pt idx="17">
                  <c:v>29153.242981607877</c:v>
                </c:pt>
                <c:pt idx="18">
                  <c:v>18053.193492180151</c:v>
                </c:pt>
                <c:pt idx="19">
                  <c:v>22686.609034511152</c:v>
                </c:pt>
                <c:pt idx="20">
                  <c:v>46535.459610233709</c:v>
                </c:pt>
              </c:numCache>
              <c:extLst/>
            </c:numRef>
          </c:val>
          <c:extLst>
            <c:ext xmlns:c16="http://schemas.microsoft.com/office/drawing/2014/chart" uri="{C3380CC4-5D6E-409C-BE32-E72D297353CC}">
              <c16:uniqueId val="{00000001-FCA2-4388-BEEA-7107B68AA373}"/>
            </c:ext>
          </c:extLst>
        </c:ser>
        <c:dLbls>
          <c:showLegendKey val="0"/>
          <c:showVal val="0"/>
          <c:showCatName val="0"/>
          <c:showSerName val="0"/>
          <c:showPercent val="0"/>
          <c:showBubbleSize val="0"/>
        </c:dLbls>
        <c:gapWidth val="150"/>
        <c:axId val="580713951"/>
        <c:axId val="580714783"/>
      </c:barChart>
      <c:catAx>
        <c:axId val="58071395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maj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47454463458019E-2"/>
          <c:y val="4.7655119557351508E-2"/>
          <c:w val="0.94307619071480486"/>
          <c:h val="0.71481090567460959"/>
        </c:manualLayout>
      </c:layout>
      <c:stockChart>
        <c:ser>
          <c:idx val="0"/>
          <c:order val="0"/>
          <c:tx>
            <c:strRef>
              <c:f>'2.2_data'!$B$120</c:f>
              <c:strCache>
                <c:ptCount val="1"/>
                <c:pt idx="0">
                  <c:v>25th percentile</c:v>
                </c:pt>
              </c:strCache>
            </c:strRef>
          </c:tx>
          <c:spPr>
            <a:ln w="25400">
              <a:noFill/>
            </a:ln>
          </c:spPr>
          <c:marker>
            <c:symbol val="none"/>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'2.2_data'!$C$120:$AV$120</c:f>
              <c:numCache>
                <c:formatCode>0</c:formatCode>
                <c:ptCount val="46"/>
                <c:pt idx="0">
                  <c:v>18699.163248265955</c:v>
                </c:pt>
                <c:pt idx="1">
                  <c:v>17797.12199465718</c:v>
                </c:pt>
                <c:pt idx="2">
                  <c:v>22410.243763070706</c:v>
                </c:pt>
                <c:pt idx="3">
                  <c:v>22111.024656781643</c:v>
                </c:pt>
                <c:pt idx="4">
                  <c:v>22766.370014021253</c:v>
                </c:pt>
                <c:pt idx="5">
                  <c:v>22808.673403740671</c:v>
                </c:pt>
                <c:pt idx="6">
                  <c:v>17078.169061520057</c:v>
                </c:pt>
                <c:pt idx="7">
                  <c:v>17216.704622569203</c:v>
                </c:pt>
                <c:pt idx="8">
                  <c:v>20244.094666734993</c:v>
                </c:pt>
                <c:pt idx="9">
                  <c:v>20057.281839546209</c:v>
                </c:pt>
                <c:pt idx="10">
                  <c:v>18364.797631458212</c:v>
                </c:pt>
                <c:pt idx="11">
                  <c:v>16598.029225295217</c:v>
                </c:pt>
                <c:pt idx="12">
                  <c:v>19815.863564681975</c:v>
                </c:pt>
                <c:pt idx="13">
                  <c:v>19307.336332622384</c:v>
                </c:pt>
                <c:pt idx="14">
                  <c:v>23459.962005166919</c:v>
                </c:pt>
                <c:pt idx="15">
                  <c:v>27290.00712078677</c:v>
                </c:pt>
                <c:pt idx="16">
                  <c:v>23229.535684979593</c:v>
                </c:pt>
                <c:pt idx="17">
                  <c:v>24109.462049585443</c:v>
                </c:pt>
                <c:pt idx="18">
                  <c:v>17140.291811078387</c:v>
                </c:pt>
                <c:pt idx="19">
                  <c:v>16021.753217140827</c:v>
                </c:pt>
                <c:pt idx="20">
                  <c:v>44271.112395342425</c:v>
                </c:pt>
                <c:pt idx="21">
                  <c:v>33619.870107949871</c:v>
                </c:pt>
                <c:pt idx="22">
                  <c:v>41091.637937625885</c:v>
                </c:pt>
                <c:pt idx="23">
                  <c:v>35295.385886630145</c:v>
                </c:pt>
                <c:pt idx="24">
                  <c:v>18514.773244882934</c:v>
                </c:pt>
                <c:pt idx="25">
                  <c:v>17967.381956805599</c:v>
                </c:pt>
                <c:pt idx="26">
                  <c:v>15319.215499536655</c:v>
                </c:pt>
                <c:pt idx="27">
                  <c:v>15385.062702036219</c:v>
                </c:pt>
                <c:pt idx="28">
                  <c:v>16577.274737370062</c:v>
                </c:pt>
                <c:pt idx="29">
                  <c:v>17233.181130752375</c:v>
                </c:pt>
                <c:pt idx="30">
                  <c:v>18339.715960810332</c:v>
                </c:pt>
                <c:pt idx="31">
                  <c:v>16697.336957244872</c:v>
                </c:pt>
                <c:pt idx="32">
                  <c:v>17563.885366617276</c:v>
                </c:pt>
                <c:pt idx="33">
                  <c:v>17337.167611494315</c:v>
                </c:pt>
                <c:pt idx="34">
                  <c:v>17393.627435403061</c:v>
                </c:pt>
                <c:pt idx="35">
                  <c:v>17382.467515271186</c:v>
                </c:pt>
                <c:pt idx="36">
                  <c:v>16356.569416154962</c:v>
                </c:pt>
                <c:pt idx="37">
                  <c:v>16194.042525213301</c:v>
                </c:pt>
                <c:pt idx="38">
                  <c:v>21399.86697995213</c:v>
                </c:pt>
                <c:pt idx="39">
                  <c:v>20427.865697687415</c:v>
                </c:pt>
                <c:pt idx="40">
                  <c:v>#N/A</c:v>
                </c:pt>
                <c:pt idx="41">
                  <c:v>#N/A</c:v>
                </c:pt>
                <c:pt idx="42">
                  <c:v>21657.123870774099</c:v>
                </c:pt>
                <c:pt idx="43">
                  <c:v>14300.89990397007</c:v>
                </c:pt>
                <c:pt idx="44">
                  <c:v>18648.652723348114</c:v>
                </c:pt>
                <c:pt idx="45">
                  <c:v>19113.892175355279</c:v>
                </c:pt>
              </c:numCache>
            </c:numRef>
          </c:val>
          <c:smooth val="0"/>
          <c:extLst>
            <c:ext xmlns:c16="http://schemas.microsoft.com/office/drawing/2014/chart" uri="{C3380CC4-5D6E-409C-BE32-E72D297353CC}">
              <c16:uniqueId val="{00000000-2C8E-43B7-B4BF-B8F0B6E3A6A9}"/>
            </c:ext>
          </c:extLst>
        </c:ser>
        <c:ser>
          <c:idx val="3"/>
          <c:order val="1"/>
          <c:tx>
            <c:strRef>
              <c:f>'2.2_data'!$B$126</c:f>
              <c:strCache>
                <c:ptCount val="1"/>
                <c:pt idx="0">
                  <c:v>Maximum</c:v>
                </c:pt>
              </c:strCache>
            </c:strRef>
          </c:tx>
          <c:spPr>
            <a:ln w="25400">
              <a:noFill/>
            </a:ln>
          </c:spPr>
          <c:marker>
            <c:symbol val="dash"/>
            <c:size val="5"/>
            <c:spPr>
              <a:solidFill>
                <a:srgbClr val="00ABAB"/>
              </a:solidFill>
              <a:ln>
                <a:solidFill>
                  <a:srgbClr val="00ABAB"/>
                </a:solidFill>
              </a:ln>
            </c:spPr>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'2.2_data'!$C$126:$AV$126</c:f>
              <c:numCache>
                <c:formatCode>0</c:formatCode>
                <c:ptCount val="46"/>
                <c:pt idx="0">
                  <c:v>36784.876519227451</c:v>
                </c:pt>
                <c:pt idx="1">
                  <c:v>38971.750368267552</c:v>
                </c:pt>
                <c:pt idx="2">
                  <c:v>46826.597031659265</c:v>
                </c:pt>
                <c:pt idx="3">
                  <c:v>71510.261765981413</c:v>
                </c:pt>
                <c:pt idx="4">
                  <c:v>54671.086593879438</c:v>
                </c:pt>
                <c:pt idx="5">
                  <c:v>57051.806422409529</c:v>
                </c:pt>
                <c:pt idx="6">
                  <c:v>28848.319960299661</c:v>
                </c:pt>
                <c:pt idx="7">
                  <c:v>33177.993545770274</c:v>
                </c:pt>
                <c:pt idx="8">
                  <c:v>44873.200128105069</c:v>
                </c:pt>
                <c:pt idx="9">
                  <c:v>44509.618392341406</c:v>
                </c:pt>
                <c:pt idx="10">
                  <c:v>40500.403744221905</c:v>
                </c:pt>
                <c:pt idx="11">
                  <c:v>26678.702907407289</c:v>
                </c:pt>
                <c:pt idx="12">
                  <c:v>65927.415058823535</c:v>
                </c:pt>
                <c:pt idx="13">
                  <c:v>60493.906829268286</c:v>
                </c:pt>
                <c:pt idx="14">
                  <c:v>70147.927555786315</c:v>
                </c:pt>
                <c:pt idx="15">
                  <c:v>77161.83366565613</c:v>
                </c:pt>
                <c:pt idx="16">
                  <c:v>62502.381905304865</c:v>
                </c:pt>
                <c:pt idx="17">
                  <c:v>59584.507049611231</c:v>
                </c:pt>
                <c:pt idx="18">
                  <c:v>36752.742784658214</c:v>
                </c:pt>
                <c:pt idx="19">
                  <c:v>91891.070152403467</c:v>
                </c:pt>
                <c:pt idx="20">
                  <c:v>93152.777777777781</c:v>
                </c:pt>
                <c:pt idx="21">
                  <c:v>63832.595041322311</c:v>
                </c:pt>
                <c:pt idx="22">
                  <c:v>70662.345624372916</c:v>
                </c:pt>
                <c:pt idx="23">
                  <c:v>70383.964584545829</c:v>
                </c:pt>
                <c:pt idx="24">
                  <c:v>55976.682135892275</c:v>
                </c:pt>
                <c:pt idx="25">
                  <c:v>79474.307689493988</c:v>
                </c:pt>
                <c:pt idx="26">
                  <c:v>29209.654788690023</c:v>
                </c:pt>
                <c:pt idx="27">
                  <c:v>29889.101553952292</c:v>
                </c:pt>
                <c:pt idx="28">
                  <c:v>28660.426056222444</c:v>
                </c:pt>
                <c:pt idx="29">
                  <c:v>27744.435266719494</c:v>
                </c:pt>
                <c:pt idx="30">
                  <c:v>36027.642352941177</c:v>
                </c:pt>
                <c:pt idx="31">
                  <c:v>45597.430698013064</c:v>
                </c:pt>
                <c:pt idx="32">
                  <c:v>58923.215506299559</c:v>
                </c:pt>
                <c:pt idx="33">
                  <c:v>66769.436101229119</c:v>
                </c:pt>
                <c:pt idx="34">
                  <c:v>39273.693817063824</c:v>
                </c:pt>
                <c:pt idx="35">
                  <c:v>37394.862922003791</c:v>
                </c:pt>
                <c:pt idx="36">
                  <c:v>50588.83076636598</c:v>
                </c:pt>
                <c:pt idx="37">
                  <c:v>47414.762878430025</c:v>
                </c:pt>
                <c:pt idx="38">
                  <c:v>38286.43278484475</c:v>
                </c:pt>
                <c:pt idx="39">
                  <c:v>58442.355736682824</c:v>
                </c:pt>
                <c:pt idx="40">
                  <c:v>#N/A</c:v>
                </c:pt>
                <c:pt idx="41">
                  <c:v>#N/A</c:v>
                </c:pt>
                <c:pt idx="42">
                  <c:v>29683.025249396138</c:v>
                </c:pt>
                <c:pt idx="43">
                  <c:v>43249.031066379102</c:v>
                </c:pt>
                <c:pt idx="44">
                  <c:v>28336.643127737971</c:v>
                </c:pt>
                <c:pt idx="45">
                  <c:v>28803.635298704707</c:v>
                </c:pt>
              </c:numCache>
            </c:numRef>
          </c:val>
          <c:smooth val="0"/>
          <c:extLst>
            <c:ext xmlns:c16="http://schemas.microsoft.com/office/drawing/2014/chart" uri="{C3380CC4-5D6E-409C-BE32-E72D297353CC}">
              <c16:uniqueId val="{00000001-2C8E-43B7-B4BF-B8F0B6E3A6A9}"/>
            </c:ext>
          </c:extLst>
        </c:ser>
        <c:ser>
          <c:idx val="2"/>
          <c:order val="3"/>
          <c:tx>
            <c:strRef>
              <c:f>'2.2_data'!$B$125</c:f>
              <c:strCache>
                <c:ptCount val="1"/>
                <c:pt idx="0">
                  <c:v>Minimum</c:v>
                </c:pt>
              </c:strCache>
            </c:strRef>
          </c:tx>
          <c:spPr>
            <a:ln w="25400">
              <a:noFill/>
            </a:ln>
          </c:spPr>
          <c:marker>
            <c:symbol val="dash"/>
            <c:size val="5"/>
            <c:spPr>
              <a:solidFill>
                <a:srgbClr val="00ABAB"/>
              </a:solidFill>
              <a:ln>
                <a:solidFill>
                  <a:srgbClr val="00ABAB"/>
                </a:solidFill>
              </a:ln>
            </c:spPr>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'2.2_data'!$C$125:$AV$125</c:f>
              <c:numCache>
                <c:formatCode>0</c:formatCode>
                <c:ptCount val="46"/>
                <c:pt idx="0">
                  <c:v>12809.058910542526</c:v>
                </c:pt>
                <c:pt idx="1">
                  <c:v>14125.045829999908</c:v>
                </c:pt>
                <c:pt idx="2">
                  <c:v>6404.032181894494</c:v>
                </c:pt>
                <c:pt idx="3">
                  <c:v>11091.676084887795</c:v>
                </c:pt>
                <c:pt idx="4">
                  <c:v>14352.755636334676</c:v>
                </c:pt>
                <c:pt idx="5">
                  <c:v>14294.929257028109</c:v>
                </c:pt>
                <c:pt idx="6">
                  <c:v>4633.4913560596096</c:v>
                </c:pt>
                <c:pt idx="7">
                  <c:v>5363.3552635461865</c:v>
                </c:pt>
                <c:pt idx="8">
                  <c:v>16614.303664044568</c:v>
                </c:pt>
                <c:pt idx="9">
                  <c:v>16007.956913428334</c:v>
                </c:pt>
                <c:pt idx="10">
                  <c:v>10556.769356694733</c:v>
                </c:pt>
                <c:pt idx="11">
                  <c:v>11245.074295273456</c:v>
                </c:pt>
                <c:pt idx="12">
                  <c:v>15513.346321705041</c:v>
                </c:pt>
                <c:pt idx="13">
                  <c:v>14125.814529589368</c:v>
                </c:pt>
                <c:pt idx="14">
                  <c:v>17344.551556777125</c:v>
                </c:pt>
                <c:pt idx="15">
                  <c:v>16990.075012861191</c:v>
                </c:pt>
                <c:pt idx="16">
                  <c:v>12657.46682816411</c:v>
                </c:pt>
                <c:pt idx="17">
                  <c:v>11506.899265294396</c:v>
                </c:pt>
                <c:pt idx="18">
                  <c:v>13864.666625295347</c:v>
                </c:pt>
                <c:pt idx="19">
                  <c:v>15110.937815164922</c:v>
                </c:pt>
                <c:pt idx="20">
                  <c:v>34979.188071824108</c:v>
                </c:pt>
                <c:pt idx="21">
                  <c:v>11494.038265699932</c:v>
                </c:pt>
                <c:pt idx="22">
                  <c:v>36126.897005700921</c:v>
                </c:pt>
                <c:pt idx="23">
                  <c:v>30263.187465948344</c:v>
                </c:pt>
                <c:pt idx="24">
                  <c:v>12207.705722729113</c:v>
                </c:pt>
                <c:pt idx="25">
                  <c:v>12583.444997174907</c:v>
                </c:pt>
                <c:pt idx="26">
                  <c:v>11998.739697523759</c:v>
                </c:pt>
                <c:pt idx="27">
                  <c:v>10563.30728646539</c:v>
                </c:pt>
                <c:pt idx="28">
                  <c:v>10188.876142737015</c:v>
                </c:pt>
                <c:pt idx="29">
                  <c:v>12311.238585023628</c:v>
                </c:pt>
                <c:pt idx="30">
                  <c:v>15341.963988218828</c:v>
                </c:pt>
                <c:pt idx="31">
                  <c:v>7797.4996205188418</c:v>
                </c:pt>
                <c:pt idx="32">
                  <c:v>5943.664297732832</c:v>
                </c:pt>
                <c:pt idx="33">
                  <c:v>8059.5360119811276</c:v>
                </c:pt>
                <c:pt idx="34">
                  <c:v>14003.378095127324</c:v>
                </c:pt>
                <c:pt idx="35">
                  <c:v>14737.505291172421</c:v>
                </c:pt>
                <c:pt idx="36">
                  <c:v>11942.608353110316</c:v>
                </c:pt>
                <c:pt idx="37">
                  <c:v>12992.247563772182</c:v>
                </c:pt>
                <c:pt idx="38">
                  <c:v>16156.849827710832</c:v>
                </c:pt>
                <c:pt idx="39">
                  <c:v>14551.561468962773</c:v>
                </c:pt>
                <c:pt idx="40">
                  <c:v>#N/A</c:v>
                </c:pt>
                <c:pt idx="41">
                  <c:v>#N/A</c:v>
                </c:pt>
                <c:pt idx="42">
                  <c:v>21022.663776446785</c:v>
                </c:pt>
                <c:pt idx="43">
                  <c:v>13248.598159891739</c:v>
                </c:pt>
                <c:pt idx="44">
                  <c:v>12219.86594970737</c:v>
                </c:pt>
                <c:pt idx="45">
                  <c:v>13913.488624280824</c:v>
                </c:pt>
              </c:numCache>
            </c:numRef>
          </c:val>
          <c:smooth val="0"/>
          <c:extLst>
            <c:ext xmlns:c16="http://schemas.microsoft.com/office/drawing/2014/chart" uri="{C3380CC4-5D6E-409C-BE32-E72D297353CC}">
              <c16:uniqueId val="{00000002-2C8E-43B7-B4BF-B8F0B6E3A6A9}"/>
            </c:ext>
          </c:extLst>
        </c:ser>
        <c:ser>
          <c:idx val="1"/>
          <c:order val="4"/>
          <c:tx>
            <c:strRef>
              <c:f>'2.2_data'!$B$121</c:f>
              <c:strCache>
                <c:ptCount val="1"/>
                <c:pt idx="0">
                  <c:v>75th percentile</c:v>
                </c:pt>
              </c:strCache>
            </c:strRef>
          </c:tx>
          <c:spPr>
            <a:ln w="25400">
              <a:noFill/>
            </a:ln>
          </c:spPr>
          <c:marker>
            <c:symbol val="none"/>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'2.2_data'!$C$121:$AV$121</c:f>
              <c:numCache>
                <c:formatCode>0</c:formatCode>
                <c:ptCount val="46"/>
                <c:pt idx="0">
                  <c:v>24097.656129719384</c:v>
                </c:pt>
                <c:pt idx="1">
                  <c:v>25898.129611420074</c:v>
                </c:pt>
                <c:pt idx="2">
                  <c:v>36884.323419821085</c:v>
                </c:pt>
                <c:pt idx="3">
                  <c:v>38068.992718488313</c:v>
                </c:pt>
                <c:pt idx="4">
                  <c:v>34699.535674985818</c:v>
                </c:pt>
                <c:pt idx="5">
                  <c:v>36588.22712121332</c:v>
                </c:pt>
                <c:pt idx="6">
                  <c:v>23593.442138510694</c:v>
                </c:pt>
                <c:pt idx="7">
                  <c:v>22266.59021165601</c:v>
                </c:pt>
                <c:pt idx="8">
                  <c:v>29753.440833331966</c:v>
                </c:pt>
                <c:pt idx="9">
                  <c:v>29432.947154232214</c:v>
                </c:pt>
                <c:pt idx="10">
                  <c:v>25461.733776023924</c:v>
                </c:pt>
                <c:pt idx="11">
                  <c:v>22672.189389197931</c:v>
                </c:pt>
                <c:pt idx="12">
                  <c:v>30895.628435296785</c:v>
                </c:pt>
                <c:pt idx="13">
                  <c:v>33555.748244497299</c:v>
                </c:pt>
                <c:pt idx="14">
                  <c:v>44785.653067916479</c:v>
                </c:pt>
                <c:pt idx="15">
                  <c:v>45177.65504820858</c:v>
                </c:pt>
                <c:pt idx="16">
                  <c:v>39586.679450655953</c:v>
                </c:pt>
                <c:pt idx="17">
                  <c:v>41375.90698227039</c:v>
                </c:pt>
                <c:pt idx="18">
                  <c:v>23149.108081292077</c:v>
                </c:pt>
                <c:pt idx="19">
                  <c:v>25474.392571643828</c:v>
                </c:pt>
                <c:pt idx="20">
                  <c:v>74463.317493708222</c:v>
                </c:pt>
                <c:pt idx="21">
                  <c:v>60245.306610917607</c:v>
                </c:pt>
                <c:pt idx="22">
                  <c:v>67155.333603481675</c:v>
                </c:pt>
                <c:pt idx="23">
                  <c:v>65395.973961625474</c:v>
                </c:pt>
                <c:pt idx="24">
                  <c:v>26370.735563719514</c:v>
                </c:pt>
                <c:pt idx="25">
                  <c:v>28242.490930573629</c:v>
                </c:pt>
                <c:pt idx="26">
                  <c:v>20773.315561100124</c:v>
                </c:pt>
                <c:pt idx="27">
                  <c:v>20172.759433165134</c:v>
                </c:pt>
                <c:pt idx="28">
                  <c:v>23192.656544789559</c:v>
                </c:pt>
                <c:pt idx="29">
                  <c:v>23202.09994086665</c:v>
                </c:pt>
                <c:pt idx="30">
                  <c:v>34474.22554965943</c:v>
                </c:pt>
                <c:pt idx="31">
                  <c:v>37935.542399464779</c:v>
                </c:pt>
                <c:pt idx="32">
                  <c:v>31428.073940077222</c:v>
                </c:pt>
                <c:pt idx="33">
                  <c:v>28337.604406470819</c:v>
                </c:pt>
                <c:pt idx="34">
                  <c:v>22477.444065962703</c:v>
                </c:pt>
                <c:pt idx="35">
                  <c:v>21612.804125169467</c:v>
                </c:pt>
                <c:pt idx="36">
                  <c:v>25064.376734533267</c:v>
                </c:pt>
                <c:pt idx="37">
                  <c:v>22729.928355390231</c:v>
                </c:pt>
                <c:pt idx="38">
                  <c:v>27602.716822792849</c:v>
                </c:pt>
                <c:pt idx="39">
                  <c:v>30255.448219418184</c:v>
                </c:pt>
                <c:pt idx="40">
                  <c:v>#N/A</c:v>
                </c:pt>
                <c:pt idx="41">
                  <c:v>#N/A</c:v>
                </c:pt>
                <c:pt idx="42">
                  <c:v>26980.849902061658</c:v>
                </c:pt>
                <c:pt idx="43">
                  <c:v>39638.317206479434</c:v>
                </c:pt>
                <c:pt idx="44">
                  <c:v>22964.58987131458</c:v>
                </c:pt>
                <c:pt idx="45">
                  <c:v>23325.757066566075</c:v>
                </c:pt>
              </c:numCache>
            </c:numRef>
          </c:val>
          <c:smooth val="0"/>
          <c:extLst>
            <c:ext xmlns:c16="http://schemas.microsoft.com/office/drawing/2014/chart" uri="{C3380CC4-5D6E-409C-BE32-E72D297353CC}">
              <c16:uniqueId val="{00000003-2C8E-43B7-B4BF-B8F0B6E3A6A9}"/>
            </c:ext>
          </c:extLst>
        </c:ser>
        <c:dLbls>
          <c:showLegendKey val="0"/>
          <c:showVal val="0"/>
          <c:showCatName val="0"/>
          <c:showSerName val="0"/>
          <c:showPercent val="0"/>
          <c:showBubbleSize val="0"/>
        </c:dLbls>
        <c:hiLowLines>
          <c:spPr>
            <a:ln>
              <a:solidFill>
                <a:srgbClr val="00ABAB"/>
              </a:solidFill>
            </a:ln>
          </c:spPr>
        </c:hiLowLines>
        <c:upDownBars>
          <c:gapWidth val="150"/>
          <c:upBars>
            <c:spPr>
              <a:solidFill>
                <a:srgbClr val="00ABAB"/>
              </a:solidFill>
              <a:ln>
                <a:solidFill>
                  <a:srgbClr val="00ABAB"/>
                </a:solidFill>
              </a:ln>
            </c:spPr>
          </c:upBars>
          <c:downBars/>
        </c:upDownBars>
        <c:axId val="1627822991"/>
        <c:axId val="1627805103"/>
      </c:stockChart>
      <c:stockChart>
        <c:ser>
          <c:idx val="4"/>
          <c:order val="2"/>
          <c:tx>
            <c:v>Mean</c:v>
          </c:tx>
          <c:spPr>
            <a:ln w="25400">
              <a:noFill/>
            </a:ln>
          </c:spPr>
          <c:marker>
            <c:symbol val="diamond"/>
            <c:size val="5"/>
            <c:spPr>
              <a:solidFill>
                <a:schemeClr val="tx2"/>
              </a:solidFill>
              <a:ln>
                <a:solidFill>
                  <a:schemeClr val="tx2"/>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'2.2_data'!$C$118:$AV$118</c:f>
              <c:numCache>
                <c:formatCode>0</c:formatCode>
                <c:ptCount val="46"/>
                <c:pt idx="0">
                  <c:v>20278.05927037384</c:v>
                </c:pt>
                <c:pt idx="1">
                  <c:v>22186.748516152486</c:v>
                </c:pt>
                <c:pt idx="2">
                  <c:v>28923.010974535358</c:v>
                </c:pt>
                <c:pt idx="3">
                  <c:v>33003.524677323112</c:v>
                </c:pt>
                <c:pt idx="4">
                  <c:v>29955.320325470169</c:v>
                </c:pt>
                <c:pt idx="5">
                  <c:v>30340.371464461474</c:v>
                </c:pt>
                <c:pt idx="6">
                  <c:v>19579.505034045749</c:v>
                </c:pt>
                <c:pt idx="7">
                  <c:v>18995.167283167906</c:v>
                </c:pt>
                <c:pt idx="8">
                  <c:v>23242.647892163419</c:v>
                </c:pt>
                <c:pt idx="9">
                  <c:v>24204.896178364706</c:v>
                </c:pt>
                <c:pt idx="10">
                  <c:v>21931.62857462035</c:v>
                </c:pt>
                <c:pt idx="11">
                  <c:v>21907.427657848486</c:v>
                </c:pt>
                <c:pt idx="12">
                  <c:v>25508.68868517501</c:v>
                </c:pt>
                <c:pt idx="13">
                  <c:v>23699.7894298836</c:v>
                </c:pt>
                <c:pt idx="14">
                  <c:v>36996.686494991627</c:v>
                </c:pt>
                <c:pt idx="15">
                  <c:v>42234.841529400546</c:v>
                </c:pt>
                <c:pt idx="16">
                  <c:v>35522.260504309023</c:v>
                </c:pt>
                <c:pt idx="17">
                  <c:v>35172.290920854626</c:v>
                </c:pt>
                <c:pt idx="18">
                  <c:v>20512.597600992016</c:v>
                </c:pt>
                <c:pt idx="19">
                  <c:v>20697.683672099502</c:v>
                </c:pt>
                <c:pt idx="20">
                  <c:v>50391.373415300652</c:v>
                </c:pt>
                <c:pt idx="21">
                  <c:v>48405.155856988946</c:v>
                </c:pt>
                <c:pt idx="22">
                  <c:v>63413.617595346972</c:v>
                </c:pt>
                <c:pt idx="23">
                  <c:v>60822.694603407079</c:v>
                </c:pt>
                <c:pt idx="24">
                  <c:v>24936.530636508509</c:v>
                </c:pt>
                <c:pt idx="25">
                  <c:v>24117.051302314307</c:v>
                </c:pt>
                <c:pt idx="26">
                  <c:v>18714.439735594529</c:v>
                </c:pt>
                <c:pt idx="27">
                  <c:v>18724.503051847838</c:v>
                </c:pt>
                <c:pt idx="28">
                  <c:v>18620.520608007319</c:v>
                </c:pt>
                <c:pt idx="29">
                  <c:v>18831.737539413938</c:v>
                </c:pt>
                <c:pt idx="30">
                  <c:v>24956.105235735478</c:v>
                </c:pt>
                <c:pt idx="31">
                  <c:v>29539.429509197373</c:v>
                </c:pt>
                <c:pt idx="32">
                  <c:v>22842.620288647806</c:v>
                </c:pt>
                <c:pt idx="33">
                  <c:v>22637.921583119867</c:v>
                </c:pt>
                <c:pt idx="34">
                  <c:v>19181.369546973398</c:v>
                </c:pt>
                <c:pt idx="35">
                  <c:v>19444.180623982753</c:v>
                </c:pt>
                <c:pt idx="36">
                  <c:v>18929.229196859189</c:v>
                </c:pt>
                <c:pt idx="37">
                  <c:v>19663.357628407979</c:v>
                </c:pt>
                <c:pt idx="38">
                  <c:v>25245.933907273327</c:v>
                </c:pt>
                <c:pt idx="39">
                  <c:v>26220.149483850804</c:v>
                </c:pt>
                <c:pt idx="40">
                  <c:v>#N/A</c:v>
                </c:pt>
                <c:pt idx="41">
                  <c:v>#N/A</c:v>
                </c:pt>
                <c:pt idx="42">
                  <c:v>22631.55665596986</c:v>
                </c:pt>
                <c:pt idx="43">
                  <c:v>25554.291108129953</c:v>
                </c:pt>
                <c:pt idx="44">
                  <c:v>21457.476708625221</c:v>
                </c:pt>
                <c:pt idx="45">
                  <c:v>21666.140251393776</c:v>
                </c:pt>
              </c:numCache>
            </c:numRef>
          </c:val>
          <c:smooth val="0"/>
          <c:extLst>
            <c:ext xmlns:c16="http://schemas.microsoft.com/office/drawing/2014/chart" uri="{C3380CC4-5D6E-409C-BE32-E72D297353CC}">
              <c16:uniqueId val="{00000004-2C8E-43B7-B4BF-B8F0B6E3A6A9}"/>
            </c:ext>
          </c:extLst>
        </c:ser>
        <c:dLbls>
          <c:showLegendKey val="0"/>
          <c:showVal val="0"/>
          <c:showCatName val="0"/>
          <c:showSerName val="0"/>
          <c:showPercent val="0"/>
          <c:showBubbleSize val="0"/>
        </c:dLbls>
        <c:axId val="1627822991"/>
        <c:axId val="1627805103"/>
      </c:stockChart>
      <c:catAx>
        <c:axId val="1627822991"/>
        <c:scaling>
          <c:orientation val="minMax"/>
        </c:scaling>
        <c:delete val="0"/>
        <c:axPos val="b"/>
        <c:majorGridlines>
          <c:spPr>
            <a:ln>
              <a:solidFill>
                <a:schemeClr val="tx1"/>
              </a:solidFill>
            </a:ln>
          </c:spPr>
        </c:majorGridlines>
        <c:numFmt formatCode="General" sourceLinked="1"/>
        <c:majorTickMark val="out"/>
        <c:minorTickMark val="none"/>
        <c:tickLblPos val="nextTo"/>
        <c:spPr>
          <a:ln>
            <a:solidFill>
              <a:schemeClr val="tx1"/>
            </a:solidFill>
          </a:ln>
        </c:spPr>
        <c:txPr>
          <a:bodyPr rot="-2940000"/>
          <a:lstStyle/>
          <a:p>
            <a:pPr>
              <a:defRPr sz="700"/>
            </a:pPr>
            <a:endParaRPr lang="en-US"/>
          </a:p>
        </c:txPr>
        <c:crossAx val="1627805103"/>
        <c:crosses val="autoZero"/>
        <c:auto val="1"/>
        <c:lblAlgn val="ctr"/>
        <c:lblOffset val="100"/>
        <c:tickMarkSkip val="2"/>
        <c:noMultiLvlLbl val="0"/>
      </c:catAx>
      <c:valAx>
        <c:axId val="1627805103"/>
        <c:scaling>
          <c:orientation val="minMax"/>
        </c:scaling>
        <c:delete val="0"/>
        <c:axPos val="l"/>
        <c:majorGridlines>
          <c:spPr>
            <a:ln>
              <a:noFill/>
            </a:ln>
          </c:spPr>
        </c:majorGridlines>
        <c:numFmt formatCode="&quot;$&quot;#,##0" sourceLinked="0"/>
        <c:majorTickMark val="out"/>
        <c:minorTickMark val="none"/>
        <c:tickLblPos val="nextTo"/>
        <c:spPr>
          <a:ln>
            <a:solidFill>
              <a:schemeClr val="tx1"/>
            </a:solidFill>
          </a:ln>
        </c:spPr>
        <c:crossAx val="1627822991"/>
        <c:crosses val="autoZero"/>
        <c:crossBetween val="between"/>
      </c:valAx>
    </c:plotArea>
    <c:plotVisOnly val="1"/>
    <c:dispBlanksAs val="gap"/>
    <c:showDLblsOverMax val="0"/>
  </c:chart>
  <c:spPr>
    <a:ln>
      <a:noFill/>
    </a:ln>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47454463458019E-2"/>
          <c:y val="4.7655119557351508E-2"/>
          <c:w val="0.94307619071480486"/>
          <c:h val="0.71481090567460959"/>
        </c:manualLayout>
      </c:layout>
      <c:stockChart>
        <c:ser>
          <c:idx val="0"/>
          <c:order val="0"/>
          <c:tx>
            <c:strRef>
              <c:f>'2.2_data'!$B$120</c:f>
              <c:strCache>
                <c:ptCount val="1"/>
                <c:pt idx="0">
                  <c:v>25th percentile</c:v>
                </c:pt>
              </c:strCache>
            </c:strRef>
          </c:tx>
          <c:spPr>
            <a:ln w="25400">
              <a:noFill/>
            </a:ln>
          </c:spPr>
          <c:marker>
            <c:symbol val="none"/>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'2.2_data'!$C$120:$AV$120</c:f>
              <c:numCache>
                <c:formatCode>0</c:formatCode>
                <c:ptCount val="46"/>
                <c:pt idx="0">
                  <c:v>18699.163248265955</c:v>
                </c:pt>
                <c:pt idx="1">
                  <c:v>17797.12199465718</c:v>
                </c:pt>
                <c:pt idx="2">
                  <c:v>22410.243763070706</c:v>
                </c:pt>
                <c:pt idx="3">
                  <c:v>22111.024656781643</c:v>
                </c:pt>
                <c:pt idx="4">
                  <c:v>22766.370014021253</c:v>
                </c:pt>
                <c:pt idx="5">
                  <c:v>22808.673403740671</c:v>
                </c:pt>
                <c:pt idx="6">
                  <c:v>17078.169061520057</c:v>
                </c:pt>
                <c:pt idx="7">
                  <c:v>17216.704622569203</c:v>
                </c:pt>
                <c:pt idx="8">
                  <c:v>20244.094666734993</c:v>
                </c:pt>
                <c:pt idx="9">
                  <c:v>20057.281839546209</c:v>
                </c:pt>
                <c:pt idx="10">
                  <c:v>18364.797631458212</c:v>
                </c:pt>
                <c:pt idx="11">
                  <c:v>16598.029225295217</c:v>
                </c:pt>
                <c:pt idx="12">
                  <c:v>19815.863564681975</c:v>
                </c:pt>
                <c:pt idx="13">
                  <c:v>19307.336332622384</c:v>
                </c:pt>
                <c:pt idx="14">
                  <c:v>23459.962005166919</c:v>
                </c:pt>
                <c:pt idx="15">
                  <c:v>27290.00712078677</c:v>
                </c:pt>
                <c:pt idx="16">
                  <c:v>23229.535684979593</c:v>
                </c:pt>
                <c:pt idx="17">
                  <c:v>24109.462049585443</c:v>
                </c:pt>
                <c:pt idx="18">
                  <c:v>17140.291811078387</c:v>
                </c:pt>
                <c:pt idx="19">
                  <c:v>16021.753217140827</c:v>
                </c:pt>
                <c:pt idx="20">
                  <c:v>44271.112395342425</c:v>
                </c:pt>
                <c:pt idx="21">
                  <c:v>33619.870107949871</c:v>
                </c:pt>
                <c:pt idx="22">
                  <c:v>41091.637937625885</c:v>
                </c:pt>
                <c:pt idx="23">
                  <c:v>35295.385886630145</c:v>
                </c:pt>
                <c:pt idx="24">
                  <c:v>18514.773244882934</c:v>
                </c:pt>
                <c:pt idx="25">
                  <c:v>17967.381956805599</c:v>
                </c:pt>
                <c:pt idx="26">
                  <c:v>15319.215499536655</c:v>
                </c:pt>
                <c:pt idx="27">
                  <c:v>15385.062702036219</c:v>
                </c:pt>
                <c:pt idx="28">
                  <c:v>16577.274737370062</c:v>
                </c:pt>
                <c:pt idx="29">
                  <c:v>17233.181130752375</c:v>
                </c:pt>
                <c:pt idx="30">
                  <c:v>18339.715960810332</c:v>
                </c:pt>
                <c:pt idx="31">
                  <c:v>16697.336957244872</c:v>
                </c:pt>
                <c:pt idx="32">
                  <c:v>17563.885366617276</c:v>
                </c:pt>
                <c:pt idx="33">
                  <c:v>17337.167611494315</c:v>
                </c:pt>
                <c:pt idx="34">
                  <c:v>17393.627435403061</c:v>
                </c:pt>
                <c:pt idx="35">
                  <c:v>17382.467515271186</c:v>
                </c:pt>
                <c:pt idx="36">
                  <c:v>16356.569416154962</c:v>
                </c:pt>
                <c:pt idx="37">
                  <c:v>16194.042525213301</c:v>
                </c:pt>
                <c:pt idx="38">
                  <c:v>21399.86697995213</c:v>
                </c:pt>
                <c:pt idx="39">
                  <c:v>20427.865697687415</c:v>
                </c:pt>
                <c:pt idx="40">
                  <c:v>#N/A</c:v>
                </c:pt>
                <c:pt idx="41">
                  <c:v>#N/A</c:v>
                </c:pt>
                <c:pt idx="42">
                  <c:v>21657.123870774099</c:v>
                </c:pt>
                <c:pt idx="43">
                  <c:v>14300.89990397007</c:v>
                </c:pt>
                <c:pt idx="44">
                  <c:v>18648.652723348114</c:v>
                </c:pt>
                <c:pt idx="45">
                  <c:v>19113.892175355279</c:v>
                </c:pt>
              </c:numCache>
            </c:numRef>
          </c:val>
          <c:smooth val="0"/>
          <c:extLst>
            <c:ext xmlns:c16="http://schemas.microsoft.com/office/drawing/2014/chart" uri="{C3380CC4-5D6E-409C-BE32-E72D297353CC}">
              <c16:uniqueId val="{00000000-E349-4CB5-ACA5-C9063A58BE1E}"/>
            </c:ext>
          </c:extLst>
        </c:ser>
        <c:ser>
          <c:idx val="3"/>
          <c:order val="1"/>
          <c:tx>
            <c:strRef>
              <c:f>'2.2_data'!$B$126</c:f>
              <c:strCache>
                <c:ptCount val="1"/>
                <c:pt idx="0">
                  <c:v>Maximum</c:v>
                </c:pt>
              </c:strCache>
            </c:strRef>
          </c:tx>
          <c:spPr>
            <a:ln w="25400">
              <a:noFill/>
            </a:ln>
          </c:spPr>
          <c:marker>
            <c:symbol val="dash"/>
            <c:size val="5"/>
            <c:spPr>
              <a:solidFill>
                <a:srgbClr val="00ABAB"/>
              </a:solidFill>
              <a:ln>
                <a:solidFill>
                  <a:srgbClr val="00ABAB"/>
                </a:solidFill>
              </a:ln>
            </c:spPr>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'2.2_data'!$C$126:$AV$126</c:f>
              <c:numCache>
                <c:formatCode>0</c:formatCode>
                <c:ptCount val="46"/>
                <c:pt idx="0">
                  <c:v>36784.876519227451</c:v>
                </c:pt>
                <c:pt idx="1">
                  <c:v>38971.750368267552</c:v>
                </c:pt>
                <c:pt idx="2">
                  <c:v>46826.597031659265</c:v>
                </c:pt>
                <c:pt idx="3">
                  <c:v>71510.261765981413</c:v>
                </c:pt>
                <c:pt idx="4">
                  <c:v>54671.086593879438</c:v>
                </c:pt>
                <c:pt idx="5">
                  <c:v>57051.806422409529</c:v>
                </c:pt>
                <c:pt idx="6">
                  <c:v>28848.319960299661</c:v>
                </c:pt>
                <c:pt idx="7">
                  <c:v>33177.993545770274</c:v>
                </c:pt>
                <c:pt idx="8">
                  <c:v>44873.200128105069</c:v>
                </c:pt>
                <c:pt idx="9">
                  <c:v>44509.618392341406</c:v>
                </c:pt>
                <c:pt idx="10">
                  <c:v>40500.403744221905</c:v>
                </c:pt>
                <c:pt idx="11">
                  <c:v>26678.702907407289</c:v>
                </c:pt>
                <c:pt idx="12">
                  <c:v>65927.415058823535</c:v>
                </c:pt>
                <c:pt idx="13">
                  <c:v>60493.906829268286</c:v>
                </c:pt>
                <c:pt idx="14">
                  <c:v>70147.927555786315</c:v>
                </c:pt>
                <c:pt idx="15">
                  <c:v>77161.83366565613</c:v>
                </c:pt>
                <c:pt idx="16">
                  <c:v>62502.381905304865</c:v>
                </c:pt>
                <c:pt idx="17">
                  <c:v>59584.507049611231</c:v>
                </c:pt>
                <c:pt idx="18">
                  <c:v>36752.742784658214</c:v>
                </c:pt>
                <c:pt idx="19">
                  <c:v>91891.070152403467</c:v>
                </c:pt>
                <c:pt idx="20">
                  <c:v>93152.777777777781</c:v>
                </c:pt>
                <c:pt idx="21">
                  <c:v>63832.595041322311</c:v>
                </c:pt>
                <c:pt idx="22">
                  <c:v>70662.345624372916</c:v>
                </c:pt>
                <c:pt idx="23">
                  <c:v>70383.964584545829</c:v>
                </c:pt>
                <c:pt idx="24">
                  <c:v>55976.682135892275</c:v>
                </c:pt>
                <c:pt idx="25">
                  <c:v>79474.307689493988</c:v>
                </c:pt>
                <c:pt idx="26">
                  <c:v>29209.654788690023</c:v>
                </c:pt>
                <c:pt idx="27">
                  <c:v>29889.101553952292</c:v>
                </c:pt>
                <c:pt idx="28">
                  <c:v>28660.426056222444</c:v>
                </c:pt>
                <c:pt idx="29">
                  <c:v>27744.435266719494</c:v>
                </c:pt>
                <c:pt idx="30">
                  <c:v>36027.642352941177</c:v>
                </c:pt>
                <c:pt idx="31">
                  <c:v>45597.430698013064</c:v>
                </c:pt>
                <c:pt idx="32">
                  <c:v>58923.215506299559</c:v>
                </c:pt>
                <c:pt idx="33">
                  <c:v>66769.436101229119</c:v>
                </c:pt>
                <c:pt idx="34">
                  <c:v>39273.693817063824</c:v>
                </c:pt>
                <c:pt idx="35">
                  <c:v>37394.862922003791</c:v>
                </c:pt>
                <c:pt idx="36">
                  <c:v>50588.83076636598</c:v>
                </c:pt>
                <c:pt idx="37">
                  <c:v>47414.762878430025</c:v>
                </c:pt>
                <c:pt idx="38">
                  <c:v>38286.43278484475</c:v>
                </c:pt>
                <c:pt idx="39">
                  <c:v>58442.355736682824</c:v>
                </c:pt>
                <c:pt idx="40">
                  <c:v>#N/A</c:v>
                </c:pt>
                <c:pt idx="41">
                  <c:v>#N/A</c:v>
                </c:pt>
                <c:pt idx="42">
                  <c:v>29683.025249396138</c:v>
                </c:pt>
                <c:pt idx="43">
                  <c:v>43249.031066379102</c:v>
                </c:pt>
                <c:pt idx="44">
                  <c:v>28336.643127737971</c:v>
                </c:pt>
                <c:pt idx="45">
                  <c:v>28803.635298704707</c:v>
                </c:pt>
              </c:numCache>
            </c:numRef>
          </c:val>
          <c:smooth val="0"/>
          <c:extLst>
            <c:ext xmlns:c16="http://schemas.microsoft.com/office/drawing/2014/chart" uri="{C3380CC4-5D6E-409C-BE32-E72D297353CC}">
              <c16:uniqueId val="{00000001-E349-4CB5-ACA5-C9063A58BE1E}"/>
            </c:ext>
          </c:extLst>
        </c:ser>
        <c:ser>
          <c:idx val="2"/>
          <c:order val="3"/>
          <c:tx>
            <c:strRef>
              <c:f>'2.2_data'!$B$125</c:f>
              <c:strCache>
                <c:ptCount val="1"/>
                <c:pt idx="0">
                  <c:v>Minimum</c:v>
                </c:pt>
              </c:strCache>
            </c:strRef>
          </c:tx>
          <c:spPr>
            <a:ln w="25400">
              <a:noFill/>
            </a:ln>
          </c:spPr>
          <c:marker>
            <c:symbol val="dash"/>
            <c:size val="5"/>
            <c:spPr>
              <a:solidFill>
                <a:srgbClr val="00ABAB"/>
              </a:solidFill>
              <a:ln>
                <a:solidFill>
                  <a:srgbClr val="00ABAB"/>
                </a:solidFill>
              </a:ln>
            </c:spPr>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'2.2_data'!$C$125:$AV$125</c:f>
              <c:numCache>
                <c:formatCode>0</c:formatCode>
                <c:ptCount val="46"/>
                <c:pt idx="0">
                  <c:v>12809.058910542526</c:v>
                </c:pt>
                <c:pt idx="1">
                  <c:v>14125.045829999908</c:v>
                </c:pt>
                <c:pt idx="2">
                  <c:v>6404.032181894494</c:v>
                </c:pt>
                <c:pt idx="3">
                  <c:v>11091.676084887795</c:v>
                </c:pt>
                <c:pt idx="4">
                  <c:v>14352.755636334676</c:v>
                </c:pt>
                <c:pt idx="5">
                  <c:v>14294.929257028109</c:v>
                </c:pt>
                <c:pt idx="6">
                  <c:v>4633.4913560596096</c:v>
                </c:pt>
                <c:pt idx="7">
                  <c:v>5363.3552635461865</c:v>
                </c:pt>
                <c:pt idx="8">
                  <c:v>16614.303664044568</c:v>
                </c:pt>
                <c:pt idx="9">
                  <c:v>16007.956913428334</c:v>
                </c:pt>
                <c:pt idx="10">
                  <c:v>10556.769356694733</c:v>
                </c:pt>
                <c:pt idx="11">
                  <c:v>11245.074295273456</c:v>
                </c:pt>
                <c:pt idx="12">
                  <c:v>15513.346321705041</c:v>
                </c:pt>
                <c:pt idx="13">
                  <c:v>14125.814529589368</c:v>
                </c:pt>
                <c:pt idx="14">
                  <c:v>17344.551556777125</c:v>
                </c:pt>
                <c:pt idx="15">
                  <c:v>16990.075012861191</c:v>
                </c:pt>
                <c:pt idx="16">
                  <c:v>12657.46682816411</c:v>
                </c:pt>
                <c:pt idx="17">
                  <c:v>11506.899265294396</c:v>
                </c:pt>
                <c:pt idx="18">
                  <c:v>13864.666625295347</c:v>
                </c:pt>
                <c:pt idx="19">
                  <c:v>15110.937815164922</c:v>
                </c:pt>
                <c:pt idx="20">
                  <c:v>34979.188071824108</c:v>
                </c:pt>
                <c:pt idx="21">
                  <c:v>11494.038265699932</c:v>
                </c:pt>
                <c:pt idx="22">
                  <c:v>36126.897005700921</c:v>
                </c:pt>
                <c:pt idx="23">
                  <c:v>30263.187465948344</c:v>
                </c:pt>
                <c:pt idx="24">
                  <c:v>12207.705722729113</c:v>
                </c:pt>
                <c:pt idx="25">
                  <c:v>12583.444997174907</c:v>
                </c:pt>
                <c:pt idx="26">
                  <c:v>11998.739697523759</c:v>
                </c:pt>
                <c:pt idx="27">
                  <c:v>10563.30728646539</c:v>
                </c:pt>
                <c:pt idx="28">
                  <c:v>10188.876142737015</c:v>
                </c:pt>
                <c:pt idx="29">
                  <c:v>12311.238585023628</c:v>
                </c:pt>
                <c:pt idx="30">
                  <c:v>15341.963988218828</c:v>
                </c:pt>
                <c:pt idx="31">
                  <c:v>7797.4996205188418</c:v>
                </c:pt>
                <c:pt idx="32">
                  <c:v>5943.664297732832</c:v>
                </c:pt>
                <c:pt idx="33">
                  <c:v>8059.5360119811276</c:v>
                </c:pt>
                <c:pt idx="34">
                  <c:v>14003.378095127324</c:v>
                </c:pt>
                <c:pt idx="35">
                  <c:v>14737.505291172421</c:v>
                </c:pt>
                <c:pt idx="36">
                  <c:v>11942.608353110316</c:v>
                </c:pt>
                <c:pt idx="37">
                  <c:v>12992.247563772182</c:v>
                </c:pt>
                <c:pt idx="38">
                  <c:v>16156.849827710832</c:v>
                </c:pt>
                <c:pt idx="39">
                  <c:v>14551.561468962773</c:v>
                </c:pt>
                <c:pt idx="40">
                  <c:v>#N/A</c:v>
                </c:pt>
                <c:pt idx="41">
                  <c:v>#N/A</c:v>
                </c:pt>
                <c:pt idx="42">
                  <c:v>21022.663776446785</c:v>
                </c:pt>
                <c:pt idx="43">
                  <c:v>13248.598159891739</c:v>
                </c:pt>
                <c:pt idx="44">
                  <c:v>12219.86594970737</c:v>
                </c:pt>
                <c:pt idx="45">
                  <c:v>13913.488624280824</c:v>
                </c:pt>
              </c:numCache>
            </c:numRef>
          </c:val>
          <c:smooth val="0"/>
          <c:extLst>
            <c:ext xmlns:c16="http://schemas.microsoft.com/office/drawing/2014/chart" uri="{C3380CC4-5D6E-409C-BE32-E72D297353CC}">
              <c16:uniqueId val="{00000002-E349-4CB5-ACA5-C9063A58BE1E}"/>
            </c:ext>
          </c:extLst>
        </c:ser>
        <c:ser>
          <c:idx val="1"/>
          <c:order val="4"/>
          <c:tx>
            <c:strRef>
              <c:f>'2.2_data'!$B$121</c:f>
              <c:strCache>
                <c:ptCount val="1"/>
                <c:pt idx="0">
                  <c:v>75th percentile</c:v>
                </c:pt>
              </c:strCache>
            </c:strRef>
          </c:tx>
          <c:spPr>
            <a:ln w="25400">
              <a:noFill/>
            </a:ln>
          </c:spPr>
          <c:marker>
            <c:symbol val="none"/>
          </c:marker>
          <c:cat>
            <c:strRef>
              <c:f>'2.2_data'!$C$138:$AV$138</c:f>
              <c:strCache>
                <c:ptCount val="46"/>
                <c:pt idx="0">
                  <c:v>2019 MathSci (4,073)</c:v>
                </c:pt>
                <c:pt idx="1">
                  <c:v>2020 MathSci (4,313)</c:v>
                </c:pt>
                <c:pt idx="2">
                  <c:v>2019 MedicalSci (455)</c:v>
                </c:pt>
                <c:pt idx="3">
                  <c:v>2020 MedicalSci (588)</c:v>
                </c:pt>
                <c:pt idx="4">
                  <c:v>2019 OthNat-PhysSci (4,122)</c:v>
                </c:pt>
                <c:pt idx="5">
                  <c:v>2020 OthNat-PhysSci (4,244)</c:v>
                </c:pt>
                <c:pt idx="6">
                  <c:v>2019 InfoTech (29,468)</c:v>
                </c:pt>
                <c:pt idx="7">
                  <c:v>2020 InfoTech (27,402)</c:v>
                </c:pt>
                <c:pt idx="8">
                  <c:v>2019 Eng&amp;Related (17,816)</c:v>
                </c:pt>
                <c:pt idx="9">
                  <c:v>2020 Eng&amp;Related (15,714)</c:v>
                </c:pt>
                <c:pt idx="10">
                  <c:v>2019 Archi&amp;Build (6,577)</c:v>
                </c:pt>
                <c:pt idx="11">
                  <c:v>2020 Archi&amp;Build (6,121)</c:v>
                </c:pt>
                <c:pt idx="12">
                  <c:v>2019 Environment (1,714)</c:v>
                </c:pt>
                <c:pt idx="13">
                  <c:v>2020 Environment (1,925)</c:v>
                </c:pt>
                <c:pt idx="14">
                  <c:v>2019 OthAg&amp;Enviro (948)</c:v>
                </c:pt>
                <c:pt idx="15">
                  <c:v>2020 OthAg&amp;Enviro (797)</c:v>
                </c:pt>
                <c:pt idx="16">
                  <c:v>2019 MedicalStudies (9,604)</c:v>
                </c:pt>
                <c:pt idx="17">
                  <c:v>2020 MedicalStudies (9,955)</c:v>
                </c:pt>
                <c:pt idx="18">
                  <c:v>2019 Nursing (6,554)</c:v>
                </c:pt>
                <c:pt idx="19">
                  <c:v>2020 Nursing (7,311)</c:v>
                </c:pt>
                <c:pt idx="20">
                  <c:v>2019 Dental (1,303)</c:v>
                </c:pt>
                <c:pt idx="21">
                  <c:v>2020 Dental (1,270)</c:v>
                </c:pt>
                <c:pt idx="22">
                  <c:v>2019 Veterinary (888)</c:v>
                </c:pt>
                <c:pt idx="23">
                  <c:v>2020 Veterinary (910)</c:v>
                </c:pt>
                <c:pt idx="24">
                  <c:v>2019 OthHealth (13,730)</c:v>
                </c:pt>
                <c:pt idx="25">
                  <c:v>2020 OthHealth (14,666)</c:v>
                </c:pt>
                <c:pt idx="26">
                  <c:v>2019 Education (21,743)</c:v>
                </c:pt>
                <c:pt idx="27">
                  <c:v>2020 Education (23,174)</c:v>
                </c:pt>
                <c:pt idx="28">
                  <c:v>2019 Mgmt&amp;Comm (56,096)</c:v>
                </c:pt>
                <c:pt idx="29">
                  <c:v>2020 Mgmt&amp;Comm (49,690)</c:v>
                </c:pt>
                <c:pt idx="30">
                  <c:v>2019 ForeignLang (749)</c:v>
                </c:pt>
                <c:pt idx="31">
                  <c:v>2020 ForeignLang (713)</c:v>
                </c:pt>
                <c:pt idx="32">
                  <c:v>2019 Psych (3,351)</c:v>
                </c:pt>
                <c:pt idx="33">
                  <c:v>2020 Psych (3,886)</c:v>
                </c:pt>
                <c:pt idx="34">
                  <c:v>2019 OtherSoc&amp;Cult (32,245)</c:v>
                </c:pt>
                <c:pt idx="35">
                  <c:v>2020 OtherSoc&amp;Cult (31,912)</c:v>
                </c:pt>
                <c:pt idx="36">
                  <c:v>2019 Comms&amp;Media (4,522)</c:v>
                </c:pt>
                <c:pt idx="37">
                  <c:v>2020 Comms&amp;Media (4,320)</c:v>
                </c:pt>
                <c:pt idx="38">
                  <c:v>2019 OthCreative (2,533)</c:v>
                </c:pt>
                <c:pt idx="39">
                  <c:v>2020 OthCreative (2,518)</c:v>
                </c:pt>
                <c:pt idx="40">
                  <c:v>2019 FoodHosp&amp;Person ()</c:v>
                </c:pt>
                <c:pt idx="41">
                  <c:v>2020 FoodHosp&amp;Person ()</c:v>
                </c:pt>
                <c:pt idx="42">
                  <c:v>2019 MixedField (225)</c:v>
                </c:pt>
                <c:pt idx="43">
                  <c:v>2020 MixedField (156)</c:v>
                </c:pt>
                <c:pt idx="44">
                  <c:v>2019 Total (218,715)</c:v>
                </c:pt>
                <c:pt idx="45">
                  <c:v>2020 Total (211,584)</c:v>
                </c:pt>
              </c:strCache>
            </c:strRef>
          </c:cat>
          <c:val>
            <c:numRef>
              <c:f>'2.2_data'!$C$121:$AV$121</c:f>
              <c:numCache>
                <c:formatCode>0</c:formatCode>
                <c:ptCount val="46"/>
                <c:pt idx="0">
                  <c:v>24097.656129719384</c:v>
                </c:pt>
                <c:pt idx="1">
                  <c:v>25898.129611420074</c:v>
                </c:pt>
                <c:pt idx="2">
                  <c:v>36884.323419821085</c:v>
                </c:pt>
                <c:pt idx="3">
                  <c:v>38068.992718488313</c:v>
                </c:pt>
                <c:pt idx="4">
                  <c:v>34699.535674985818</c:v>
                </c:pt>
                <c:pt idx="5">
                  <c:v>36588.22712121332</c:v>
                </c:pt>
                <c:pt idx="6">
                  <c:v>23593.442138510694</c:v>
                </c:pt>
                <c:pt idx="7">
                  <c:v>22266.59021165601</c:v>
                </c:pt>
                <c:pt idx="8">
                  <c:v>29753.440833331966</c:v>
                </c:pt>
                <c:pt idx="9">
                  <c:v>29432.947154232214</c:v>
                </c:pt>
                <c:pt idx="10">
                  <c:v>25461.733776023924</c:v>
                </c:pt>
                <c:pt idx="11">
                  <c:v>22672.189389197931</c:v>
                </c:pt>
                <c:pt idx="12">
                  <c:v>30895.628435296785</c:v>
                </c:pt>
                <c:pt idx="13">
                  <c:v>33555.748244497299</c:v>
                </c:pt>
                <c:pt idx="14">
                  <c:v>44785.653067916479</c:v>
                </c:pt>
                <c:pt idx="15">
                  <c:v>45177.65504820858</c:v>
                </c:pt>
                <c:pt idx="16">
                  <c:v>39586.679450655953</c:v>
                </c:pt>
                <c:pt idx="17">
                  <c:v>41375.90698227039</c:v>
                </c:pt>
                <c:pt idx="18">
                  <c:v>23149.108081292077</c:v>
                </c:pt>
                <c:pt idx="19">
                  <c:v>25474.392571643828</c:v>
                </c:pt>
                <c:pt idx="20">
                  <c:v>74463.317493708222</c:v>
                </c:pt>
                <c:pt idx="21">
                  <c:v>60245.306610917607</c:v>
                </c:pt>
                <c:pt idx="22">
                  <c:v>67155.333603481675</c:v>
                </c:pt>
                <c:pt idx="23">
                  <c:v>65395.973961625474</c:v>
                </c:pt>
                <c:pt idx="24">
                  <c:v>26370.735563719514</c:v>
                </c:pt>
                <c:pt idx="25">
                  <c:v>28242.490930573629</c:v>
                </c:pt>
                <c:pt idx="26">
                  <c:v>20773.315561100124</c:v>
                </c:pt>
                <c:pt idx="27">
                  <c:v>20172.759433165134</c:v>
                </c:pt>
                <c:pt idx="28">
                  <c:v>23192.656544789559</c:v>
                </c:pt>
                <c:pt idx="29">
                  <c:v>23202.09994086665</c:v>
                </c:pt>
                <c:pt idx="30">
                  <c:v>34474.22554965943</c:v>
                </c:pt>
                <c:pt idx="31">
                  <c:v>37935.542399464779</c:v>
                </c:pt>
                <c:pt idx="32">
                  <c:v>31428.073940077222</c:v>
                </c:pt>
                <c:pt idx="33">
                  <c:v>28337.604406470819</c:v>
                </c:pt>
                <c:pt idx="34">
                  <c:v>22477.444065962703</c:v>
                </c:pt>
                <c:pt idx="35">
                  <c:v>21612.804125169467</c:v>
                </c:pt>
                <c:pt idx="36">
                  <c:v>25064.376734533267</c:v>
                </c:pt>
                <c:pt idx="37">
                  <c:v>22729.928355390231</c:v>
                </c:pt>
                <c:pt idx="38">
                  <c:v>27602.716822792849</c:v>
                </c:pt>
                <c:pt idx="39">
                  <c:v>30255.448219418184</c:v>
                </c:pt>
                <c:pt idx="40">
                  <c:v>#N/A</c:v>
                </c:pt>
                <c:pt idx="41">
                  <c:v>#N/A</c:v>
                </c:pt>
                <c:pt idx="42">
                  <c:v>26980.849902061658</c:v>
                </c:pt>
                <c:pt idx="43">
                  <c:v>39638.317206479434</c:v>
                </c:pt>
                <c:pt idx="44">
                  <c:v>22964.58987131458</c:v>
                </c:pt>
                <c:pt idx="45">
                  <c:v>23325.757066566075</c:v>
                </c:pt>
              </c:numCache>
            </c:numRef>
          </c:val>
          <c:smooth val="0"/>
          <c:extLst>
            <c:ext xmlns:c16="http://schemas.microsoft.com/office/drawing/2014/chart" uri="{C3380CC4-5D6E-409C-BE32-E72D297353CC}">
              <c16:uniqueId val="{00000003-E349-4CB5-ACA5-C9063A58BE1E}"/>
            </c:ext>
          </c:extLst>
        </c:ser>
        <c:dLbls>
          <c:showLegendKey val="0"/>
          <c:showVal val="0"/>
          <c:showCatName val="0"/>
          <c:showSerName val="0"/>
          <c:showPercent val="0"/>
          <c:showBubbleSize val="0"/>
        </c:dLbls>
        <c:hiLowLines>
          <c:spPr>
            <a:ln>
              <a:solidFill>
                <a:srgbClr val="00ABAB"/>
              </a:solidFill>
            </a:ln>
          </c:spPr>
        </c:hiLowLines>
        <c:upDownBars>
          <c:gapWidth val="150"/>
          <c:upBars>
            <c:spPr>
              <a:solidFill>
                <a:srgbClr val="00ABAB"/>
              </a:solidFill>
              <a:ln>
                <a:solidFill>
                  <a:srgbClr val="00ABAB"/>
                </a:solidFill>
              </a:ln>
            </c:spPr>
          </c:upBars>
          <c:downBars/>
        </c:upDownBars>
        <c:axId val="1627822991"/>
        <c:axId val="1627805103"/>
      </c:stockChart>
      <c:stockChart>
        <c:ser>
          <c:idx val="4"/>
          <c:order val="2"/>
          <c:tx>
            <c:v>Mean</c:v>
          </c:tx>
          <c:spPr>
            <a:ln w="25400">
              <a:noFill/>
            </a:ln>
          </c:spPr>
          <c:marker>
            <c:symbol val="diamond"/>
            <c:size val="5"/>
            <c:spPr>
              <a:solidFill>
                <a:schemeClr val="tx2"/>
              </a:solidFill>
              <a:ln>
                <a:solidFill>
                  <a:schemeClr val="tx2"/>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'2.2_data'!$C$118:$AV$118</c:f>
              <c:numCache>
                <c:formatCode>0</c:formatCode>
                <c:ptCount val="46"/>
                <c:pt idx="0">
                  <c:v>20278.05927037384</c:v>
                </c:pt>
                <c:pt idx="1">
                  <c:v>22186.748516152486</c:v>
                </c:pt>
                <c:pt idx="2">
                  <c:v>28923.010974535358</c:v>
                </c:pt>
                <c:pt idx="3">
                  <c:v>33003.524677323112</c:v>
                </c:pt>
                <c:pt idx="4">
                  <c:v>29955.320325470169</c:v>
                </c:pt>
                <c:pt idx="5">
                  <c:v>30340.371464461474</c:v>
                </c:pt>
                <c:pt idx="6">
                  <c:v>19579.505034045749</c:v>
                </c:pt>
                <c:pt idx="7">
                  <c:v>18995.167283167906</c:v>
                </c:pt>
                <c:pt idx="8">
                  <c:v>23242.647892163419</c:v>
                </c:pt>
                <c:pt idx="9">
                  <c:v>24204.896178364706</c:v>
                </c:pt>
                <c:pt idx="10">
                  <c:v>21931.62857462035</c:v>
                </c:pt>
                <c:pt idx="11">
                  <c:v>21907.427657848486</c:v>
                </c:pt>
                <c:pt idx="12">
                  <c:v>25508.68868517501</c:v>
                </c:pt>
                <c:pt idx="13">
                  <c:v>23699.7894298836</c:v>
                </c:pt>
                <c:pt idx="14">
                  <c:v>36996.686494991627</c:v>
                </c:pt>
                <c:pt idx="15">
                  <c:v>42234.841529400546</c:v>
                </c:pt>
                <c:pt idx="16">
                  <c:v>35522.260504309023</c:v>
                </c:pt>
                <c:pt idx="17">
                  <c:v>35172.290920854626</c:v>
                </c:pt>
                <c:pt idx="18">
                  <c:v>20512.597600992016</c:v>
                </c:pt>
                <c:pt idx="19">
                  <c:v>20697.683672099502</c:v>
                </c:pt>
                <c:pt idx="20">
                  <c:v>50391.373415300652</c:v>
                </c:pt>
                <c:pt idx="21">
                  <c:v>48405.155856988946</c:v>
                </c:pt>
                <c:pt idx="22">
                  <c:v>63413.617595346972</c:v>
                </c:pt>
                <c:pt idx="23">
                  <c:v>60822.694603407079</c:v>
                </c:pt>
                <c:pt idx="24">
                  <c:v>24936.530636508509</c:v>
                </c:pt>
                <c:pt idx="25">
                  <c:v>24117.051302314307</c:v>
                </c:pt>
                <c:pt idx="26">
                  <c:v>18714.439735594529</c:v>
                </c:pt>
                <c:pt idx="27">
                  <c:v>18724.503051847838</c:v>
                </c:pt>
                <c:pt idx="28">
                  <c:v>18620.520608007319</c:v>
                </c:pt>
                <c:pt idx="29">
                  <c:v>18831.737539413938</c:v>
                </c:pt>
                <c:pt idx="30">
                  <c:v>24956.105235735478</c:v>
                </c:pt>
                <c:pt idx="31">
                  <c:v>29539.429509197373</c:v>
                </c:pt>
                <c:pt idx="32">
                  <c:v>22842.620288647806</c:v>
                </c:pt>
                <c:pt idx="33">
                  <c:v>22637.921583119867</c:v>
                </c:pt>
                <c:pt idx="34">
                  <c:v>19181.369546973398</c:v>
                </c:pt>
                <c:pt idx="35">
                  <c:v>19444.180623982753</c:v>
                </c:pt>
                <c:pt idx="36">
                  <c:v>18929.229196859189</c:v>
                </c:pt>
                <c:pt idx="37">
                  <c:v>19663.357628407979</c:v>
                </c:pt>
                <c:pt idx="38">
                  <c:v>25245.933907273327</c:v>
                </c:pt>
                <c:pt idx="39">
                  <c:v>26220.149483850804</c:v>
                </c:pt>
                <c:pt idx="40">
                  <c:v>#N/A</c:v>
                </c:pt>
                <c:pt idx="41">
                  <c:v>#N/A</c:v>
                </c:pt>
                <c:pt idx="42">
                  <c:v>22631.55665596986</c:v>
                </c:pt>
                <c:pt idx="43">
                  <c:v>25554.291108129953</c:v>
                </c:pt>
                <c:pt idx="44">
                  <c:v>21457.476708625221</c:v>
                </c:pt>
                <c:pt idx="45">
                  <c:v>21666.140251393776</c:v>
                </c:pt>
              </c:numCache>
            </c:numRef>
          </c:val>
          <c:smooth val="0"/>
          <c:extLst>
            <c:ext xmlns:c16="http://schemas.microsoft.com/office/drawing/2014/chart" uri="{C3380CC4-5D6E-409C-BE32-E72D297353CC}">
              <c16:uniqueId val="{00000004-E349-4CB5-ACA5-C9063A58BE1E}"/>
            </c:ext>
          </c:extLst>
        </c:ser>
        <c:dLbls>
          <c:showLegendKey val="0"/>
          <c:showVal val="0"/>
          <c:showCatName val="0"/>
          <c:showSerName val="0"/>
          <c:showPercent val="0"/>
          <c:showBubbleSize val="0"/>
        </c:dLbls>
        <c:axId val="1627822991"/>
        <c:axId val="1627805103"/>
      </c:stockChart>
      <c:catAx>
        <c:axId val="1627822991"/>
        <c:scaling>
          <c:orientation val="minMax"/>
        </c:scaling>
        <c:delete val="0"/>
        <c:axPos val="b"/>
        <c:majorGridlines>
          <c:spPr>
            <a:ln>
              <a:solidFill>
                <a:schemeClr val="tx1"/>
              </a:solidFill>
            </a:ln>
          </c:spPr>
        </c:majorGridlines>
        <c:numFmt formatCode="General" sourceLinked="1"/>
        <c:majorTickMark val="out"/>
        <c:minorTickMark val="none"/>
        <c:tickLblPos val="nextTo"/>
        <c:spPr>
          <a:ln>
            <a:solidFill>
              <a:schemeClr val="tx1"/>
            </a:solidFill>
          </a:ln>
        </c:spPr>
        <c:txPr>
          <a:bodyPr rot="-2940000"/>
          <a:lstStyle/>
          <a:p>
            <a:pPr>
              <a:defRPr sz="700"/>
            </a:pPr>
            <a:endParaRPr lang="en-US"/>
          </a:p>
        </c:txPr>
        <c:crossAx val="1627805103"/>
        <c:crosses val="autoZero"/>
        <c:auto val="1"/>
        <c:lblAlgn val="ctr"/>
        <c:lblOffset val="100"/>
        <c:tickMarkSkip val="2"/>
        <c:noMultiLvlLbl val="0"/>
      </c:catAx>
      <c:valAx>
        <c:axId val="1627805103"/>
        <c:scaling>
          <c:orientation val="minMax"/>
        </c:scaling>
        <c:delete val="0"/>
        <c:axPos val="l"/>
        <c:majorGridlines>
          <c:spPr>
            <a:ln>
              <a:noFill/>
            </a:ln>
          </c:spPr>
        </c:majorGridlines>
        <c:numFmt formatCode="&quot;$&quot;#,##0" sourceLinked="0"/>
        <c:majorTickMark val="out"/>
        <c:minorTickMark val="none"/>
        <c:tickLblPos val="nextTo"/>
        <c:spPr>
          <a:ln>
            <a:solidFill>
              <a:schemeClr val="tx1"/>
            </a:solidFill>
          </a:ln>
        </c:spPr>
        <c:crossAx val="1627822991"/>
        <c:crosses val="autoZero"/>
        <c:crossBetween val="between"/>
      </c:valAx>
    </c:plotArea>
    <c:plotVisOnly val="1"/>
    <c:dispBlanksAs val="gap"/>
    <c:showDLblsOverMax val="0"/>
  </c:chart>
  <c:spPr>
    <a:ln>
      <a:noFill/>
    </a:ln>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2019</c:v>
          </c:tx>
          <c:spPr>
            <a:solidFill>
              <a:srgbClr val="00ABAB"/>
            </a:solidFill>
            <a:ln>
              <a:noFill/>
            </a:ln>
            <a:effectLst/>
          </c:spPr>
          <c:invertIfNegative val="0"/>
          <c:dPt>
            <c:idx val="11"/>
            <c:invertIfNegative val="0"/>
            <c:bubble3D val="0"/>
            <c:spPr>
              <a:solidFill>
                <a:srgbClr val="00ABAB"/>
              </a:solidFill>
              <a:ln>
                <a:noFill/>
              </a:ln>
              <a:effectLst/>
            </c:spPr>
            <c:extLst>
              <c:ext xmlns:c16="http://schemas.microsoft.com/office/drawing/2014/chart" uri="{C3380CC4-5D6E-409C-BE32-E72D297353CC}">
                <c16:uniqueId val="{00000001-1234-4965-BCB3-26E0274789DB}"/>
              </c:ext>
            </c:extLst>
          </c:dPt>
          <c:dPt>
            <c:idx val="12"/>
            <c:invertIfNegative val="0"/>
            <c:bubble3D val="0"/>
            <c:spPr>
              <a:solidFill>
                <a:schemeClr val="accent3"/>
              </a:solidFill>
              <a:ln>
                <a:noFill/>
              </a:ln>
              <a:effectLst/>
            </c:spPr>
            <c:extLst>
              <c:ext xmlns:c16="http://schemas.microsoft.com/office/drawing/2014/chart" uri="{C3380CC4-5D6E-409C-BE32-E72D297353CC}">
                <c16:uniqueId val="{00000003-1234-4965-BCB3-26E0274789DB}"/>
              </c:ext>
            </c:extLst>
          </c:dPt>
          <c:cat>
            <c:strRef>
              <c:f>'2.3_data_2019'!$F$495:$AB$495</c:f>
              <c:strCache>
                <c:ptCount val="23"/>
                <c:pt idx="0">
                  <c:v>Environment</c:v>
                </c:pt>
                <c:pt idx="1">
                  <c:v>MedicalSci</c:v>
                </c:pt>
                <c:pt idx="2">
                  <c:v>Eng&amp;Related</c:v>
                </c:pt>
                <c:pt idx="3">
                  <c:v>OthNat-PhysSci</c:v>
                </c:pt>
                <c:pt idx="4">
                  <c:v>Comms&amp;Media</c:v>
                </c:pt>
                <c:pt idx="5">
                  <c:v>MathSci</c:v>
                </c:pt>
                <c:pt idx="6">
                  <c:v>Nursing</c:v>
                </c:pt>
                <c:pt idx="7">
                  <c:v>InfoTech</c:v>
                </c:pt>
                <c:pt idx="8">
                  <c:v>MedicalStudies</c:v>
                </c:pt>
                <c:pt idx="9">
                  <c:v>Education</c:v>
                </c:pt>
                <c:pt idx="10">
                  <c:v>OthAg&amp;Enviro</c:v>
                </c:pt>
                <c:pt idx="11">
                  <c:v>Psych</c:v>
                </c:pt>
                <c:pt idx="12">
                  <c:v>Total</c:v>
                </c:pt>
                <c:pt idx="13">
                  <c:v>ForeignLang</c:v>
                </c:pt>
                <c:pt idx="14">
                  <c:v>Archi&amp;Build</c:v>
                </c:pt>
                <c:pt idx="15">
                  <c:v>OthHealth</c:v>
                </c:pt>
                <c:pt idx="16">
                  <c:v>OtherSoc&amp;Cult</c:v>
                </c:pt>
                <c:pt idx="17">
                  <c:v>OthCreative</c:v>
                </c:pt>
                <c:pt idx="18">
                  <c:v>Dental</c:v>
                </c:pt>
                <c:pt idx="19">
                  <c:v>MixedField</c:v>
                </c:pt>
                <c:pt idx="20">
                  <c:v>Mgmt&amp;Comm</c:v>
                </c:pt>
                <c:pt idx="21">
                  <c:v>FoodHosp&amp;Person</c:v>
                </c:pt>
                <c:pt idx="22">
                  <c:v>Veterinary</c:v>
                </c:pt>
              </c:strCache>
            </c:strRef>
          </c:cat>
          <c:val>
            <c:numRef>
              <c:f>'2.3_data_2019'!$F$496:$AB$496</c:f>
              <c:numCache>
                <c:formatCode>0.00%</c:formatCode>
                <c:ptCount val="23"/>
                <c:pt idx="0" formatCode="0%">
                  <c:v>0.68042330984346733</c:v>
                </c:pt>
                <c:pt idx="1">
                  <c:v>0.68865008262709371</c:v>
                </c:pt>
                <c:pt idx="2">
                  <c:v>0.75700030779680916</c:v>
                </c:pt>
                <c:pt idx="3">
                  <c:v>0.77995245297341009</c:v>
                </c:pt>
                <c:pt idx="4">
                  <c:v>0.81564757393669551</c:v>
                </c:pt>
                <c:pt idx="5">
                  <c:v>0.83745802367108779</c:v>
                </c:pt>
                <c:pt idx="6">
                  <c:v>0.84716983848868377</c:v>
                </c:pt>
                <c:pt idx="7">
                  <c:v>0.85950833252355585</c:v>
                </c:pt>
                <c:pt idx="8">
                  <c:v>0.87207315095533178</c:v>
                </c:pt>
                <c:pt idx="9">
                  <c:v>0.87896806947075123</c:v>
                </c:pt>
                <c:pt idx="10">
                  <c:v>0.88098345421604296</c:v>
                </c:pt>
                <c:pt idx="11">
                  <c:v>0.88476811554608104</c:v>
                </c:pt>
                <c:pt idx="12" formatCode="0%">
                  <c:v>0.89307412167421596</c:v>
                </c:pt>
                <c:pt idx="13">
                  <c:v>0.9020643103546061</c:v>
                </c:pt>
                <c:pt idx="14">
                  <c:v>0.91172641294303625</c:v>
                </c:pt>
                <c:pt idx="15">
                  <c:v>0.91995934313789451</c:v>
                </c:pt>
                <c:pt idx="16">
                  <c:v>0.98813361834611768</c:v>
                </c:pt>
                <c:pt idx="17">
                  <c:v>1.0456756297451826</c:v>
                </c:pt>
                <c:pt idx="18">
                  <c:v>1.0844464232942148</c:v>
                </c:pt>
                <c:pt idx="19">
                  <c:v>1.1051259354557057</c:v>
                </c:pt>
                <c:pt idx="20">
                  <c:v>1.1537472669142042</c:v>
                </c:pt>
                <c:pt idx="21">
                  <c:v>1.1801092081725302</c:v>
                </c:pt>
                <c:pt idx="22">
                  <c:v>1.3791405970997581</c:v>
                </c:pt>
              </c:numCache>
            </c:numRef>
          </c:val>
          <c:extLst>
            <c:ext xmlns:c16="http://schemas.microsoft.com/office/drawing/2014/chart" uri="{C3380CC4-5D6E-409C-BE32-E72D297353CC}">
              <c16:uniqueId val="{00000004-1234-4965-BCB3-26E0274789DB}"/>
            </c:ext>
          </c:extLst>
        </c:ser>
        <c:ser>
          <c:idx val="2"/>
          <c:order val="2"/>
          <c:tx>
            <c:v>2020</c:v>
          </c:tx>
          <c:spPr>
            <a:solidFill>
              <a:srgbClr val="BFBFBF"/>
            </a:solidFill>
            <a:ln>
              <a:noFill/>
            </a:ln>
            <a:effectLst/>
          </c:spPr>
          <c:invertIfNegative val="0"/>
          <c:dPt>
            <c:idx val="12"/>
            <c:invertIfNegative val="0"/>
            <c:bubble3D val="0"/>
            <c:spPr>
              <a:solidFill>
                <a:schemeClr val="accent6"/>
              </a:solidFill>
              <a:ln>
                <a:noFill/>
              </a:ln>
              <a:effectLst/>
            </c:spPr>
            <c:extLst>
              <c:ext xmlns:c16="http://schemas.microsoft.com/office/drawing/2014/chart" uri="{C3380CC4-5D6E-409C-BE32-E72D297353CC}">
                <c16:uniqueId val="{00000006-1234-4965-BCB3-26E0274789DB}"/>
              </c:ext>
            </c:extLst>
          </c:dPt>
          <c:cat>
            <c:strRef>
              <c:f>'2.3_data_2019'!$F$495:$AB$495</c:f>
              <c:strCache>
                <c:ptCount val="23"/>
                <c:pt idx="0">
                  <c:v>Environment</c:v>
                </c:pt>
                <c:pt idx="1">
                  <c:v>MedicalSci</c:v>
                </c:pt>
                <c:pt idx="2">
                  <c:v>Eng&amp;Related</c:v>
                </c:pt>
                <c:pt idx="3">
                  <c:v>OthNat-PhysSci</c:v>
                </c:pt>
                <c:pt idx="4">
                  <c:v>Comms&amp;Media</c:v>
                </c:pt>
                <c:pt idx="5">
                  <c:v>MathSci</c:v>
                </c:pt>
                <c:pt idx="6">
                  <c:v>Nursing</c:v>
                </c:pt>
                <c:pt idx="7">
                  <c:v>InfoTech</c:v>
                </c:pt>
                <c:pt idx="8">
                  <c:v>MedicalStudies</c:v>
                </c:pt>
                <c:pt idx="9">
                  <c:v>Education</c:v>
                </c:pt>
                <c:pt idx="10">
                  <c:v>OthAg&amp;Enviro</c:v>
                </c:pt>
                <c:pt idx="11">
                  <c:v>Psych</c:v>
                </c:pt>
                <c:pt idx="12">
                  <c:v>Total</c:v>
                </c:pt>
                <c:pt idx="13">
                  <c:v>ForeignLang</c:v>
                </c:pt>
                <c:pt idx="14">
                  <c:v>Archi&amp;Build</c:v>
                </c:pt>
                <c:pt idx="15">
                  <c:v>OthHealth</c:v>
                </c:pt>
                <c:pt idx="16">
                  <c:v>OtherSoc&amp;Cult</c:v>
                </c:pt>
                <c:pt idx="17">
                  <c:v>OthCreative</c:v>
                </c:pt>
                <c:pt idx="18">
                  <c:v>Dental</c:v>
                </c:pt>
                <c:pt idx="19">
                  <c:v>MixedField</c:v>
                </c:pt>
                <c:pt idx="20">
                  <c:v>Mgmt&amp;Comm</c:v>
                </c:pt>
                <c:pt idx="21">
                  <c:v>FoodHosp&amp;Person</c:v>
                </c:pt>
                <c:pt idx="22">
                  <c:v>Veterinary</c:v>
                </c:pt>
              </c:strCache>
            </c:strRef>
          </c:cat>
          <c:val>
            <c:numRef>
              <c:f>'2.3_data_2019'!$F$497:$AB$497</c:f>
              <c:numCache>
                <c:formatCode>0%</c:formatCode>
                <c:ptCount val="23"/>
                <c:pt idx="0">
                  <c:v>0.64785610284925832</c:v>
                </c:pt>
                <c:pt idx="1">
                  <c:v>0.64507404346188835</c:v>
                </c:pt>
                <c:pt idx="2">
                  <c:v>0.75742102407889633</c:v>
                </c:pt>
                <c:pt idx="3">
                  <c:v>0.75300884654313316</c:v>
                </c:pt>
                <c:pt idx="4">
                  <c:v>0.81279812043293709</c:v>
                </c:pt>
                <c:pt idx="5">
                  <c:v>0.83130800525427706</c:v>
                </c:pt>
                <c:pt idx="6">
                  <c:v>0.83361138274577085</c:v>
                </c:pt>
                <c:pt idx="7">
                  <c:v>0.84609267840337798</c:v>
                </c:pt>
                <c:pt idx="8">
                  <c:v>0.79930948986623707</c:v>
                </c:pt>
                <c:pt idx="9">
                  <c:v>0.85039006509190951</c:v>
                </c:pt>
                <c:pt idx="10">
                  <c:v>0.86918228382003748</c:v>
                </c:pt>
                <c:pt idx="11">
                  <c:v>0.85316286213991654</c:v>
                </c:pt>
                <c:pt idx="12">
                  <c:v>0.87875381905154737</c:v>
                </c:pt>
                <c:pt idx="13">
                  <c:v>0.93168197755896243</c:v>
                </c:pt>
                <c:pt idx="14">
                  <c:v>0.89696676946154597</c:v>
                </c:pt>
                <c:pt idx="15">
                  <c:v>0.90338168195596702</c:v>
                </c:pt>
                <c:pt idx="16">
                  <c:v>0.98304948608562148</c:v>
                </c:pt>
                <c:pt idx="17">
                  <c:v>1.0592909812923565</c:v>
                </c:pt>
                <c:pt idx="18">
                  <c:v>1.0646815462134689</c:v>
                </c:pt>
                <c:pt idx="19">
                  <c:v>1.3519953188182545</c:v>
                </c:pt>
                <c:pt idx="20">
                  <c:v>1.1550959888776777</c:v>
                </c:pt>
                <c:pt idx="21">
                  <c:v>1.0044468298420928</c:v>
                </c:pt>
                <c:pt idx="22">
                  <c:v>1.3231954167088547</c:v>
                </c:pt>
              </c:numCache>
            </c:numRef>
          </c:val>
          <c:extLst>
            <c:ext xmlns:c16="http://schemas.microsoft.com/office/drawing/2014/chart" uri="{C3380CC4-5D6E-409C-BE32-E72D297353CC}">
              <c16:uniqueId val="{00000007-1234-4965-BCB3-26E0274789DB}"/>
            </c:ext>
          </c:extLst>
        </c:ser>
        <c:dLbls>
          <c:showLegendKey val="0"/>
          <c:showVal val="0"/>
          <c:showCatName val="0"/>
          <c:showSerName val="0"/>
          <c:showPercent val="0"/>
          <c:showBubbleSize val="0"/>
        </c:dLbls>
        <c:gapWidth val="150"/>
        <c:axId val="2137600463"/>
        <c:axId val="2137595471"/>
      </c:barChart>
      <c:lineChart>
        <c:grouping val="standard"/>
        <c:varyColors val="0"/>
        <c:ser>
          <c:idx val="1"/>
          <c:order val="1"/>
          <c:tx>
            <c:v>100%</c:v>
          </c:tx>
          <c:spPr>
            <a:ln w="28575" cap="rnd">
              <a:solidFill>
                <a:schemeClr val="tx2"/>
              </a:solidFill>
              <a:prstDash val="sysDash"/>
              <a:round/>
            </a:ln>
            <a:effectLst/>
          </c:spPr>
          <c:marker>
            <c:symbol val="none"/>
          </c:marker>
          <c:cat>
            <c:strRef>
              <c:f>'2.3_data_2019'!$F$495:$AB$495</c:f>
              <c:strCache>
                <c:ptCount val="23"/>
                <c:pt idx="0">
                  <c:v>Environment</c:v>
                </c:pt>
                <c:pt idx="1">
                  <c:v>MedicalSci</c:v>
                </c:pt>
                <c:pt idx="2">
                  <c:v>Eng&amp;Related</c:v>
                </c:pt>
                <c:pt idx="3">
                  <c:v>OthNat-PhysSci</c:v>
                </c:pt>
                <c:pt idx="4">
                  <c:v>Comms&amp;Media</c:v>
                </c:pt>
                <c:pt idx="5">
                  <c:v>MathSci</c:v>
                </c:pt>
                <c:pt idx="6">
                  <c:v>Nursing</c:v>
                </c:pt>
                <c:pt idx="7">
                  <c:v>InfoTech</c:v>
                </c:pt>
                <c:pt idx="8">
                  <c:v>MedicalStudies</c:v>
                </c:pt>
                <c:pt idx="9">
                  <c:v>Education</c:v>
                </c:pt>
                <c:pt idx="10">
                  <c:v>OthAg&amp;Enviro</c:v>
                </c:pt>
                <c:pt idx="11">
                  <c:v>Psych</c:v>
                </c:pt>
                <c:pt idx="12">
                  <c:v>Total</c:v>
                </c:pt>
                <c:pt idx="13">
                  <c:v>ForeignLang</c:v>
                </c:pt>
                <c:pt idx="14">
                  <c:v>Archi&amp;Build</c:v>
                </c:pt>
                <c:pt idx="15">
                  <c:v>OthHealth</c:v>
                </c:pt>
                <c:pt idx="16">
                  <c:v>OtherSoc&amp;Cult</c:v>
                </c:pt>
                <c:pt idx="17">
                  <c:v>OthCreative</c:v>
                </c:pt>
                <c:pt idx="18">
                  <c:v>Dental</c:v>
                </c:pt>
                <c:pt idx="19">
                  <c:v>MixedField</c:v>
                </c:pt>
                <c:pt idx="20">
                  <c:v>Mgmt&amp;Comm</c:v>
                </c:pt>
                <c:pt idx="21">
                  <c:v>FoodHosp&amp;Person</c:v>
                </c:pt>
                <c:pt idx="22">
                  <c:v>Veterinary</c:v>
                </c:pt>
              </c:strCache>
            </c:strRef>
          </c:cat>
          <c:val>
            <c:numRef>
              <c:f>'2.3_data_2019'!$F$498:$AB$498</c:f>
              <c:numCache>
                <c:formatCode>0%</c:formatCode>
                <c:ptCount val="2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numCache>
            </c:numRef>
          </c:val>
          <c:smooth val="0"/>
          <c:extLst>
            <c:ext xmlns:c16="http://schemas.microsoft.com/office/drawing/2014/chart" uri="{C3380CC4-5D6E-409C-BE32-E72D297353CC}">
              <c16:uniqueId val="{00000008-1234-4965-BCB3-26E0274789DB}"/>
            </c:ext>
          </c:extLst>
        </c:ser>
        <c:dLbls>
          <c:showLegendKey val="0"/>
          <c:showVal val="0"/>
          <c:showCatName val="0"/>
          <c:showSerName val="0"/>
          <c:showPercent val="0"/>
          <c:showBubbleSize val="0"/>
        </c:dLbls>
        <c:marker val="1"/>
        <c:smooth val="0"/>
        <c:axId val="2137600463"/>
        <c:axId val="2137595471"/>
      </c:lineChart>
      <c:catAx>
        <c:axId val="213760046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00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595471"/>
        <c:crosses val="autoZero"/>
        <c:auto val="1"/>
        <c:lblAlgn val="ctr"/>
        <c:lblOffset val="100"/>
        <c:noMultiLvlLbl val="0"/>
      </c:catAx>
      <c:valAx>
        <c:axId val="2137595471"/>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600463"/>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62948381452318"/>
          <c:y val="4.8006241138324732E-2"/>
          <c:w val="0.85181496062992124"/>
          <c:h val="0.72069365760898185"/>
        </c:manualLayout>
      </c:layout>
      <c:stockChart>
        <c:ser>
          <c:idx val="3"/>
          <c:order val="0"/>
          <c:tx>
            <c:strRef>
              <c:f>'Comp to Prev_All FOEs (18-20)'!$BW$37</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2CF6-417D-ACE9-D37385026F04}"/>
              </c:ext>
            </c:extLst>
          </c:dPt>
          <c:cat>
            <c:strRef>
              <c:f>'Comp to Prev_All FOEs (18-20)'!$BX$6:$EN$6</c:f>
              <c:strCache>
                <c:ptCount val="69"/>
                <c:pt idx="0">
                  <c:v>MathSci (n=32)</c:v>
                </c:pt>
                <c:pt idx="1">
                  <c:v> (n=32)</c:v>
                </c:pt>
                <c:pt idx="2">
                  <c:v> (n=32)</c:v>
                </c:pt>
                <c:pt idx="3">
                  <c:v>MedicalSci (n=28)</c:v>
                </c:pt>
                <c:pt idx="4">
                  <c:v> (n=27)</c:v>
                </c:pt>
                <c:pt idx="5">
                  <c:v> (n=27)</c:v>
                </c:pt>
                <c:pt idx="6">
                  <c:v>OthNat-PhysSci (n=32)</c:v>
                </c:pt>
                <c:pt idx="7">
                  <c:v> (n=32)</c:v>
                </c:pt>
                <c:pt idx="8">
                  <c:v> (n=32)</c:v>
                </c:pt>
                <c:pt idx="9">
                  <c:v>InfoTech (n=32)</c:v>
                </c:pt>
                <c:pt idx="10">
                  <c:v> (n=32)</c:v>
                </c:pt>
                <c:pt idx="11">
                  <c:v> (n=32)</c:v>
                </c:pt>
                <c:pt idx="12">
                  <c:v>Eng&amp;Related (n=32)</c:v>
                </c:pt>
                <c:pt idx="13">
                  <c:v> (n=32)</c:v>
                </c:pt>
                <c:pt idx="14">
                  <c:v> (n=32)</c:v>
                </c:pt>
                <c:pt idx="15">
                  <c:v>Archi&amp;Build (n=26)</c:v>
                </c:pt>
                <c:pt idx="16">
                  <c:v> (n=26)</c:v>
                </c:pt>
                <c:pt idx="17">
                  <c:v> (n=26)</c:v>
                </c:pt>
                <c:pt idx="18">
                  <c:v>Environment (n=31)</c:v>
                </c:pt>
                <c:pt idx="19">
                  <c:v> (n=31)</c:v>
                </c:pt>
                <c:pt idx="20">
                  <c:v> (n=31)</c:v>
                </c:pt>
                <c:pt idx="21">
                  <c:v>OthAg&amp;Enviro (n=18)</c:v>
                </c:pt>
                <c:pt idx="22">
                  <c:v> (n=18)</c:v>
                </c:pt>
                <c:pt idx="23">
                  <c:v> (n=17)</c:v>
                </c:pt>
                <c:pt idx="24">
                  <c:v>MedicalStudies (n=24)</c:v>
                </c:pt>
                <c:pt idx="25">
                  <c:v> (n=24)</c:v>
                </c:pt>
                <c:pt idx="26">
                  <c:v> (n=24)</c:v>
                </c:pt>
                <c:pt idx="27">
                  <c:v>Nursing (n=29)</c:v>
                </c:pt>
                <c:pt idx="28">
                  <c:v> (n=29)</c:v>
                </c:pt>
                <c:pt idx="29">
                  <c:v> (n=29)</c:v>
                </c:pt>
                <c:pt idx="30">
                  <c:v>Dental (n=10)</c:v>
                </c:pt>
                <c:pt idx="31">
                  <c:v> (n=10)</c:v>
                </c:pt>
                <c:pt idx="32">
                  <c:v> (n=10)</c:v>
                </c:pt>
                <c:pt idx="33">
                  <c:v>Veterinary (n=8)</c:v>
                </c:pt>
                <c:pt idx="34">
                  <c:v> (n=8)</c:v>
                </c:pt>
                <c:pt idx="35">
                  <c:v> (n=8)</c:v>
                </c:pt>
                <c:pt idx="36">
                  <c:v>OthHealth (n=32)</c:v>
                </c:pt>
                <c:pt idx="37">
                  <c:v> (n=32)</c:v>
                </c:pt>
                <c:pt idx="38">
                  <c:v> (n=32)</c:v>
                </c:pt>
                <c:pt idx="39">
                  <c:v>Education (n=31)</c:v>
                </c:pt>
                <c:pt idx="40">
                  <c:v> (n=31)</c:v>
                </c:pt>
                <c:pt idx="41">
                  <c:v> (n=32)</c:v>
                </c:pt>
                <c:pt idx="42">
                  <c:v>Mgmt&amp;Comm (n=32)</c:v>
                </c:pt>
                <c:pt idx="43">
                  <c:v> (n=32)</c:v>
                </c:pt>
                <c:pt idx="44">
                  <c:v> (n=32)</c:v>
                </c:pt>
                <c:pt idx="45">
                  <c:v>ForeignLang (n=26)</c:v>
                </c:pt>
                <c:pt idx="46">
                  <c:v> (n=24)</c:v>
                </c:pt>
                <c:pt idx="47">
                  <c:v> (n=24)</c:v>
                </c:pt>
                <c:pt idx="48">
                  <c:v>Psych (n=32)</c:v>
                </c:pt>
                <c:pt idx="49">
                  <c:v> (n=32)</c:v>
                </c:pt>
                <c:pt idx="50">
                  <c:v> (n=32)</c:v>
                </c:pt>
                <c:pt idx="51">
                  <c:v>OtherSoc&amp;Cult (n=32)</c:v>
                </c:pt>
                <c:pt idx="52">
                  <c:v> (n=32)</c:v>
                </c:pt>
                <c:pt idx="53">
                  <c:v> (n=32)</c:v>
                </c:pt>
                <c:pt idx="54">
                  <c:v>Comms&amp;Media (n=32)</c:v>
                </c:pt>
                <c:pt idx="55">
                  <c:v> (n=32)</c:v>
                </c:pt>
                <c:pt idx="56">
                  <c:v> (n=32)</c:v>
                </c:pt>
                <c:pt idx="57">
                  <c:v>OthCreative (n=32)</c:v>
                </c:pt>
                <c:pt idx="58">
                  <c:v> (n=32)</c:v>
                </c:pt>
                <c:pt idx="59">
                  <c:v> (n=32)</c:v>
                </c:pt>
                <c:pt idx="60">
                  <c:v>FoodHosp&amp;Person (n=4)</c:v>
                </c:pt>
                <c:pt idx="61">
                  <c:v> (n=2)</c:v>
                </c:pt>
                <c:pt idx="62">
                  <c:v> (n=1)</c:v>
                </c:pt>
                <c:pt idx="63">
                  <c:v>MixedField (n=6)</c:v>
                </c:pt>
                <c:pt idx="64">
                  <c:v> (n=6)</c:v>
                </c:pt>
                <c:pt idx="65">
                  <c:v> (n=7)</c:v>
                </c:pt>
                <c:pt idx="66">
                  <c:v>Total (n=32)</c:v>
                </c:pt>
                <c:pt idx="67">
                  <c:v> (n=32)</c:v>
                </c:pt>
                <c:pt idx="68">
                  <c:v> (n=32)</c:v>
                </c:pt>
              </c:strCache>
            </c:strRef>
          </c:cat>
          <c:val>
            <c:numRef>
              <c:f>'Comp to Prev_All FOEs (18-20)'!$BX$37:$EN$37</c:f>
              <c:numCache>
                <c:formatCode>0.00</c:formatCode>
                <c:ptCount val="69"/>
                <c:pt idx="0">
                  <c:v>1.2280084678932672</c:v>
                </c:pt>
                <c:pt idx="1">
                  <c:v>1.5488440076655239</c:v>
                </c:pt>
                <c:pt idx="2">
                  <c:v>1.748717442016773</c:v>
                </c:pt>
                <c:pt idx="3">
                  <c:v>1.1851020427723851</c:v>
                </c:pt>
                <c:pt idx="4">
                  <c:v>1.1688228528451239</c:v>
                </c:pt>
                <c:pt idx="5">
                  <c:v>1.1418967157085813</c:v>
                </c:pt>
                <c:pt idx="6">
                  <c:v>1.045316729897299</c:v>
                </c:pt>
                <c:pt idx="7">
                  <c:v>1.2101433124084977</c:v>
                </c:pt>
                <c:pt idx="8">
                  <c:v>1.0792609295676703</c:v>
                </c:pt>
                <c:pt idx="9">
                  <c:v>1.1757834268576213</c:v>
                </c:pt>
                <c:pt idx="10">
                  <c:v>1.4230629161027848</c:v>
                </c:pt>
                <c:pt idx="11">
                  <c:v>1.5450888492403563</c:v>
                </c:pt>
                <c:pt idx="12">
                  <c:v>1.8951858807578819</c:v>
                </c:pt>
                <c:pt idx="13">
                  <c:v>1.3485184935388568</c:v>
                </c:pt>
                <c:pt idx="14">
                  <c:v>1.4174192111917985</c:v>
                </c:pt>
                <c:pt idx="15">
                  <c:v>1.4006121564515346</c:v>
                </c:pt>
                <c:pt idx="16">
                  <c:v>1.477743978145772</c:v>
                </c:pt>
                <c:pt idx="17">
                  <c:v>1.4133091474873638</c:v>
                </c:pt>
                <c:pt idx="18">
                  <c:v>1.4676401978142739</c:v>
                </c:pt>
                <c:pt idx="19">
                  <c:v>2.000892745115892</c:v>
                </c:pt>
                <c:pt idx="20">
                  <c:v>1.8035808958966129</c:v>
                </c:pt>
                <c:pt idx="21">
                  <c:v>1.390971209833469</c:v>
                </c:pt>
                <c:pt idx="22">
                  <c:v>1.6409097589266992</c:v>
                </c:pt>
                <c:pt idx="23">
                  <c:v>1.3021780419208151</c:v>
                </c:pt>
                <c:pt idx="24">
                  <c:v>1.3890116345396106</c:v>
                </c:pt>
                <c:pt idx="25">
                  <c:v>1.2031640586455159</c:v>
                </c:pt>
                <c:pt idx="26">
                  <c:v>0.9727115238778109</c:v>
                </c:pt>
                <c:pt idx="27">
                  <c:v>1.1803908010319539</c:v>
                </c:pt>
                <c:pt idx="28">
                  <c:v>1.076621123982612</c:v>
                </c:pt>
                <c:pt idx="29">
                  <c:v>1.2062568615412035</c:v>
                </c:pt>
                <c:pt idx="30">
                  <c:v>1.8394995757541568</c:v>
                </c:pt>
                <c:pt idx="31">
                  <c:v>1.6195871646479096</c:v>
                </c:pt>
                <c:pt idx="32">
                  <c:v>1.632684354532419</c:v>
                </c:pt>
                <c:pt idx="33">
                  <c:v>1.9983104570616494</c:v>
                </c:pt>
                <c:pt idx="34">
                  <c:v>1.9976652164401352</c:v>
                </c:pt>
                <c:pt idx="35">
                  <c:v>1.8283195252503395</c:v>
                </c:pt>
                <c:pt idx="36">
                  <c:v>1.731141233581813</c:v>
                </c:pt>
                <c:pt idx="37">
                  <c:v>1.4402524811404169</c:v>
                </c:pt>
                <c:pt idx="38">
                  <c:v>1.847622065302541</c:v>
                </c:pt>
                <c:pt idx="39">
                  <c:v>1.3373708505958177</c:v>
                </c:pt>
                <c:pt idx="40">
                  <c:v>1.3999967899322847</c:v>
                </c:pt>
                <c:pt idx="41">
                  <c:v>1.5651339952610064</c:v>
                </c:pt>
                <c:pt idx="42">
                  <c:v>1.9480210437543288</c:v>
                </c:pt>
                <c:pt idx="43">
                  <c:v>1.8011839950682962</c:v>
                </c:pt>
                <c:pt idx="44">
                  <c:v>1.8318425824751781</c:v>
                </c:pt>
                <c:pt idx="45">
                  <c:v>2.1671355647856476</c:v>
                </c:pt>
                <c:pt idx="46">
                  <c:v>1.7294185910129911</c:v>
                </c:pt>
                <c:pt idx="47">
                  <c:v>1.570324255431047</c:v>
                </c:pt>
                <c:pt idx="48">
                  <c:v>1.4769654724612418</c:v>
                </c:pt>
                <c:pt idx="49">
                  <c:v>1.8765919202197594</c:v>
                </c:pt>
                <c:pt idx="50">
                  <c:v>1.8053102141078652</c:v>
                </c:pt>
                <c:pt idx="51">
                  <c:v>1.643287323828901</c:v>
                </c:pt>
                <c:pt idx="52">
                  <c:v>1.6355052100959646</c:v>
                </c:pt>
                <c:pt idx="53">
                  <c:v>1.523853777960283</c:v>
                </c:pt>
                <c:pt idx="54">
                  <c:v>1.4317148074170738</c:v>
                </c:pt>
                <c:pt idx="55">
                  <c:v>1.2276097326838729</c:v>
                </c:pt>
                <c:pt idx="56">
                  <c:v>1.1759081998654317</c:v>
                </c:pt>
                <c:pt idx="57">
                  <c:v>1.4358852881952067</c:v>
                </c:pt>
                <c:pt idx="58">
                  <c:v>1.7539647071427127</c:v>
                </c:pt>
                <c:pt idx="59">
                  <c:v>1.7563135864063379</c:v>
                </c:pt>
                <c:pt idx="60">
                  <c:v>4.1208339449022775</c:v>
                </c:pt>
                <c:pt idx="61">
                  <c:v>2.2899973824839677</c:v>
                </c:pt>
                <c:pt idx="62">
                  <c:v>0.94538249726902601</c:v>
                </c:pt>
                <c:pt idx="63">
                  <c:v>3.3616963922309036</c:v>
                </c:pt>
                <c:pt idx="64">
                  <c:v>1.7526847392131142</c:v>
                </c:pt>
                <c:pt idx="65">
                  <c:v>5.0920601732052813</c:v>
                </c:pt>
                <c:pt idx="66">
                  <c:v>1.2007564218081399</c:v>
                </c:pt>
                <c:pt idx="67">
                  <c:v>1.1530266054470486</c:v>
                </c:pt>
                <c:pt idx="68">
                  <c:v>1.2306272996680674</c:v>
                </c:pt>
              </c:numCache>
            </c:numRef>
          </c:val>
          <c:smooth val="0"/>
          <c:extLst>
            <c:ext xmlns:c16="http://schemas.microsoft.com/office/drawing/2014/chart" uri="{C3380CC4-5D6E-409C-BE32-E72D297353CC}">
              <c16:uniqueId val="{00000001-2CF6-417D-ACE9-D37385026F04}"/>
            </c:ext>
          </c:extLst>
        </c:ser>
        <c:ser>
          <c:idx val="4"/>
          <c:order val="1"/>
          <c:tx>
            <c:strRef>
              <c:f>'Comp to Prev_All FOEs (18-20)'!$BW$38</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2CF6-417D-ACE9-D37385026F04}"/>
              </c:ext>
            </c:extLst>
          </c:dPt>
          <c:cat>
            <c:strRef>
              <c:f>'Comp to Prev_All FOEs (18-20)'!$BX$6:$EN$6</c:f>
              <c:strCache>
                <c:ptCount val="69"/>
                <c:pt idx="0">
                  <c:v>MathSci (n=32)</c:v>
                </c:pt>
                <c:pt idx="1">
                  <c:v> (n=32)</c:v>
                </c:pt>
                <c:pt idx="2">
                  <c:v> (n=32)</c:v>
                </c:pt>
                <c:pt idx="3">
                  <c:v>MedicalSci (n=28)</c:v>
                </c:pt>
                <c:pt idx="4">
                  <c:v> (n=27)</c:v>
                </c:pt>
                <c:pt idx="5">
                  <c:v> (n=27)</c:v>
                </c:pt>
                <c:pt idx="6">
                  <c:v>OthNat-PhysSci (n=32)</c:v>
                </c:pt>
                <c:pt idx="7">
                  <c:v> (n=32)</c:v>
                </c:pt>
                <c:pt idx="8">
                  <c:v> (n=32)</c:v>
                </c:pt>
                <c:pt idx="9">
                  <c:v>InfoTech (n=32)</c:v>
                </c:pt>
                <c:pt idx="10">
                  <c:v> (n=32)</c:v>
                </c:pt>
                <c:pt idx="11">
                  <c:v> (n=32)</c:v>
                </c:pt>
                <c:pt idx="12">
                  <c:v>Eng&amp;Related (n=32)</c:v>
                </c:pt>
                <c:pt idx="13">
                  <c:v> (n=32)</c:v>
                </c:pt>
                <c:pt idx="14">
                  <c:v> (n=32)</c:v>
                </c:pt>
                <c:pt idx="15">
                  <c:v>Archi&amp;Build (n=26)</c:v>
                </c:pt>
                <c:pt idx="16">
                  <c:v> (n=26)</c:v>
                </c:pt>
                <c:pt idx="17">
                  <c:v> (n=26)</c:v>
                </c:pt>
                <c:pt idx="18">
                  <c:v>Environment (n=31)</c:v>
                </c:pt>
                <c:pt idx="19">
                  <c:v> (n=31)</c:v>
                </c:pt>
                <c:pt idx="20">
                  <c:v> (n=31)</c:v>
                </c:pt>
                <c:pt idx="21">
                  <c:v>OthAg&amp;Enviro (n=18)</c:v>
                </c:pt>
                <c:pt idx="22">
                  <c:v> (n=18)</c:v>
                </c:pt>
                <c:pt idx="23">
                  <c:v> (n=17)</c:v>
                </c:pt>
                <c:pt idx="24">
                  <c:v>MedicalStudies (n=24)</c:v>
                </c:pt>
                <c:pt idx="25">
                  <c:v> (n=24)</c:v>
                </c:pt>
                <c:pt idx="26">
                  <c:v> (n=24)</c:v>
                </c:pt>
                <c:pt idx="27">
                  <c:v>Nursing (n=29)</c:v>
                </c:pt>
                <c:pt idx="28">
                  <c:v> (n=29)</c:v>
                </c:pt>
                <c:pt idx="29">
                  <c:v> (n=29)</c:v>
                </c:pt>
                <c:pt idx="30">
                  <c:v>Dental (n=10)</c:v>
                </c:pt>
                <c:pt idx="31">
                  <c:v> (n=10)</c:v>
                </c:pt>
                <c:pt idx="32">
                  <c:v> (n=10)</c:v>
                </c:pt>
                <c:pt idx="33">
                  <c:v>Veterinary (n=8)</c:v>
                </c:pt>
                <c:pt idx="34">
                  <c:v> (n=8)</c:v>
                </c:pt>
                <c:pt idx="35">
                  <c:v> (n=8)</c:v>
                </c:pt>
                <c:pt idx="36">
                  <c:v>OthHealth (n=32)</c:v>
                </c:pt>
                <c:pt idx="37">
                  <c:v> (n=32)</c:v>
                </c:pt>
                <c:pt idx="38">
                  <c:v> (n=32)</c:v>
                </c:pt>
                <c:pt idx="39">
                  <c:v>Education (n=31)</c:v>
                </c:pt>
                <c:pt idx="40">
                  <c:v> (n=31)</c:v>
                </c:pt>
                <c:pt idx="41">
                  <c:v> (n=32)</c:v>
                </c:pt>
                <c:pt idx="42">
                  <c:v>Mgmt&amp;Comm (n=32)</c:v>
                </c:pt>
                <c:pt idx="43">
                  <c:v> (n=32)</c:v>
                </c:pt>
                <c:pt idx="44">
                  <c:v> (n=32)</c:v>
                </c:pt>
                <c:pt idx="45">
                  <c:v>ForeignLang (n=26)</c:v>
                </c:pt>
                <c:pt idx="46">
                  <c:v> (n=24)</c:v>
                </c:pt>
                <c:pt idx="47">
                  <c:v> (n=24)</c:v>
                </c:pt>
                <c:pt idx="48">
                  <c:v>Psych (n=32)</c:v>
                </c:pt>
                <c:pt idx="49">
                  <c:v> (n=32)</c:v>
                </c:pt>
                <c:pt idx="50">
                  <c:v> (n=32)</c:v>
                </c:pt>
                <c:pt idx="51">
                  <c:v>OtherSoc&amp;Cult (n=32)</c:v>
                </c:pt>
                <c:pt idx="52">
                  <c:v> (n=32)</c:v>
                </c:pt>
                <c:pt idx="53">
                  <c:v> (n=32)</c:v>
                </c:pt>
                <c:pt idx="54">
                  <c:v>Comms&amp;Media (n=32)</c:v>
                </c:pt>
                <c:pt idx="55">
                  <c:v> (n=32)</c:v>
                </c:pt>
                <c:pt idx="56">
                  <c:v> (n=32)</c:v>
                </c:pt>
                <c:pt idx="57">
                  <c:v>OthCreative (n=32)</c:v>
                </c:pt>
                <c:pt idx="58">
                  <c:v> (n=32)</c:v>
                </c:pt>
                <c:pt idx="59">
                  <c:v> (n=32)</c:v>
                </c:pt>
                <c:pt idx="60">
                  <c:v>FoodHosp&amp;Person (n=4)</c:v>
                </c:pt>
                <c:pt idx="61">
                  <c:v> (n=2)</c:v>
                </c:pt>
                <c:pt idx="62">
                  <c:v> (n=1)</c:v>
                </c:pt>
                <c:pt idx="63">
                  <c:v>MixedField (n=6)</c:v>
                </c:pt>
                <c:pt idx="64">
                  <c:v> (n=6)</c:v>
                </c:pt>
                <c:pt idx="65">
                  <c:v> (n=7)</c:v>
                </c:pt>
                <c:pt idx="66">
                  <c:v>Total (n=32)</c:v>
                </c:pt>
                <c:pt idx="67">
                  <c:v> (n=32)</c:v>
                </c:pt>
                <c:pt idx="68">
                  <c:v> (n=32)</c:v>
                </c:pt>
              </c:strCache>
            </c:strRef>
          </c:cat>
          <c:val>
            <c:numRef>
              <c:f>'Comp to Prev_All FOEs (18-20)'!$BX$38:$EN$38</c:f>
              <c:numCache>
                <c:formatCode>0.00</c:formatCode>
                <c:ptCount val="69"/>
                <c:pt idx="0">
                  <c:v>0.60461363720392003</c:v>
                </c:pt>
                <c:pt idx="1">
                  <c:v>0.53934207472126539</c:v>
                </c:pt>
                <c:pt idx="2">
                  <c:v>0.45671553317068408</c:v>
                </c:pt>
                <c:pt idx="3">
                  <c:v>0.27729283242880132</c:v>
                </c:pt>
                <c:pt idx="4">
                  <c:v>0.25799315482628976</c:v>
                </c:pt>
                <c:pt idx="5">
                  <c:v>0.26618140590852846</c:v>
                </c:pt>
                <c:pt idx="6">
                  <c:v>0.51605076329399813</c:v>
                </c:pt>
                <c:pt idx="7">
                  <c:v>0.48819116516734051</c:v>
                </c:pt>
                <c:pt idx="8">
                  <c:v>0.47193031117455803</c:v>
                </c:pt>
                <c:pt idx="9">
                  <c:v>0.27952387782830018</c:v>
                </c:pt>
                <c:pt idx="10">
                  <c:v>0.24093485001831913</c:v>
                </c:pt>
                <c:pt idx="11">
                  <c:v>0.28087544997046504</c:v>
                </c:pt>
                <c:pt idx="12">
                  <c:v>0.4680804368815813</c:v>
                </c:pt>
                <c:pt idx="13">
                  <c:v>0.46717573124309508</c:v>
                </c:pt>
                <c:pt idx="14">
                  <c:v>0.52633799354557498</c:v>
                </c:pt>
                <c:pt idx="15">
                  <c:v>0.56128191686547646</c:v>
                </c:pt>
                <c:pt idx="16">
                  <c:v>0.40181774795424058</c:v>
                </c:pt>
                <c:pt idx="17">
                  <c:v>0.43696740902327796</c:v>
                </c:pt>
                <c:pt idx="18">
                  <c:v>0.42211402489296818</c:v>
                </c:pt>
                <c:pt idx="19">
                  <c:v>0.32556939232463022</c:v>
                </c:pt>
                <c:pt idx="20">
                  <c:v>0.38307431013548382</c:v>
                </c:pt>
                <c:pt idx="21">
                  <c:v>0.54295819906577125</c:v>
                </c:pt>
                <c:pt idx="22">
                  <c:v>0.65499892072598109</c:v>
                </c:pt>
                <c:pt idx="23">
                  <c:v>0.73367761777233043</c:v>
                </c:pt>
                <c:pt idx="24">
                  <c:v>0.34121196869960446</c:v>
                </c:pt>
                <c:pt idx="25">
                  <c:v>0.40161021828797017</c:v>
                </c:pt>
                <c:pt idx="26">
                  <c:v>0.34557319677200271</c:v>
                </c:pt>
                <c:pt idx="27">
                  <c:v>0.62635539549565511</c:v>
                </c:pt>
                <c:pt idx="28">
                  <c:v>0.65514264144211809</c:v>
                </c:pt>
                <c:pt idx="29">
                  <c:v>0.6404904604579793</c:v>
                </c:pt>
                <c:pt idx="30">
                  <c:v>0.77803259024248139</c:v>
                </c:pt>
                <c:pt idx="31">
                  <c:v>0.85446890172416545</c:v>
                </c:pt>
                <c:pt idx="32">
                  <c:v>0.83346698117811902</c:v>
                </c:pt>
                <c:pt idx="33">
                  <c:v>0.62590765134953563</c:v>
                </c:pt>
                <c:pt idx="34">
                  <c:v>0.72234755512851512</c:v>
                </c:pt>
                <c:pt idx="35">
                  <c:v>0.79072540673749347</c:v>
                </c:pt>
                <c:pt idx="36">
                  <c:v>0.6919280869726786</c:v>
                </c:pt>
                <c:pt idx="37">
                  <c:v>0.57387393416376609</c:v>
                </c:pt>
                <c:pt idx="38">
                  <c:v>0.57974309984758765</c:v>
                </c:pt>
                <c:pt idx="39">
                  <c:v>0.63357551902191556</c:v>
                </c:pt>
                <c:pt idx="40">
                  <c:v>0.66632099373000064</c:v>
                </c:pt>
                <c:pt idx="41">
                  <c:v>0.63197920408752106</c:v>
                </c:pt>
                <c:pt idx="42">
                  <c:v>0.74187044710095484</c:v>
                </c:pt>
                <c:pt idx="43">
                  <c:v>0.46408122756164805</c:v>
                </c:pt>
                <c:pt idx="44">
                  <c:v>0.74820472035859686</c:v>
                </c:pt>
                <c:pt idx="45">
                  <c:v>0.63923780639524153</c:v>
                </c:pt>
                <c:pt idx="46">
                  <c:v>0.72737481763022982</c:v>
                </c:pt>
                <c:pt idx="47">
                  <c:v>0.38655929802379979</c:v>
                </c:pt>
                <c:pt idx="48">
                  <c:v>0.66613980516582816</c:v>
                </c:pt>
                <c:pt idx="49">
                  <c:v>0.57311331167472879</c:v>
                </c:pt>
                <c:pt idx="50">
                  <c:v>0.53451777104168741</c:v>
                </c:pt>
                <c:pt idx="51">
                  <c:v>0.76500766233985906</c:v>
                </c:pt>
                <c:pt idx="52">
                  <c:v>0.71504837346470895</c:v>
                </c:pt>
                <c:pt idx="53">
                  <c:v>0.66522304190336679</c:v>
                </c:pt>
                <c:pt idx="54">
                  <c:v>0.54387138425050807</c:v>
                </c:pt>
                <c:pt idx="55">
                  <c:v>0.54671146999913112</c:v>
                </c:pt>
                <c:pt idx="56">
                  <c:v>0.50853123761573604</c:v>
                </c:pt>
                <c:pt idx="57">
                  <c:v>0.59992653666875984</c:v>
                </c:pt>
                <c:pt idx="58">
                  <c:v>0.34028783708414756</c:v>
                </c:pt>
                <c:pt idx="59">
                  <c:v>0.63767941634435643</c:v>
                </c:pt>
                <c:pt idx="60">
                  <c:v>1.1311872618049428</c:v>
                </c:pt>
                <c:pt idx="61">
                  <c:v>1.0315513668968668</c:v>
                </c:pt>
                <c:pt idx="62">
                  <c:v>0.94538249726902601</c:v>
                </c:pt>
                <c:pt idx="63">
                  <c:v>0.41454126622597831</c:v>
                </c:pt>
                <c:pt idx="64">
                  <c:v>0.46728886817667659</c:v>
                </c:pt>
                <c:pt idx="65">
                  <c:v>0.45837915913505844</c:v>
                </c:pt>
                <c:pt idx="66">
                  <c:v>0.70812397433458818</c:v>
                </c:pt>
                <c:pt idx="67">
                  <c:v>0.66246677671203802</c:v>
                </c:pt>
                <c:pt idx="68">
                  <c:v>0.64293601528795086</c:v>
                </c:pt>
              </c:numCache>
            </c:numRef>
          </c:val>
          <c:smooth val="0"/>
          <c:extLst>
            <c:ext xmlns:c16="http://schemas.microsoft.com/office/drawing/2014/chart" uri="{C3380CC4-5D6E-409C-BE32-E72D297353CC}">
              <c16:uniqueId val="{00000003-2CF6-417D-ACE9-D37385026F04}"/>
            </c:ext>
          </c:extLst>
        </c:ser>
        <c:ser>
          <c:idx val="5"/>
          <c:order val="2"/>
          <c:tx>
            <c:strRef>
              <c:f>'Comp to Prev_All FOEs (18-20)'!$BW$39</c:f>
              <c:strCache>
                <c:ptCount val="1"/>
                <c:pt idx="0">
                  <c:v>Mean</c:v>
                </c:pt>
              </c:strCache>
            </c:strRef>
          </c:tx>
          <c:spPr>
            <a:ln w="28575" cap="rnd">
              <a:noFill/>
              <a:round/>
            </a:ln>
            <a:effectLst/>
          </c:spPr>
          <c:marker>
            <c:symbol val="diamond"/>
            <c:size val="7"/>
            <c:spPr>
              <a:solidFill>
                <a:srgbClr val="BFBFBF"/>
              </a:solidFill>
              <a:ln>
                <a:noFill/>
              </a:ln>
            </c:spPr>
          </c:marker>
          <c:dPt>
            <c:idx val="1"/>
            <c:marker>
              <c:spPr>
                <a:solidFill>
                  <a:schemeClr val="tx2"/>
                </a:solidFill>
                <a:ln>
                  <a:noFill/>
                </a:ln>
              </c:spPr>
            </c:marker>
            <c:bubble3D val="0"/>
            <c:extLst>
              <c:ext xmlns:c16="http://schemas.microsoft.com/office/drawing/2014/chart" uri="{C3380CC4-5D6E-409C-BE32-E72D297353CC}">
                <c16:uniqueId val="{00000004-2CF6-417D-ACE9-D37385026F04}"/>
              </c:ext>
            </c:extLst>
          </c:dPt>
          <c:dPt>
            <c:idx val="2"/>
            <c:marker>
              <c:spPr>
                <a:solidFill>
                  <a:srgbClr val="53565A"/>
                </a:solidFill>
                <a:ln>
                  <a:noFill/>
                </a:ln>
              </c:spPr>
            </c:marker>
            <c:bubble3D val="0"/>
            <c:extLst>
              <c:ext xmlns:c16="http://schemas.microsoft.com/office/drawing/2014/chart" uri="{C3380CC4-5D6E-409C-BE32-E72D297353CC}">
                <c16:uniqueId val="{00000005-2CF6-417D-ACE9-D37385026F04}"/>
              </c:ext>
            </c:extLst>
          </c:dPt>
          <c:dPt>
            <c:idx val="3"/>
            <c:bubble3D val="0"/>
            <c:extLst>
              <c:ext xmlns:c16="http://schemas.microsoft.com/office/drawing/2014/chart" uri="{C3380CC4-5D6E-409C-BE32-E72D297353CC}">
                <c16:uniqueId val="{00000006-2CF6-417D-ACE9-D37385026F04}"/>
              </c:ext>
            </c:extLst>
          </c:dPt>
          <c:dPt>
            <c:idx val="4"/>
            <c:marker>
              <c:spPr>
                <a:solidFill>
                  <a:schemeClr val="tx2"/>
                </a:solidFill>
                <a:ln>
                  <a:noFill/>
                </a:ln>
              </c:spPr>
            </c:marker>
            <c:bubble3D val="0"/>
            <c:extLst>
              <c:ext xmlns:c16="http://schemas.microsoft.com/office/drawing/2014/chart" uri="{C3380CC4-5D6E-409C-BE32-E72D297353CC}">
                <c16:uniqueId val="{00000007-2CF6-417D-ACE9-D37385026F04}"/>
              </c:ext>
            </c:extLst>
          </c:dPt>
          <c:dPt>
            <c:idx val="5"/>
            <c:marker>
              <c:spPr>
                <a:solidFill>
                  <a:srgbClr val="53565A"/>
                </a:solidFill>
                <a:ln>
                  <a:noFill/>
                </a:ln>
              </c:spPr>
            </c:marker>
            <c:bubble3D val="0"/>
            <c:extLst>
              <c:ext xmlns:c16="http://schemas.microsoft.com/office/drawing/2014/chart" uri="{C3380CC4-5D6E-409C-BE32-E72D297353CC}">
                <c16:uniqueId val="{00000008-2CF6-417D-ACE9-D37385026F04}"/>
              </c:ext>
            </c:extLst>
          </c:dPt>
          <c:dPt>
            <c:idx val="6"/>
            <c:bubble3D val="0"/>
            <c:extLst>
              <c:ext xmlns:c16="http://schemas.microsoft.com/office/drawing/2014/chart" uri="{C3380CC4-5D6E-409C-BE32-E72D297353CC}">
                <c16:uniqueId val="{00000009-2CF6-417D-ACE9-D37385026F04}"/>
              </c:ext>
            </c:extLst>
          </c:dPt>
          <c:dPt>
            <c:idx val="7"/>
            <c:marker>
              <c:spPr>
                <a:solidFill>
                  <a:srgbClr val="002776"/>
                </a:solidFill>
                <a:ln>
                  <a:noFill/>
                </a:ln>
              </c:spPr>
            </c:marker>
            <c:bubble3D val="0"/>
            <c:extLst>
              <c:ext xmlns:c16="http://schemas.microsoft.com/office/drawing/2014/chart" uri="{C3380CC4-5D6E-409C-BE32-E72D297353CC}">
                <c16:uniqueId val="{0000000A-2CF6-417D-ACE9-D37385026F04}"/>
              </c:ext>
            </c:extLst>
          </c:dPt>
          <c:dPt>
            <c:idx val="8"/>
            <c:marker>
              <c:spPr>
                <a:solidFill>
                  <a:srgbClr val="53565A"/>
                </a:solidFill>
                <a:ln>
                  <a:noFill/>
                </a:ln>
              </c:spPr>
            </c:marker>
            <c:bubble3D val="0"/>
            <c:extLst>
              <c:ext xmlns:c16="http://schemas.microsoft.com/office/drawing/2014/chart" uri="{C3380CC4-5D6E-409C-BE32-E72D297353CC}">
                <c16:uniqueId val="{0000000B-2CF6-417D-ACE9-D37385026F04}"/>
              </c:ext>
            </c:extLst>
          </c:dPt>
          <c:dPt>
            <c:idx val="9"/>
            <c:bubble3D val="0"/>
            <c:extLst>
              <c:ext xmlns:c16="http://schemas.microsoft.com/office/drawing/2014/chart" uri="{C3380CC4-5D6E-409C-BE32-E72D297353CC}">
                <c16:uniqueId val="{0000000C-2CF6-417D-ACE9-D37385026F04}"/>
              </c:ext>
            </c:extLst>
          </c:dPt>
          <c:dPt>
            <c:idx val="10"/>
            <c:marker>
              <c:spPr>
                <a:solidFill>
                  <a:srgbClr val="002776"/>
                </a:solidFill>
                <a:ln>
                  <a:noFill/>
                </a:ln>
              </c:spPr>
            </c:marker>
            <c:bubble3D val="0"/>
            <c:extLst>
              <c:ext xmlns:c16="http://schemas.microsoft.com/office/drawing/2014/chart" uri="{C3380CC4-5D6E-409C-BE32-E72D297353CC}">
                <c16:uniqueId val="{0000000D-2CF6-417D-ACE9-D37385026F04}"/>
              </c:ext>
            </c:extLst>
          </c:dPt>
          <c:dPt>
            <c:idx val="11"/>
            <c:marker>
              <c:spPr>
                <a:solidFill>
                  <a:srgbClr val="53565A"/>
                </a:solidFill>
                <a:ln>
                  <a:noFill/>
                </a:ln>
              </c:spPr>
            </c:marker>
            <c:bubble3D val="0"/>
            <c:extLst>
              <c:ext xmlns:c16="http://schemas.microsoft.com/office/drawing/2014/chart" uri="{C3380CC4-5D6E-409C-BE32-E72D297353CC}">
                <c16:uniqueId val="{0000000E-2CF6-417D-ACE9-D37385026F04}"/>
              </c:ext>
            </c:extLst>
          </c:dPt>
          <c:dPt>
            <c:idx val="13"/>
            <c:marker>
              <c:spPr>
                <a:solidFill>
                  <a:srgbClr val="002776"/>
                </a:solidFill>
                <a:ln>
                  <a:noFill/>
                </a:ln>
              </c:spPr>
            </c:marker>
            <c:bubble3D val="0"/>
            <c:extLst>
              <c:ext xmlns:c16="http://schemas.microsoft.com/office/drawing/2014/chart" uri="{C3380CC4-5D6E-409C-BE32-E72D297353CC}">
                <c16:uniqueId val="{0000000F-2CF6-417D-ACE9-D37385026F04}"/>
              </c:ext>
            </c:extLst>
          </c:dPt>
          <c:dPt>
            <c:idx val="14"/>
            <c:marker>
              <c:spPr>
                <a:solidFill>
                  <a:srgbClr val="53565A"/>
                </a:solidFill>
                <a:ln>
                  <a:noFill/>
                </a:ln>
              </c:spPr>
            </c:marker>
            <c:bubble3D val="0"/>
            <c:extLst>
              <c:ext xmlns:c16="http://schemas.microsoft.com/office/drawing/2014/chart" uri="{C3380CC4-5D6E-409C-BE32-E72D297353CC}">
                <c16:uniqueId val="{00000010-2CF6-417D-ACE9-D37385026F04}"/>
              </c:ext>
            </c:extLst>
          </c:dPt>
          <c:dPt>
            <c:idx val="15"/>
            <c:bubble3D val="0"/>
            <c:extLst>
              <c:ext xmlns:c16="http://schemas.microsoft.com/office/drawing/2014/chart" uri="{C3380CC4-5D6E-409C-BE32-E72D297353CC}">
                <c16:uniqueId val="{00000011-2CF6-417D-ACE9-D37385026F04}"/>
              </c:ext>
            </c:extLst>
          </c:dPt>
          <c:dPt>
            <c:idx val="16"/>
            <c:marker>
              <c:spPr>
                <a:solidFill>
                  <a:srgbClr val="002776"/>
                </a:solidFill>
                <a:ln>
                  <a:noFill/>
                </a:ln>
              </c:spPr>
            </c:marker>
            <c:bubble3D val="0"/>
            <c:extLst>
              <c:ext xmlns:c16="http://schemas.microsoft.com/office/drawing/2014/chart" uri="{C3380CC4-5D6E-409C-BE32-E72D297353CC}">
                <c16:uniqueId val="{00000012-2CF6-417D-ACE9-D37385026F04}"/>
              </c:ext>
            </c:extLst>
          </c:dPt>
          <c:dPt>
            <c:idx val="17"/>
            <c:marker>
              <c:spPr>
                <a:solidFill>
                  <a:srgbClr val="53565A"/>
                </a:solidFill>
                <a:ln>
                  <a:noFill/>
                </a:ln>
              </c:spPr>
            </c:marker>
            <c:bubble3D val="0"/>
            <c:extLst>
              <c:ext xmlns:c16="http://schemas.microsoft.com/office/drawing/2014/chart" uri="{C3380CC4-5D6E-409C-BE32-E72D297353CC}">
                <c16:uniqueId val="{00000013-2CF6-417D-ACE9-D37385026F04}"/>
              </c:ext>
            </c:extLst>
          </c:dPt>
          <c:dPt>
            <c:idx val="18"/>
            <c:bubble3D val="0"/>
            <c:extLst>
              <c:ext xmlns:c16="http://schemas.microsoft.com/office/drawing/2014/chart" uri="{C3380CC4-5D6E-409C-BE32-E72D297353CC}">
                <c16:uniqueId val="{00000014-2CF6-417D-ACE9-D37385026F04}"/>
              </c:ext>
            </c:extLst>
          </c:dPt>
          <c:dPt>
            <c:idx val="19"/>
            <c:marker>
              <c:spPr>
                <a:solidFill>
                  <a:srgbClr val="002776"/>
                </a:solidFill>
                <a:ln>
                  <a:noFill/>
                </a:ln>
              </c:spPr>
            </c:marker>
            <c:bubble3D val="0"/>
            <c:extLst>
              <c:ext xmlns:c16="http://schemas.microsoft.com/office/drawing/2014/chart" uri="{C3380CC4-5D6E-409C-BE32-E72D297353CC}">
                <c16:uniqueId val="{00000015-2CF6-417D-ACE9-D37385026F04}"/>
              </c:ext>
            </c:extLst>
          </c:dPt>
          <c:dPt>
            <c:idx val="20"/>
            <c:marker>
              <c:spPr>
                <a:solidFill>
                  <a:srgbClr val="53565A"/>
                </a:solidFill>
                <a:ln>
                  <a:noFill/>
                </a:ln>
              </c:spPr>
            </c:marker>
            <c:bubble3D val="0"/>
            <c:extLst>
              <c:ext xmlns:c16="http://schemas.microsoft.com/office/drawing/2014/chart" uri="{C3380CC4-5D6E-409C-BE32-E72D297353CC}">
                <c16:uniqueId val="{00000016-2CF6-417D-ACE9-D37385026F04}"/>
              </c:ext>
            </c:extLst>
          </c:dPt>
          <c:dPt>
            <c:idx val="21"/>
            <c:bubble3D val="0"/>
            <c:extLst>
              <c:ext xmlns:c16="http://schemas.microsoft.com/office/drawing/2014/chart" uri="{C3380CC4-5D6E-409C-BE32-E72D297353CC}">
                <c16:uniqueId val="{00000017-2CF6-417D-ACE9-D37385026F04}"/>
              </c:ext>
            </c:extLst>
          </c:dPt>
          <c:dPt>
            <c:idx val="22"/>
            <c:marker>
              <c:spPr>
                <a:solidFill>
                  <a:srgbClr val="002776"/>
                </a:solidFill>
                <a:ln>
                  <a:noFill/>
                </a:ln>
              </c:spPr>
            </c:marker>
            <c:bubble3D val="0"/>
            <c:extLst>
              <c:ext xmlns:c16="http://schemas.microsoft.com/office/drawing/2014/chart" uri="{C3380CC4-5D6E-409C-BE32-E72D297353CC}">
                <c16:uniqueId val="{00000018-2CF6-417D-ACE9-D37385026F04}"/>
              </c:ext>
            </c:extLst>
          </c:dPt>
          <c:dPt>
            <c:idx val="23"/>
            <c:marker>
              <c:spPr>
                <a:solidFill>
                  <a:srgbClr val="53565A"/>
                </a:solidFill>
                <a:ln>
                  <a:noFill/>
                </a:ln>
              </c:spPr>
            </c:marker>
            <c:bubble3D val="0"/>
            <c:extLst>
              <c:ext xmlns:c16="http://schemas.microsoft.com/office/drawing/2014/chart" uri="{C3380CC4-5D6E-409C-BE32-E72D297353CC}">
                <c16:uniqueId val="{00000019-2CF6-417D-ACE9-D37385026F04}"/>
              </c:ext>
            </c:extLst>
          </c:dPt>
          <c:dPt>
            <c:idx val="25"/>
            <c:marker>
              <c:spPr>
                <a:solidFill>
                  <a:srgbClr val="002776"/>
                </a:solidFill>
                <a:ln>
                  <a:noFill/>
                </a:ln>
              </c:spPr>
            </c:marker>
            <c:bubble3D val="0"/>
            <c:extLst>
              <c:ext xmlns:c16="http://schemas.microsoft.com/office/drawing/2014/chart" uri="{C3380CC4-5D6E-409C-BE32-E72D297353CC}">
                <c16:uniqueId val="{0000001A-2CF6-417D-ACE9-D37385026F04}"/>
              </c:ext>
            </c:extLst>
          </c:dPt>
          <c:dPt>
            <c:idx val="26"/>
            <c:marker>
              <c:spPr>
                <a:solidFill>
                  <a:srgbClr val="53565A"/>
                </a:solidFill>
                <a:ln>
                  <a:noFill/>
                </a:ln>
              </c:spPr>
            </c:marker>
            <c:bubble3D val="0"/>
            <c:extLst>
              <c:ext xmlns:c16="http://schemas.microsoft.com/office/drawing/2014/chart" uri="{C3380CC4-5D6E-409C-BE32-E72D297353CC}">
                <c16:uniqueId val="{0000001B-2CF6-417D-ACE9-D37385026F04}"/>
              </c:ext>
            </c:extLst>
          </c:dPt>
          <c:dPt>
            <c:idx val="27"/>
            <c:bubble3D val="0"/>
            <c:extLst>
              <c:ext xmlns:c16="http://schemas.microsoft.com/office/drawing/2014/chart" uri="{C3380CC4-5D6E-409C-BE32-E72D297353CC}">
                <c16:uniqueId val="{0000001C-2CF6-417D-ACE9-D37385026F04}"/>
              </c:ext>
            </c:extLst>
          </c:dPt>
          <c:dPt>
            <c:idx val="28"/>
            <c:marker>
              <c:spPr>
                <a:solidFill>
                  <a:srgbClr val="002776"/>
                </a:solidFill>
                <a:ln>
                  <a:noFill/>
                </a:ln>
              </c:spPr>
            </c:marker>
            <c:bubble3D val="0"/>
            <c:extLst>
              <c:ext xmlns:c16="http://schemas.microsoft.com/office/drawing/2014/chart" uri="{C3380CC4-5D6E-409C-BE32-E72D297353CC}">
                <c16:uniqueId val="{0000001D-2CF6-417D-ACE9-D37385026F04}"/>
              </c:ext>
            </c:extLst>
          </c:dPt>
          <c:dPt>
            <c:idx val="29"/>
            <c:marker>
              <c:spPr>
                <a:solidFill>
                  <a:srgbClr val="53565A"/>
                </a:solidFill>
                <a:ln>
                  <a:noFill/>
                </a:ln>
              </c:spPr>
            </c:marker>
            <c:bubble3D val="0"/>
            <c:extLst>
              <c:ext xmlns:c16="http://schemas.microsoft.com/office/drawing/2014/chart" uri="{C3380CC4-5D6E-409C-BE32-E72D297353CC}">
                <c16:uniqueId val="{0000001E-2CF6-417D-ACE9-D37385026F04}"/>
              </c:ext>
            </c:extLst>
          </c:dPt>
          <c:dPt>
            <c:idx val="30"/>
            <c:bubble3D val="0"/>
            <c:extLst>
              <c:ext xmlns:c16="http://schemas.microsoft.com/office/drawing/2014/chart" uri="{C3380CC4-5D6E-409C-BE32-E72D297353CC}">
                <c16:uniqueId val="{0000001F-2CF6-417D-ACE9-D37385026F04}"/>
              </c:ext>
            </c:extLst>
          </c:dPt>
          <c:dPt>
            <c:idx val="31"/>
            <c:marker>
              <c:spPr>
                <a:solidFill>
                  <a:srgbClr val="002776"/>
                </a:solidFill>
                <a:ln>
                  <a:noFill/>
                </a:ln>
              </c:spPr>
            </c:marker>
            <c:bubble3D val="0"/>
            <c:extLst>
              <c:ext xmlns:c16="http://schemas.microsoft.com/office/drawing/2014/chart" uri="{C3380CC4-5D6E-409C-BE32-E72D297353CC}">
                <c16:uniqueId val="{00000020-2CF6-417D-ACE9-D37385026F04}"/>
              </c:ext>
            </c:extLst>
          </c:dPt>
          <c:dPt>
            <c:idx val="32"/>
            <c:marker>
              <c:spPr>
                <a:solidFill>
                  <a:srgbClr val="53565A"/>
                </a:solidFill>
                <a:ln>
                  <a:noFill/>
                </a:ln>
              </c:spPr>
            </c:marker>
            <c:bubble3D val="0"/>
            <c:extLst>
              <c:ext xmlns:c16="http://schemas.microsoft.com/office/drawing/2014/chart" uri="{C3380CC4-5D6E-409C-BE32-E72D297353CC}">
                <c16:uniqueId val="{00000021-2CF6-417D-ACE9-D37385026F04}"/>
              </c:ext>
            </c:extLst>
          </c:dPt>
          <c:dPt>
            <c:idx val="33"/>
            <c:bubble3D val="0"/>
            <c:extLst>
              <c:ext xmlns:c16="http://schemas.microsoft.com/office/drawing/2014/chart" uri="{C3380CC4-5D6E-409C-BE32-E72D297353CC}">
                <c16:uniqueId val="{00000022-2CF6-417D-ACE9-D37385026F04}"/>
              </c:ext>
            </c:extLst>
          </c:dPt>
          <c:dPt>
            <c:idx val="34"/>
            <c:marker>
              <c:spPr>
                <a:solidFill>
                  <a:srgbClr val="002776"/>
                </a:solidFill>
                <a:ln>
                  <a:noFill/>
                </a:ln>
              </c:spPr>
            </c:marker>
            <c:bubble3D val="0"/>
            <c:extLst>
              <c:ext xmlns:c16="http://schemas.microsoft.com/office/drawing/2014/chart" uri="{C3380CC4-5D6E-409C-BE32-E72D297353CC}">
                <c16:uniqueId val="{00000023-2CF6-417D-ACE9-D37385026F04}"/>
              </c:ext>
            </c:extLst>
          </c:dPt>
          <c:dPt>
            <c:idx val="35"/>
            <c:marker>
              <c:spPr>
                <a:solidFill>
                  <a:srgbClr val="53565A"/>
                </a:solidFill>
                <a:ln>
                  <a:noFill/>
                </a:ln>
              </c:spPr>
            </c:marker>
            <c:bubble3D val="0"/>
            <c:extLst>
              <c:ext xmlns:c16="http://schemas.microsoft.com/office/drawing/2014/chart" uri="{C3380CC4-5D6E-409C-BE32-E72D297353CC}">
                <c16:uniqueId val="{00000024-2CF6-417D-ACE9-D37385026F04}"/>
              </c:ext>
            </c:extLst>
          </c:dPt>
          <c:dPt>
            <c:idx val="37"/>
            <c:marker>
              <c:spPr>
                <a:solidFill>
                  <a:srgbClr val="002776"/>
                </a:solidFill>
                <a:ln>
                  <a:noFill/>
                </a:ln>
              </c:spPr>
            </c:marker>
            <c:bubble3D val="0"/>
            <c:extLst>
              <c:ext xmlns:c16="http://schemas.microsoft.com/office/drawing/2014/chart" uri="{C3380CC4-5D6E-409C-BE32-E72D297353CC}">
                <c16:uniqueId val="{00000025-2CF6-417D-ACE9-D37385026F04}"/>
              </c:ext>
            </c:extLst>
          </c:dPt>
          <c:dPt>
            <c:idx val="38"/>
            <c:marker>
              <c:spPr>
                <a:solidFill>
                  <a:srgbClr val="53565A"/>
                </a:solidFill>
                <a:ln>
                  <a:noFill/>
                </a:ln>
              </c:spPr>
            </c:marker>
            <c:bubble3D val="0"/>
            <c:extLst>
              <c:ext xmlns:c16="http://schemas.microsoft.com/office/drawing/2014/chart" uri="{C3380CC4-5D6E-409C-BE32-E72D297353CC}">
                <c16:uniqueId val="{00000026-2CF6-417D-ACE9-D37385026F04}"/>
              </c:ext>
            </c:extLst>
          </c:dPt>
          <c:dPt>
            <c:idx val="39"/>
            <c:bubble3D val="0"/>
            <c:extLst>
              <c:ext xmlns:c16="http://schemas.microsoft.com/office/drawing/2014/chart" uri="{C3380CC4-5D6E-409C-BE32-E72D297353CC}">
                <c16:uniqueId val="{00000027-2CF6-417D-ACE9-D37385026F04}"/>
              </c:ext>
            </c:extLst>
          </c:dPt>
          <c:dPt>
            <c:idx val="40"/>
            <c:marker>
              <c:spPr>
                <a:solidFill>
                  <a:srgbClr val="002776"/>
                </a:solidFill>
                <a:ln>
                  <a:noFill/>
                </a:ln>
              </c:spPr>
            </c:marker>
            <c:bubble3D val="0"/>
            <c:extLst>
              <c:ext xmlns:c16="http://schemas.microsoft.com/office/drawing/2014/chart" uri="{C3380CC4-5D6E-409C-BE32-E72D297353CC}">
                <c16:uniqueId val="{00000028-2CF6-417D-ACE9-D37385026F04}"/>
              </c:ext>
            </c:extLst>
          </c:dPt>
          <c:dPt>
            <c:idx val="41"/>
            <c:marker>
              <c:spPr>
                <a:solidFill>
                  <a:srgbClr val="53565A"/>
                </a:solidFill>
                <a:ln>
                  <a:noFill/>
                </a:ln>
              </c:spPr>
            </c:marker>
            <c:bubble3D val="0"/>
            <c:extLst>
              <c:ext xmlns:c16="http://schemas.microsoft.com/office/drawing/2014/chart" uri="{C3380CC4-5D6E-409C-BE32-E72D297353CC}">
                <c16:uniqueId val="{00000029-2CF6-417D-ACE9-D37385026F04}"/>
              </c:ext>
            </c:extLst>
          </c:dPt>
          <c:dPt>
            <c:idx val="42"/>
            <c:bubble3D val="0"/>
            <c:extLst>
              <c:ext xmlns:c16="http://schemas.microsoft.com/office/drawing/2014/chart" uri="{C3380CC4-5D6E-409C-BE32-E72D297353CC}">
                <c16:uniqueId val="{0000002A-2CF6-417D-ACE9-D37385026F04}"/>
              </c:ext>
            </c:extLst>
          </c:dPt>
          <c:dPt>
            <c:idx val="43"/>
            <c:marker>
              <c:spPr>
                <a:solidFill>
                  <a:srgbClr val="002776"/>
                </a:solidFill>
                <a:ln>
                  <a:noFill/>
                </a:ln>
              </c:spPr>
            </c:marker>
            <c:bubble3D val="0"/>
            <c:extLst>
              <c:ext xmlns:c16="http://schemas.microsoft.com/office/drawing/2014/chart" uri="{C3380CC4-5D6E-409C-BE32-E72D297353CC}">
                <c16:uniqueId val="{0000002B-2CF6-417D-ACE9-D37385026F04}"/>
              </c:ext>
            </c:extLst>
          </c:dPt>
          <c:dPt>
            <c:idx val="44"/>
            <c:marker>
              <c:spPr>
                <a:solidFill>
                  <a:srgbClr val="53565A"/>
                </a:solidFill>
                <a:ln>
                  <a:noFill/>
                </a:ln>
              </c:spPr>
            </c:marker>
            <c:bubble3D val="0"/>
            <c:extLst>
              <c:ext xmlns:c16="http://schemas.microsoft.com/office/drawing/2014/chart" uri="{C3380CC4-5D6E-409C-BE32-E72D297353CC}">
                <c16:uniqueId val="{0000002C-2CF6-417D-ACE9-D37385026F04}"/>
              </c:ext>
            </c:extLst>
          </c:dPt>
          <c:dPt>
            <c:idx val="45"/>
            <c:bubble3D val="0"/>
            <c:extLst>
              <c:ext xmlns:c16="http://schemas.microsoft.com/office/drawing/2014/chart" uri="{C3380CC4-5D6E-409C-BE32-E72D297353CC}">
                <c16:uniqueId val="{0000002D-2CF6-417D-ACE9-D37385026F04}"/>
              </c:ext>
            </c:extLst>
          </c:dPt>
          <c:dPt>
            <c:idx val="46"/>
            <c:marker>
              <c:spPr>
                <a:solidFill>
                  <a:srgbClr val="002776"/>
                </a:solidFill>
                <a:ln>
                  <a:noFill/>
                </a:ln>
              </c:spPr>
            </c:marker>
            <c:bubble3D val="0"/>
            <c:extLst>
              <c:ext xmlns:c16="http://schemas.microsoft.com/office/drawing/2014/chart" uri="{C3380CC4-5D6E-409C-BE32-E72D297353CC}">
                <c16:uniqueId val="{0000002E-2CF6-417D-ACE9-D37385026F04}"/>
              </c:ext>
            </c:extLst>
          </c:dPt>
          <c:dPt>
            <c:idx val="47"/>
            <c:marker>
              <c:spPr>
                <a:solidFill>
                  <a:srgbClr val="53565A"/>
                </a:solidFill>
                <a:ln>
                  <a:noFill/>
                </a:ln>
              </c:spPr>
            </c:marker>
            <c:bubble3D val="0"/>
            <c:extLst>
              <c:ext xmlns:c16="http://schemas.microsoft.com/office/drawing/2014/chart" uri="{C3380CC4-5D6E-409C-BE32-E72D297353CC}">
                <c16:uniqueId val="{0000002F-2CF6-417D-ACE9-D37385026F04}"/>
              </c:ext>
            </c:extLst>
          </c:dPt>
          <c:dPt>
            <c:idx val="49"/>
            <c:marker>
              <c:spPr>
                <a:solidFill>
                  <a:srgbClr val="002776"/>
                </a:solidFill>
                <a:ln>
                  <a:noFill/>
                </a:ln>
              </c:spPr>
            </c:marker>
            <c:bubble3D val="0"/>
            <c:extLst>
              <c:ext xmlns:c16="http://schemas.microsoft.com/office/drawing/2014/chart" uri="{C3380CC4-5D6E-409C-BE32-E72D297353CC}">
                <c16:uniqueId val="{00000030-2CF6-417D-ACE9-D37385026F04}"/>
              </c:ext>
            </c:extLst>
          </c:dPt>
          <c:dPt>
            <c:idx val="50"/>
            <c:marker>
              <c:spPr>
                <a:solidFill>
                  <a:srgbClr val="53565A"/>
                </a:solidFill>
                <a:ln>
                  <a:noFill/>
                </a:ln>
              </c:spPr>
            </c:marker>
            <c:bubble3D val="0"/>
            <c:extLst>
              <c:ext xmlns:c16="http://schemas.microsoft.com/office/drawing/2014/chart" uri="{C3380CC4-5D6E-409C-BE32-E72D297353CC}">
                <c16:uniqueId val="{00000031-2CF6-417D-ACE9-D37385026F04}"/>
              </c:ext>
            </c:extLst>
          </c:dPt>
          <c:dPt>
            <c:idx val="51"/>
            <c:bubble3D val="0"/>
            <c:extLst>
              <c:ext xmlns:c16="http://schemas.microsoft.com/office/drawing/2014/chart" uri="{C3380CC4-5D6E-409C-BE32-E72D297353CC}">
                <c16:uniqueId val="{00000032-2CF6-417D-ACE9-D37385026F04}"/>
              </c:ext>
            </c:extLst>
          </c:dPt>
          <c:dPt>
            <c:idx val="52"/>
            <c:marker>
              <c:spPr>
                <a:solidFill>
                  <a:srgbClr val="002776"/>
                </a:solidFill>
                <a:ln>
                  <a:noFill/>
                </a:ln>
              </c:spPr>
            </c:marker>
            <c:bubble3D val="0"/>
            <c:extLst>
              <c:ext xmlns:c16="http://schemas.microsoft.com/office/drawing/2014/chart" uri="{C3380CC4-5D6E-409C-BE32-E72D297353CC}">
                <c16:uniqueId val="{00000033-2CF6-417D-ACE9-D37385026F04}"/>
              </c:ext>
            </c:extLst>
          </c:dPt>
          <c:dPt>
            <c:idx val="53"/>
            <c:marker>
              <c:spPr>
                <a:solidFill>
                  <a:srgbClr val="53565A"/>
                </a:solidFill>
                <a:ln>
                  <a:noFill/>
                </a:ln>
              </c:spPr>
            </c:marker>
            <c:bubble3D val="0"/>
            <c:extLst>
              <c:ext xmlns:c16="http://schemas.microsoft.com/office/drawing/2014/chart" uri="{C3380CC4-5D6E-409C-BE32-E72D297353CC}">
                <c16:uniqueId val="{00000034-2CF6-417D-ACE9-D37385026F04}"/>
              </c:ext>
            </c:extLst>
          </c:dPt>
          <c:dPt>
            <c:idx val="54"/>
            <c:bubble3D val="0"/>
            <c:extLst>
              <c:ext xmlns:c16="http://schemas.microsoft.com/office/drawing/2014/chart" uri="{C3380CC4-5D6E-409C-BE32-E72D297353CC}">
                <c16:uniqueId val="{00000035-2CF6-417D-ACE9-D37385026F04}"/>
              </c:ext>
            </c:extLst>
          </c:dPt>
          <c:dPt>
            <c:idx val="55"/>
            <c:marker>
              <c:spPr>
                <a:solidFill>
                  <a:srgbClr val="002776"/>
                </a:solidFill>
                <a:ln>
                  <a:noFill/>
                </a:ln>
              </c:spPr>
            </c:marker>
            <c:bubble3D val="0"/>
            <c:extLst>
              <c:ext xmlns:c16="http://schemas.microsoft.com/office/drawing/2014/chart" uri="{C3380CC4-5D6E-409C-BE32-E72D297353CC}">
                <c16:uniqueId val="{00000036-2CF6-417D-ACE9-D37385026F04}"/>
              </c:ext>
            </c:extLst>
          </c:dPt>
          <c:dPt>
            <c:idx val="56"/>
            <c:marker>
              <c:spPr>
                <a:solidFill>
                  <a:srgbClr val="53565A"/>
                </a:solidFill>
                <a:ln>
                  <a:noFill/>
                </a:ln>
              </c:spPr>
            </c:marker>
            <c:bubble3D val="0"/>
            <c:extLst>
              <c:ext xmlns:c16="http://schemas.microsoft.com/office/drawing/2014/chart" uri="{C3380CC4-5D6E-409C-BE32-E72D297353CC}">
                <c16:uniqueId val="{00000037-2CF6-417D-ACE9-D37385026F04}"/>
              </c:ext>
            </c:extLst>
          </c:dPt>
          <c:dPt>
            <c:idx val="57"/>
            <c:bubble3D val="0"/>
            <c:extLst>
              <c:ext xmlns:c16="http://schemas.microsoft.com/office/drawing/2014/chart" uri="{C3380CC4-5D6E-409C-BE32-E72D297353CC}">
                <c16:uniqueId val="{00000038-2CF6-417D-ACE9-D37385026F04}"/>
              </c:ext>
            </c:extLst>
          </c:dPt>
          <c:dPt>
            <c:idx val="58"/>
            <c:marker>
              <c:spPr>
                <a:solidFill>
                  <a:srgbClr val="002776"/>
                </a:solidFill>
                <a:ln>
                  <a:noFill/>
                </a:ln>
              </c:spPr>
            </c:marker>
            <c:bubble3D val="0"/>
            <c:extLst>
              <c:ext xmlns:c16="http://schemas.microsoft.com/office/drawing/2014/chart" uri="{C3380CC4-5D6E-409C-BE32-E72D297353CC}">
                <c16:uniqueId val="{00000039-2CF6-417D-ACE9-D37385026F04}"/>
              </c:ext>
            </c:extLst>
          </c:dPt>
          <c:dPt>
            <c:idx val="59"/>
            <c:marker>
              <c:spPr>
                <a:solidFill>
                  <a:srgbClr val="53565A"/>
                </a:solidFill>
                <a:ln>
                  <a:noFill/>
                </a:ln>
              </c:spPr>
            </c:marker>
            <c:bubble3D val="0"/>
            <c:extLst>
              <c:ext xmlns:c16="http://schemas.microsoft.com/office/drawing/2014/chart" uri="{C3380CC4-5D6E-409C-BE32-E72D297353CC}">
                <c16:uniqueId val="{0000003A-2CF6-417D-ACE9-D37385026F04}"/>
              </c:ext>
            </c:extLst>
          </c:dPt>
          <c:dPt>
            <c:idx val="61"/>
            <c:marker>
              <c:spPr>
                <a:solidFill>
                  <a:srgbClr val="002776"/>
                </a:solidFill>
                <a:ln>
                  <a:noFill/>
                </a:ln>
              </c:spPr>
            </c:marker>
            <c:bubble3D val="0"/>
            <c:extLst>
              <c:ext xmlns:c16="http://schemas.microsoft.com/office/drawing/2014/chart" uri="{C3380CC4-5D6E-409C-BE32-E72D297353CC}">
                <c16:uniqueId val="{0000003B-2CF6-417D-ACE9-D37385026F04}"/>
              </c:ext>
            </c:extLst>
          </c:dPt>
          <c:dPt>
            <c:idx val="62"/>
            <c:marker>
              <c:spPr>
                <a:solidFill>
                  <a:srgbClr val="53565A"/>
                </a:solidFill>
                <a:ln>
                  <a:noFill/>
                </a:ln>
              </c:spPr>
            </c:marker>
            <c:bubble3D val="0"/>
            <c:extLst>
              <c:ext xmlns:c16="http://schemas.microsoft.com/office/drawing/2014/chart" uri="{C3380CC4-5D6E-409C-BE32-E72D297353CC}">
                <c16:uniqueId val="{0000003C-2CF6-417D-ACE9-D37385026F04}"/>
              </c:ext>
            </c:extLst>
          </c:dPt>
          <c:dPt>
            <c:idx val="63"/>
            <c:bubble3D val="0"/>
            <c:extLst>
              <c:ext xmlns:c16="http://schemas.microsoft.com/office/drawing/2014/chart" uri="{C3380CC4-5D6E-409C-BE32-E72D297353CC}">
                <c16:uniqueId val="{0000003D-2CF6-417D-ACE9-D37385026F04}"/>
              </c:ext>
            </c:extLst>
          </c:dPt>
          <c:dPt>
            <c:idx val="64"/>
            <c:marker>
              <c:spPr>
                <a:solidFill>
                  <a:srgbClr val="002776"/>
                </a:solidFill>
                <a:ln>
                  <a:noFill/>
                </a:ln>
              </c:spPr>
            </c:marker>
            <c:bubble3D val="0"/>
            <c:extLst>
              <c:ext xmlns:c16="http://schemas.microsoft.com/office/drawing/2014/chart" uri="{C3380CC4-5D6E-409C-BE32-E72D297353CC}">
                <c16:uniqueId val="{0000003E-2CF6-417D-ACE9-D37385026F04}"/>
              </c:ext>
            </c:extLst>
          </c:dPt>
          <c:dPt>
            <c:idx val="65"/>
            <c:marker>
              <c:spPr>
                <a:solidFill>
                  <a:srgbClr val="53565A"/>
                </a:solidFill>
                <a:ln>
                  <a:noFill/>
                </a:ln>
              </c:spPr>
            </c:marker>
            <c:bubble3D val="0"/>
            <c:extLst>
              <c:ext xmlns:c16="http://schemas.microsoft.com/office/drawing/2014/chart" uri="{C3380CC4-5D6E-409C-BE32-E72D297353CC}">
                <c16:uniqueId val="{0000003F-2CF6-417D-ACE9-D37385026F04}"/>
              </c:ext>
            </c:extLst>
          </c:dPt>
          <c:dPt>
            <c:idx val="66"/>
            <c:bubble3D val="0"/>
            <c:extLst>
              <c:ext xmlns:c16="http://schemas.microsoft.com/office/drawing/2014/chart" uri="{C3380CC4-5D6E-409C-BE32-E72D297353CC}">
                <c16:uniqueId val="{00000040-2CF6-417D-ACE9-D37385026F04}"/>
              </c:ext>
            </c:extLst>
          </c:dPt>
          <c:dPt>
            <c:idx val="67"/>
            <c:marker>
              <c:spPr>
                <a:solidFill>
                  <a:srgbClr val="002776"/>
                </a:solidFill>
                <a:ln>
                  <a:noFill/>
                </a:ln>
              </c:spPr>
            </c:marker>
            <c:bubble3D val="0"/>
            <c:extLst>
              <c:ext xmlns:c16="http://schemas.microsoft.com/office/drawing/2014/chart" uri="{C3380CC4-5D6E-409C-BE32-E72D297353CC}">
                <c16:uniqueId val="{00000041-2CF6-417D-ACE9-D37385026F04}"/>
              </c:ext>
            </c:extLst>
          </c:dPt>
          <c:dPt>
            <c:idx val="68"/>
            <c:marker>
              <c:spPr>
                <a:solidFill>
                  <a:srgbClr val="53565A"/>
                </a:solidFill>
                <a:ln>
                  <a:noFill/>
                </a:ln>
              </c:spPr>
            </c:marker>
            <c:bubble3D val="0"/>
            <c:extLst>
              <c:ext xmlns:c16="http://schemas.microsoft.com/office/drawing/2014/chart" uri="{C3380CC4-5D6E-409C-BE32-E72D297353CC}">
                <c16:uniqueId val="{00000042-2CF6-417D-ACE9-D37385026F04}"/>
              </c:ext>
            </c:extLst>
          </c:dPt>
          <c:dPt>
            <c:idx val="69"/>
            <c:bubble3D val="0"/>
            <c:extLst>
              <c:ext xmlns:c16="http://schemas.microsoft.com/office/drawing/2014/chart" uri="{C3380CC4-5D6E-409C-BE32-E72D297353CC}">
                <c16:uniqueId val="{00000043-2CF6-417D-ACE9-D37385026F04}"/>
              </c:ext>
            </c:extLst>
          </c:dPt>
          <c:dPt>
            <c:idx val="70"/>
            <c:bubble3D val="0"/>
            <c:extLst>
              <c:ext xmlns:c16="http://schemas.microsoft.com/office/drawing/2014/chart" uri="{C3380CC4-5D6E-409C-BE32-E72D297353CC}">
                <c16:uniqueId val="{00000044-2CF6-417D-ACE9-D37385026F04}"/>
              </c:ext>
            </c:extLst>
          </c:dPt>
          <c:dPt>
            <c:idx val="71"/>
            <c:bubble3D val="0"/>
            <c:extLst>
              <c:ext xmlns:c16="http://schemas.microsoft.com/office/drawing/2014/chart" uri="{C3380CC4-5D6E-409C-BE32-E72D297353CC}">
                <c16:uniqueId val="{00000045-2CF6-417D-ACE9-D37385026F04}"/>
              </c:ext>
            </c:extLst>
          </c:dPt>
          <c:dPt>
            <c:idx val="73"/>
            <c:bubble3D val="0"/>
            <c:extLst>
              <c:ext xmlns:c16="http://schemas.microsoft.com/office/drawing/2014/chart" uri="{C3380CC4-5D6E-409C-BE32-E72D297353CC}">
                <c16:uniqueId val="{00000046-2CF6-417D-ACE9-D37385026F04}"/>
              </c:ext>
            </c:extLst>
          </c:dPt>
          <c:dPt>
            <c:idx val="74"/>
            <c:bubble3D val="0"/>
            <c:extLst>
              <c:ext xmlns:c16="http://schemas.microsoft.com/office/drawing/2014/chart" uri="{C3380CC4-5D6E-409C-BE32-E72D297353CC}">
                <c16:uniqueId val="{00000047-2CF6-417D-ACE9-D37385026F04}"/>
              </c:ext>
            </c:extLst>
          </c:dPt>
          <c:dPt>
            <c:idx val="75"/>
            <c:bubble3D val="0"/>
            <c:extLst>
              <c:ext xmlns:c16="http://schemas.microsoft.com/office/drawing/2014/chart" uri="{C3380CC4-5D6E-409C-BE32-E72D297353CC}">
                <c16:uniqueId val="{00000048-2CF6-417D-ACE9-D37385026F04}"/>
              </c:ext>
            </c:extLst>
          </c:dPt>
          <c:dPt>
            <c:idx val="77"/>
            <c:bubble3D val="0"/>
            <c:extLst>
              <c:ext xmlns:c16="http://schemas.microsoft.com/office/drawing/2014/chart" uri="{C3380CC4-5D6E-409C-BE32-E72D297353CC}">
                <c16:uniqueId val="{00000049-2CF6-417D-ACE9-D37385026F04}"/>
              </c:ext>
            </c:extLst>
          </c:dPt>
          <c:dPt>
            <c:idx val="78"/>
            <c:bubble3D val="0"/>
            <c:extLst>
              <c:ext xmlns:c16="http://schemas.microsoft.com/office/drawing/2014/chart" uri="{C3380CC4-5D6E-409C-BE32-E72D297353CC}">
                <c16:uniqueId val="{0000004A-2CF6-417D-ACE9-D37385026F04}"/>
              </c:ext>
            </c:extLst>
          </c:dPt>
          <c:dPt>
            <c:idx val="79"/>
            <c:bubble3D val="0"/>
            <c:extLst>
              <c:ext xmlns:c16="http://schemas.microsoft.com/office/drawing/2014/chart" uri="{C3380CC4-5D6E-409C-BE32-E72D297353CC}">
                <c16:uniqueId val="{0000004B-2CF6-417D-ACE9-D37385026F04}"/>
              </c:ext>
            </c:extLst>
          </c:dPt>
          <c:dPt>
            <c:idx val="80"/>
            <c:bubble3D val="0"/>
            <c:extLst>
              <c:ext xmlns:c16="http://schemas.microsoft.com/office/drawing/2014/chart" uri="{C3380CC4-5D6E-409C-BE32-E72D297353CC}">
                <c16:uniqueId val="{0000004C-2CF6-417D-ACE9-D37385026F04}"/>
              </c:ext>
            </c:extLst>
          </c:dPt>
          <c:dPt>
            <c:idx val="81"/>
            <c:bubble3D val="0"/>
            <c:extLst>
              <c:ext xmlns:c16="http://schemas.microsoft.com/office/drawing/2014/chart" uri="{C3380CC4-5D6E-409C-BE32-E72D297353CC}">
                <c16:uniqueId val="{0000004D-2CF6-417D-ACE9-D37385026F04}"/>
              </c:ext>
            </c:extLst>
          </c:dPt>
          <c:dPt>
            <c:idx val="82"/>
            <c:bubble3D val="0"/>
            <c:extLst>
              <c:ext xmlns:c16="http://schemas.microsoft.com/office/drawing/2014/chart" uri="{C3380CC4-5D6E-409C-BE32-E72D297353CC}">
                <c16:uniqueId val="{0000004E-2CF6-417D-ACE9-D37385026F04}"/>
              </c:ext>
            </c:extLst>
          </c:dPt>
          <c:dPt>
            <c:idx val="83"/>
            <c:bubble3D val="0"/>
            <c:extLst>
              <c:ext xmlns:c16="http://schemas.microsoft.com/office/drawing/2014/chart" uri="{C3380CC4-5D6E-409C-BE32-E72D297353CC}">
                <c16:uniqueId val="{0000004F-2CF6-417D-ACE9-D37385026F04}"/>
              </c:ext>
            </c:extLst>
          </c:dPt>
          <c:dPt>
            <c:idx val="85"/>
            <c:bubble3D val="0"/>
            <c:extLst>
              <c:ext xmlns:c16="http://schemas.microsoft.com/office/drawing/2014/chart" uri="{C3380CC4-5D6E-409C-BE32-E72D297353CC}">
                <c16:uniqueId val="{00000050-2CF6-417D-ACE9-D37385026F04}"/>
              </c:ext>
            </c:extLst>
          </c:dPt>
          <c:dPt>
            <c:idx val="86"/>
            <c:bubble3D val="0"/>
            <c:extLst>
              <c:ext xmlns:c16="http://schemas.microsoft.com/office/drawing/2014/chart" uri="{C3380CC4-5D6E-409C-BE32-E72D297353CC}">
                <c16:uniqueId val="{00000051-2CF6-417D-ACE9-D37385026F04}"/>
              </c:ext>
            </c:extLst>
          </c:dPt>
          <c:dPt>
            <c:idx val="87"/>
            <c:bubble3D val="0"/>
            <c:extLst>
              <c:ext xmlns:c16="http://schemas.microsoft.com/office/drawing/2014/chart" uri="{C3380CC4-5D6E-409C-BE32-E72D297353CC}">
                <c16:uniqueId val="{00000052-2CF6-417D-ACE9-D37385026F04}"/>
              </c:ext>
            </c:extLst>
          </c:dPt>
          <c:dPt>
            <c:idx val="89"/>
            <c:bubble3D val="0"/>
            <c:extLst>
              <c:ext xmlns:c16="http://schemas.microsoft.com/office/drawing/2014/chart" uri="{C3380CC4-5D6E-409C-BE32-E72D297353CC}">
                <c16:uniqueId val="{00000053-2CF6-417D-ACE9-D37385026F04}"/>
              </c:ext>
            </c:extLst>
          </c:dPt>
          <c:dPt>
            <c:idx val="90"/>
            <c:bubble3D val="0"/>
            <c:extLst>
              <c:ext xmlns:c16="http://schemas.microsoft.com/office/drawing/2014/chart" uri="{C3380CC4-5D6E-409C-BE32-E72D297353CC}">
                <c16:uniqueId val="{00000054-2CF6-417D-ACE9-D37385026F04}"/>
              </c:ext>
            </c:extLst>
          </c:dPt>
          <c:dPt>
            <c:idx val="91"/>
            <c:bubble3D val="0"/>
            <c:extLst>
              <c:ext xmlns:c16="http://schemas.microsoft.com/office/drawing/2014/chart" uri="{C3380CC4-5D6E-409C-BE32-E72D297353CC}">
                <c16:uniqueId val="{00000055-2CF6-417D-ACE9-D37385026F04}"/>
              </c:ext>
            </c:extLst>
          </c:dPt>
          <c:cat>
            <c:strRef>
              <c:f>'Comp to Prev_All FOEs (18-20)'!$BX$6:$EN$6</c:f>
              <c:strCache>
                <c:ptCount val="69"/>
                <c:pt idx="0">
                  <c:v>MathSci (n=32)</c:v>
                </c:pt>
                <c:pt idx="1">
                  <c:v> (n=32)</c:v>
                </c:pt>
                <c:pt idx="2">
                  <c:v> (n=32)</c:v>
                </c:pt>
                <c:pt idx="3">
                  <c:v>MedicalSci (n=28)</c:v>
                </c:pt>
                <c:pt idx="4">
                  <c:v> (n=27)</c:v>
                </c:pt>
                <c:pt idx="5">
                  <c:v> (n=27)</c:v>
                </c:pt>
                <c:pt idx="6">
                  <c:v>OthNat-PhysSci (n=32)</c:v>
                </c:pt>
                <c:pt idx="7">
                  <c:v> (n=32)</c:v>
                </c:pt>
                <c:pt idx="8">
                  <c:v> (n=32)</c:v>
                </c:pt>
                <c:pt idx="9">
                  <c:v>InfoTech (n=32)</c:v>
                </c:pt>
                <c:pt idx="10">
                  <c:v> (n=32)</c:v>
                </c:pt>
                <c:pt idx="11">
                  <c:v> (n=32)</c:v>
                </c:pt>
                <c:pt idx="12">
                  <c:v>Eng&amp;Related (n=32)</c:v>
                </c:pt>
                <c:pt idx="13">
                  <c:v> (n=32)</c:v>
                </c:pt>
                <c:pt idx="14">
                  <c:v> (n=32)</c:v>
                </c:pt>
                <c:pt idx="15">
                  <c:v>Archi&amp;Build (n=26)</c:v>
                </c:pt>
                <c:pt idx="16">
                  <c:v> (n=26)</c:v>
                </c:pt>
                <c:pt idx="17">
                  <c:v> (n=26)</c:v>
                </c:pt>
                <c:pt idx="18">
                  <c:v>Environment (n=31)</c:v>
                </c:pt>
                <c:pt idx="19">
                  <c:v> (n=31)</c:v>
                </c:pt>
                <c:pt idx="20">
                  <c:v> (n=31)</c:v>
                </c:pt>
                <c:pt idx="21">
                  <c:v>OthAg&amp;Enviro (n=18)</c:v>
                </c:pt>
                <c:pt idx="22">
                  <c:v> (n=18)</c:v>
                </c:pt>
                <c:pt idx="23">
                  <c:v> (n=17)</c:v>
                </c:pt>
                <c:pt idx="24">
                  <c:v>MedicalStudies (n=24)</c:v>
                </c:pt>
                <c:pt idx="25">
                  <c:v> (n=24)</c:v>
                </c:pt>
                <c:pt idx="26">
                  <c:v> (n=24)</c:v>
                </c:pt>
                <c:pt idx="27">
                  <c:v>Nursing (n=29)</c:v>
                </c:pt>
                <c:pt idx="28">
                  <c:v> (n=29)</c:v>
                </c:pt>
                <c:pt idx="29">
                  <c:v> (n=29)</c:v>
                </c:pt>
                <c:pt idx="30">
                  <c:v>Dental (n=10)</c:v>
                </c:pt>
                <c:pt idx="31">
                  <c:v> (n=10)</c:v>
                </c:pt>
                <c:pt idx="32">
                  <c:v> (n=10)</c:v>
                </c:pt>
                <c:pt idx="33">
                  <c:v>Veterinary (n=8)</c:v>
                </c:pt>
                <c:pt idx="34">
                  <c:v> (n=8)</c:v>
                </c:pt>
                <c:pt idx="35">
                  <c:v> (n=8)</c:v>
                </c:pt>
                <c:pt idx="36">
                  <c:v>OthHealth (n=32)</c:v>
                </c:pt>
                <c:pt idx="37">
                  <c:v> (n=32)</c:v>
                </c:pt>
                <c:pt idx="38">
                  <c:v> (n=32)</c:v>
                </c:pt>
                <c:pt idx="39">
                  <c:v>Education (n=31)</c:v>
                </c:pt>
                <c:pt idx="40">
                  <c:v> (n=31)</c:v>
                </c:pt>
                <c:pt idx="41">
                  <c:v> (n=32)</c:v>
                </c:pt>
                <c:pt idx="42">
                  <c:v>Mgmt&amp;Comm (n=32)</c:v>
                </c:pt>
                <c:pt idx="43">
                  <c:v> (n=32)</c:v>
                </c:pt>
                <c:pt idx="44">
                  <c:v> (n=32)</c:v>
                </c:pt>
                <c:pt idx="45">
                  <c:v>ForeignLang (n=26)</c:v>
                </c:pt>
                <c:pt idx="46">
                  <c:v> (n=24)</c:v>
                </c:pt>
                <c:pt idx="47">
                  <c:v> (n=24)</c:v>
                </c:pt>
                <c:pt idx="48">
                  <c:v>Psych (n=32)</c:v>
                </c:pt>
                <c:pt idx="49">
                  <c:v> (n=32)</c:v>
                </c:pt>
                <c:pt idx="50">
                  <c:v> (n=32)</c:v>
                </c:pt>
                <c:pt idx="51">
                  <c:v>OtherSoc&amp;Cult (n=32)</c:v>
                </c:pt>
                <c:pt idx="52">
                  <c:v> (n=32)</c:v>
                </c:pt>
                <c:pt idx="53">
                  <c:v> (n=32)</c:v>
                </c:pt>
                <c:pt idx="54">
                  <c:v>Comms&amp;Media (n=32)</c:v>
                </c:pt>
                <c:pt idx="55">
                  <c:v> (n=32)</c:v>
                </c:pt>
                <c:pt idx="56">
                  <c:v> (n=32)</c:v>
                </c:pt>
                <c:pt idx="57">
                  <c:v>OthCreative (n=32)</c:v>
                </c:pt>
                <c:pt idx="58">
                  <c:v> (n=32)</c:v>
                </c:pt>
                <c:pt idx="59">
                  <c:v> (n=32)</c:v>
                </c:pt>
                <c:pt idx="60">
                  <c:v>FoodHosp&amp;Person (n=4)</c:v>
                </c:pt>
                <c:pt idx="61">
                  <c:v> (n=2)</c:v>
                </c:pt>
                <c:pt idx="62">
                  <c:v> (n=1)</c:v>
                </c:pt>
                <c:pt idx="63">
                  <c:v>MixedField (n=6)</c:v>
                </c:pt>
                <c:pt idx="64">
                  <c:v> (n=6)</c:v>
                </c:pt>
                <c:pt idx="65">
                  <c:v> (n=7)</c:v>
                </c:pt>
                <c:pt idx="66">
                  <c:v>Total (n=32)</c:v>
                </c:pt>
                <c:pt idx="67">
                  <c:v> (n=32)</c:v>
                </c:pt>
                <c:pt idx="68">
                  <c:v> (n=32)</c:v>
                </c:pt>
              </c:strCache>
            </c:strRef>
          </c:cat>
          <c:val>
            <c:numRef>
              <c:f>'Comp to Prev_All FOEs (18-20)'!$BX$39:$EN$39</c:f>
              <c:numCache>
                <c:formatCode>0.00</c:formatCode>
                <c:ptCount val="69"/>
                <c:pt idx="0">
                  <c:v>0.80189580703208796</c:v>
                </c:pt>
                <c:pt idx="1">
                  <c:v>0.78589921258229634</c:v>
                </c:pt>
                <c:pt idx="2">
                  <c:v>0.79068734788256023</c:v>
                </c:pt>
                <c:pt idx="3">
                  <c:v>0.65023135120736886</c:v>
                </c:pt>
                <c:pt idx="4">
                  <c:v>0.67286970572283999</c:v>
                </c:pt>
                <c:pt idx="5">
                  <c:v>0.65343508377183768</c:v>
                </c:pt>
                <c:pt idx="6">
                  <c:v>0.77320931178952768</c:v>
                </c:pt>
                <c:pt idx="7">
                  <c:v>0.75888541370747509</c:v>
                </c:pt>
                <c:pt idx="8">
                  <c:v>0.73756318515736208</c:v>
                </c:pt>
                <c:pt idx="9">
                  <c:v>0.84875632636351361</c:v>
                </c:pt>
                <c:pt idx="10">
                  <c:v>0.83228317043791511</c:v>
                </c:pt>
                <c:pt idx="11">
                  <c:v>0.84551523957679386</c:v>
                </c:pt>
                <c:pt idx="12">
                  <c:v>0.75717813893868602</c:v>
                </c:pt>
                <c:pt idx="13">
                  <c:v>0.76638248789901686</c:v>
                </c:pt>
                <c:pt idx="14">
                  <c:v>0.76699350817118828</c:v>
                </c:pt>
                <c:pt idx="15">
                  <c:v>0.91144564693075647</c:v>
                </c:pt>
                <c:pt idx="16">
                  <c:v>0.92349514987821679</c:v>
                </c:pt>
                <c:pt idx="17">
                  <c:v>0.92372752012644965</c:v>
                </c:pt>
                <c:pt idx="18">
                  <c:v>0.72855652330190579</c:v>
                </c:pt>
                <c:pt idx="19">
                  <c:v>0.68120553865400213</c:v>
                </c:pt>
                <c:pt idx="20">
                  <c:v>0.65356719374498728</c:v>
                </c:pt>
                <c:pt idx="21">
                  <c:v>0.92528137134388833</c:v>
                </c:pt>
                <c:pt idx="22">
                  <c:v>0.92172803253115354</c:v>
                </c:pt>
                <c:pt idx="23">
                  <c:v>0.90036211469346561</c:v>
                </c:pt>
                <c:pt idx="24">
                  <c:v>0.88478732679449623</c:v>
                </c:pt>
                <c:pt idx="25">
                  <c:v>0.84371592668779971</c:v>
                </c:pt>
                <c:pt idx="26">
                  <c:v>0.80121712026718961</c:v>
                </c:pt>
                <c:pt idx="27">
                  <c:v>0.82369824829249683</c:v>
                </c:pt>
                <c:pt idx="28">
                  <c:v>0.83378044179826527</c:v>
                </c:pt>
                <c:pt idx="29">
                  <c:v>0.83722877043059007</c:v>
                </c:pt>
                <c:pt idx="30">
                  <c:v>1.1052219720871381</c:v>
                </c:pt>
                <c:pt idx="31">
                  <c:v>1.1050717261871033</c:v>
                </c:pt>
                <c:pt idx="32">
                  <c:v>1.0973033714484415</c:v>
                </c:pt>
                <c:pt idx="33">
                  <c:v>1.4795906308860673</c:v>
                </c:pt>
                <c:pt idx="34">
                  <c:v>1.3860043702067462</c:v>
                </c:pt>
                <c:pt idx="35">
                  <c:v>1.3525535178540655</c:v>
                </c:pt>
                <c:pt idx="36">
                  <c:v>0.93185996366886636</c:v>
                </c:pt>
                <c:pt idx="37">
                  <c:v>0.92431282767010858</c:v>
                </c:pt>
                <c:pt idx="38">
                  <c:v>0.92847211487769099</c:v>
                </c:pt>
                <c:pt idx="39">
                  <c:v>0.88307400146570902</c:v>
                </c:pt>
                <c:pt idx="40">
                  <c:v>0.87437548740305493</c:v>
                </c:pt>
                <c:pt idx="41">
                  <c:v>0.85370302220394623</c:v>
                </c:pt>
                <c:pt idx="42">
                  <c:v>1.1577327792195815</c:v>
                </c:pt>
                <c:pt idx="43">
                  <c:v>1.1612684151761992</c:v>
                </c:pt>
                <c:pt idx="44">
                  <c:v>1.1880789880505118</c:v>
                </c:pt>
                <c:pt idx="45">
                  <c:v>0.90430901966883814</c:v>
                </c:pt>
                <c:pt idx="46">
                  <c:v>0.88310107516385805</c:v>
                </c:pt>
                <c:pt idx="47">
                  <c:v>0.9291763319219094</c:v>
                </c:pt>
                <c:pt idx="48">
                  <c:v>0.8885406026631828</c:v>
                </c:pt>
                <c:pt idx="49">
                  <c:v>0.8951881180146557</c:v>
                </c:pt>
                <c:pt idx="50">
                  <c:v>0.8638460315947738</c:v>
                </c:pt>
                <c:pt idx="51">
                  <c:v>0.98787079183833026</c:v>
                </c:pt>
                <c:pt idx="52">
                  <c:v>0.98016744828999613</c:v>
                </c:pt>
                <c:pt idx="53">
                  <c:v>0.99148606931565497</c:v>
                </c:pt>
                <c:pt idx="54">
                  <c:v>0.82513904923538972</c:v>
                </c:pt>
                <c:pt idx="55">
                  <c:v>0.81163535910883888</c:v>
                </c:pt>
                <c:pt idx="56">
                  <c:v>0.831641166762915</c:v>
                </c:pt>
                <c:pt idx="57">
                  <c:v>1.0503761773850528</c:v>
                </c:pt>
                <c:pt idx="58">
                  <c:v>1.054743350297936</c:v>
                </c:pt>
                <c:pt idx="59">
                  <c:v>1.0832846397555691</c:v>
                </c:pt>
                <c:pt idx="60">
                  <c:v>2.079060419909263</c:v>
                </c:pt>
                <c:pt idx="61">
                  <c:v>1.1920488297543521</c:v>
                </c:pt>
                <c:pt idx="62">
                  <c:v>0.96231837826141975</c:v>
                </c:pt>
                <c:pt idx="63">
                  <c:v>1.4801983746109653</c:v>
                </c:pt>
                <c:pt idx="64">
                  <c:v>1.1051259354557057</c:v>
                </c:pt>
                <c:pt idx="65">
                  <c:v>1.3762153904695953</c:v>
                </c:pt>
                <c:pt idx="66">
                  <c:v>0.89356947444164114</c:v>
                </c:pt>
                <c:pt idx="67">
                  <c:v>0.88605572955010181</c:v>
                </c:pt>
                <c:pt idx="68">
                  <c:v>0.88730187031012209</c:v>
                </c:pt>
              </c:numCache>
            </c:numRef>
          </c:val>
          <c:smooth val="0"/>
          <c:extLst>
            <c:ext xmlns:c16="http://schemas.microsoft.com/office/drawing/2014/chart" uri="{C3380CC4-5D6E-409C-BE32-E72D297353CC}">
              <c16:uniqueId val="{00000056-2CF6-417D-ACE9-D37385026F04}"/>
            </c:ext>
          </c:extLst>
        </c:ser>
        <c:dLbls>
          <c:showLegendKey val="0"/>
          <c:showVal val="0"/>
          <c:showCatName val="0"/>
          <c:showSerName val="0"/>
          <c:showPercent val="0"/>
          <c:showBubbleSize val="0"/>
        </c:dLbls>
        <c:hiLowLines>
          <c:spPr>
            <a:ln w="9525" cap="flat" cmpd="sng" algn="ctr">
              <a:solidFill>
                <a:schemeClr val="tx1"/>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6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3"/>
        <c:noMultiLvlLbl val="0"/>
      </c:catAx>
      <c:valAx>
        <c:axId val="932351327"/>
        <c:scaling>
          <c:orientation val="minMax"/>
        </c:scaling>
        <c:delete val="0"/>
        <c:axPos val="l"/>
        <c:majorGridlines>
          <c:spPr>
            <a:ln w="9525" cap="flat" cmpd="sng" algn="ctr">
              <a:noFill/>
              <a:round/>
            </a:ln>
            <a:effectLst/>
          </c:spPr>
        </c:majorGridlines>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userShapes r:id="rId2"/>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solidFill>
                <a:srgbClr val="00ABAB"/>
              </a:solidFill>
            </a:ln>
            <a:effectLst/>
          </c:spPr>
          <c:invertIfNegative val="0"/>
          <c:dPt>
            <c:idx val="9"/>
            <c:invertIfNegative val="0"/>
            <c:bubble3D val="0"/>
            <c:spPr>
              <a:solidFill>
                <a:srgbClr val="00ABAB"/>
              </a:solidFill>
              <a:ln>
                <a:solidFill>
                  <a:srgbClr val="00ABAB"/>
                </a:solidFill>
              </a:ln>
              <a:effectLst/>
            </c:spPr>
            <c:extLst>
              <c:ext xmlns:c16="http://schemas.microsoft.com/office/drawing/2014/chart" uri="{C3380CC4-5D6E-409C-BE32-E72D297353CC}">
                <c16:uniqueId val="{00000001-8298-4E42-811E-AE04FA68AB72}"/>
              </c:ext>
            </c:extLst>
          </c:dPt>
          <c:dPt>
            <c:idx val="10"/>
            <c:invertIfNegative val="0"/>
            <c:bubble3D val="0"/>
            <c:spPr>
              <a:solidFill>
                <a:srgbClr val="00ABAB"/>
              </a:solidFill>
              <a:ln>
                <a:solidFill>
                  <a:srgbClr val="00ABAB"/>
                </a:solidFill>
              </a:ln>
              <a:effectLst/>
            </c:spPr>
            <c:extLst>
              <c:ext xmlns:c16="http://schemas.microsoft.com/office/drawing/2014/chart" uri="{C3380CC4-5D6E-409C-BE32-E72D297353CC}">
                <c16:uniqueId val="{00000003-8298-4E42-811E-AE04FA68AB72}"/>
              </c:ext>
            </c:extLst>
          </c:dPt>
          <c:dPt>
            <c:idx val="11"/>
            <c:invertIfNegative val="0"/>
            <c:bubble3D val="0"/>
            <c:spPr>
              <a:solidFill>
                <a:srgbClr val="00ABAB"/>
              </a:solidFill>
              <a:ln>
                <a:solidFill>
                  <a:srgbClr val="00ABAB"/>
                </a:solidFill>
              </a:ln>
              <a:effectLst/>
            </c:spPr>
            <c:extLst>
              <c:ext xmlns:c16="http://schemas.microsoft.com/office/drawing/2014/chart" uri="{C3380CC4-5D6E-409C-BE32-E72D297353CC}">
                <c16:uniqueId val="{00000005-8298-4E42-811E-AE04FA68AB72}"/>
              </c:ext>
            </c:extLst>
          </c:dPt>
          <c:dPt>
            <c:idx val="12"/>
            <c:invertIfNegative val="0"/>
            <c:bubble3D val="0"/>
            <c:spPr>
              <a:solidFill>
                <a:srgbClr val="BFBFBF"/>
              </a:solidFill>
              <a:ln>
                <a:solidFill>
                  <a:srgbClr val="BFBFBF"/>
                </a:solidFill>
              </a:ln>
              <a:effectLst/>
            </c:spPr>
            <c:extLst>
              <c:ext xmlns:c16="http://schemas.microsoft.com/office/drawing/2014/chart" uri="{C3380CC4-5D6E-409C-BE32-E72D297353CC}">
                <c16:uniqueId val="{00000007-8298-4E42-811E-AE04FA68AB72}"/>
              </c:ext>
            </c:extLst>
          </c:dPt>
          <c:dPt>
            <c:idx val="13"/>
            <c:invertIfNegative val="0"/>
            <c:bubble3D val="0"/>
            <c:spPr>
              <a:solidFill>
                <a:srgbClr val="00ABAB"/>
              </a:solidFill>
              <a:ln>
                <a:solidFill>
                  <a:srgbClr val="00ABAB"/>
                </a:solidFill>
              </a:ln>
              <a:effectLst/>
            </c:spPr>
            <c:extLst>
              <c:ext xmlns:c16="http://schemas.microsoft.com/office/drawing/2014/chart" uri="{C3380CC4-5D6E-409C-BE32-E72D297353CC}">
                <c16:uniqueId val="{00000009-8298-4E42-811E-AE04FA68AB72}"/>
              </c:ext>
            </c:extLst>
          </c:dPt>
          <c:cat>
            <c:strRef>
              <c:f>'Comp to Prev_All FOEs (18-20)'!$EQ$13:$FL$13</c:f>
              <c:strCache>
                <c:ptCount val="22"/>
                <c:pt idx="0">
                  <c:v>Environment</c:v>
                </c:pt>
                <c:pt idx="1">
                  <c:v>MixedField</c:v>
                </c:pt>
                <c:pt idx="2">
                  <c:v>Veterinary</c:v>
                </c:pt>
                <c:pt idx="3">
                  <c:v>MedicalStudies</c:v>
                </c:pt>
                <c:pt idx="4">
                  <c:v>OthNat-PhysSci</c:v>
                </c:pt>
                <c:pt idx="5">
                  <c:v>OthAg&amp;Enviro</c:v>
                </c:pt>
                <c:pt idx="6">
                  <c:v>Psych</c:v>
                </c:pt>
                <c:pt idx="7">
                  <c:v>InfoTech</c:v>
                </c:pt>
                <c:pt idx="8">
                  <c:v>OthHealth</c:v>
                </c:pt>
                <c:pt idx="9">
                  <c:v>OtherSoc&amp;Cult</c:v>
                </c:pt>
                <c:pt idx="10">
                  <c:v>Dental</c:v>
                </c:pt>
                <c:pt idx="11">
                  <c:v>Education</c:v>
                </c:pt>
                <c:pt idx="12">
                  <c:v>Total</c:v>
                </c:pt>
                <c:pt idx="13">
                  <c:v>Nursing</c:v>
                </c:pt>
                <c:pt idx="14">
                  <c:v>Archi&amp;Build</c:v>
                </c:pt>
                <c:pt idx="15">
                  <c:v>MathSci</c:v>
                </c:pt>
                <c:pt idx="16">
                  <c:v>Eng&amp;Related</c:v>
                </c:pt>
                <c:pt idx="17">
                  <c:v>Mgmt&amp;Comm</c:v>
                </c:pt>
                <c:pt idx="18">
                  <c:v>Comms&amp;Media</c:v>
                </c:pt>
                <c:pt idx="19">
                  <c:v>MedicalSci</c:v>
                </c:pt>
                <c:pt idx="20">
                  <c:v>ForeignLang</c:v>
                </c:pt>
                <c:pt idx="21">
                  <c:v>OthCreative</c:v>
                </c:pt>
              </c:strCache>
              <c:extLst/>
            </c:strRef>
          </c:cat>
          <c:val>
            <c:numRef>
              <c:f>'Comp to Prev_All FOEs (18-20)'!$EQ$14:$FL$14</c:f>
              <c:numCache>
                <c:formatCode>0.0%</c:formatCode>
                <c:ptCount val="22"/>
                <c:pt idx="0">
                  <c:v>-4.3872314455397077E-2</c:v>
                </c:pt>
                <c:pt idx="1">
                  <c:v>-2.913284114847825E-2</c:v>
                </c:pt>
                <c:pt idx="2">
                  <c:v>-2.6873384962090463E-2</c:v>
                </c:pt>
                <c:pt idx="3">
                  <c:v>-1.2769931055508499E-2</c:v>
                </c:pt>
                <c:pt idx="4">
                  <c:v>-1.1392500178359799E-2</c:v>
                </c:pt>
                <c:pt idx="5">
                  <c:v>6.5163240454602089E-4</c:v>
                </c:pt>
                <c:pt idx="6">
                  <c:v>1.2775609158139911E-3</c:v>
                </c:pt>
                <c:pt idx="7">
                  <c:v>2.0012965681708295E-3</c:v>
                </c:pt>
                <c:pt idx="8">
                  <c:v>3.0026843675323711E-3</c:v>
                </c:pt>
                <c:pt idx="9">
                  <c:v>5.6832457160325145E-3</c:v>
                </c:pt>
                <c:pt idx="10">
                  <c:v>5.9093377793686397E-3</c:v>
                </c:pt>
                <c:pt idx="11">
                  <c:v>6.9909999004855727E-3</c:v>
                </c:pt>
                <c:pt idx="12">
                  <c:v>8.4042745987964462E-3</c:v>
                </c:pt>
                <c:pt idx="13">
                  <c:v>1.2878179983919713E-2</c:v>
                </c:pt>
                <c:pt idx="14">
                  <c:v>1.5202221448994413E-2</c:v>
                </c:pt>
                <c:pt idx="15">
                  <c:v>1.8525498646609462E-2</c:v>
                </c:pt>
                <c:pt idx="16">
                  <c:v>1.8944360222252543E-2</c:v>
                </c:pt>
                <c:pt idx="17" formatCode="0.00%">
                  <c:v>1.9669486379893408E-2</c:v>
                </c:pt>
                <c:pt idx="18">
                  <c:v>2.2533239413449868E-2</c:v>
                </c:pt>
                <c:pt idx="19">
                  <c:v>3.034480558720265E-2</c:v>
                </c:pt>
                <c:pt idx="20">
                  <c:v>3.083285722783291E-2</c:v>
                </c:pt>
                <c:pt idx="21">
                  <c:v>3.474137157861823E-2</c:v>
                </c:pt>
              </c:numCache>
              <c:extLst/>
            </c:numRef>
          </c:val>
          <c:extLst>
            <c:ext xmlns:c16="http://schemas.microsoft.com/office/drawing/2014/chart" uri="{C3380CC4-5D6E-409C-BE32-E72D297353CC}">
              <c16:uniqueId val="{0000000A-8298-4E42-811E-AE04FA68AB72}"/>
            </c:ext>
          </c:extLst>
        </c:ser>
        <c:dLbls>
          <c:showLegendKey val="0"/>
          <c:showVal val="0"/>
          <c:showCatName val="0"/>
          <c:showSerName val="0"/>
          <c:showPercent val="0"/>
          <c:showBubbleSize val="0"/>
        </c:dLbls>
        <c:gapWidth val="100"/>
        <c:axId val="915693023"/>
        <c:axId val="915691775"/>
      </c:barChart>
      <c:catAx>
        <c:axId val="9156930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1775"/>
        <c:crosses val="autoZero"/>
        <c:auto val="1"/>
        <c:lblAlgn val="ctr"/>
        <c:lblOffset val="100"/>
        <c:noMultiLvlLbl val="0"/>
      </c:catAx>
      <c:valAx>
        <c:axId val="915691775"/>
        <c:scaling>
          <c:orientation val="minMax"/>
          <c:min val="-5.000000000000001E-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3023"/>
        <c:crosses val="autoZero"/>
        <c:crossBetween val="between"/>
        <c:majorUnit val="2.5000000000000005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2948381452318"/>
          <c:y val="4.8006241138324732E-2"/>
          <c:w val="0.85181496062992124"/>
          <c:h val="0.72069365760898185"/>
        </c:manualLayout>
      </c:layout>
      <c:stockChart>
        <c:ser>
          <c:idx val="0"/>
          <c:order val="0"/>
          <c:tx>
            <c:strRef>
              <c:f>'[Transparent Costing - Data Compilation - 30-4-2022.xlsx]Comp to Prev_All FOEs (18-20)'!$BW$16</c:f>
              <c:strCache>
                <c:ptCount val="1"/>
                <c:pt idx="0">
                  <c:v>High</c:v>
                </c:pt>
              </c:strCache>
            </c:strRef>
          </c:tx>
          <c:spPr>
            <a:ln w="28575" cap="rnd">
              <a:noFill/>
              <a:round/>
            </a:ln>
            <a:effectLst/>
          </c:spPr>
          <c:marker>
            <c:symbol val="none"/>
          </c:marker>
          <c:dPt>
            <c:idx val="0"/>
            <c:bubble3D val="0"/>
            <c:extLst>
              <c:ext xmlns:c16="http://schemas.microsoft.com/office/drawing/2014/chart" uri="{C3380CC4-5D6E-409C-BE32-E72D297353CC}">
                <c16:uniqueId val="{00000000-25CF-406B-BAC3-43CF6AA7A150}"/>
              </c:ext>
            </c:extLst>
          </c:dPt>
          <c:dPt>
            <c:idx val="2"/>
            <c:bubble3D val="0"/>
            <c:extLst>
              <c:ext xmlns:c16="http://schemas.microsoft.com/office/drawing/2014/chart" uri="{C3380CC4-5D6E-409C-BE32-E72D297353CC}">
                <c16:uniqueId val="{00000001-25CF-406B-BAC3-43CF6AA7A150}"/>
              </c:ext>
            </c:extLst>
          </c:dPt>
          <c:dPt>
            <c:idx val="4"/>
            <c:bubble3D val="0"/>
            <c:extLst>
              <c:ext xmlns:c16="http://schemas.microsoft.com/office/drawing/2014/chart" uri="{C3380CC4-5D6E-409C-BE32-E72D297353CC}">
                <c16:uniqueId val="{00000002-25CF-406B-BAC3-43CF6AA7A150}"/>
              </c:ext>
            </c:extLst>
          </c:dPt>
          <c:dPt>
            <c:idx val="6"/>
            <c:bubble3D val="0"/>
            <c:extLst>
              <c:ext xmlns:c16="http://schemas.microsoft.com/office/drawing/2014/chart" uri="{C3380CC4-5D6E-409C-BE32-E72D297353CC}">
                <c16:uniqueId val="{00000003-25CF-406B-BAC3-43CF6AA7A150}"/>
              </c:ext>
            </c:extLst>
          </c:dPt>
          <c:dPt>
            <c:idx val="8"/>
            <c:bubble3D val="0"/>
            <c:extLst>
              <c:ext xmlns:c16="http://schemas.microsoft.com/office/drawing/2014/chart" uri="{C3380CC4-5D6E-409C-BE32-E72D297353CC}">
                <c16:uniqueId val="{00000004-25CF-406B-BAC3-43CF6AA7A150}"/>
              </c:ext>
            </c:extLst>
          </c:dPt>
          <c:dPt>
            <c:idx val="10"/>
            <c:bubble3D val="0"/>
            <c:extLst>
              <c:ext xmlns:c16="http://schemas.microsoft.com/office/drawing/2014/chart" uri="{C3380CC4-5D6E-409C-BE32-E72D297353CC}">
                <c16:uniqueId val="{00000005-25CF-406B-BAC3-43CF6AA7A150}"/>
              </c:ext>
            </c:extLst>
          </c:dPt>
          <c:dPt>
            <c:idx val="12"/>
            <c:bubble3D val="0"/>
            <c:extLst>
              <c:ext xmlns:c16="http://schemas.microsoft.com/office/drawing/2014/chart" uri="{C3380CC4-5D6E-409C-BE32-E72D297353CC}">
                <c16:uniqueId val="{00000006-25CF-406B-BAC3-43CF6AA7A150}"/>
              </c:ext>
            </c:extLst>
          </c:dPt>
          <c:dPt>
            <c:idx val="14"/>
            <c:bubble3D val="0"/>
            <c:extLst>
              <c:ext xmlns:c16="http://schemas.microsoft.com/office/drawing/2014/chart" uri="{C3380CC4-5D6E-409C-BE32-E72D297353CC}">
                <c16:uniqueId val="{00000007-25CF-406B-BAC3-43CF6AA7A150}"/>
              </c:ext>
            </c:extLst>
          </c:dPt>
          <c:dPt>
            <c:idx val="16"/>
            <c:bubble3D val="0"/>
            <c:extLst>
              <c:ext xmlns:c16="http://schemas.microsoft.com/office/drawing/2014/chart" uri="{C3380CC4-5D6E-409C-BE32-E72D297353CC}">
                <c16:uniqueId val="{00000008-25CF-406B-BAC3-43CF6AA7A150}"/>
              </c:ext>
            </c:extLst>
          </c:dPt>
          <c:dPt>
            <c:idx val="18"/>
            <c:bubble3D val="0"/>
            <c:extLst>
              <c:ext xmlns:c16="http://schemas.microsoft.com/office/drawing/2014/chart" uri="{C3380CC4-5D6E-409C-BE32-E72D297353CC}">
                <c16:uniqueId val="{00000009-25CF-406B-BAC3-43CF6AA7A150}"/>
              </c:ext>
            </c:extLst>
          </c:dPt>
          <c:dPt>
            <c:idx val="20"/>
            <c:bubble3D val="0"/>
            <c:extLst>
              <c:ext xmlns:c16="http://schemas.microsoft.com/office/drawing/2014/chart" uri="{C3380CC4-5D6E-409C-BE32-E72D297353CC}">
                <c16:uniqueId val="{0000000A-25CF-406B-BAC3-43CF6AA7A150}"/>
              </c:ext>
            </c:extLst>
          </c:dPt>
          <c:dPt>
            <c:idx val="22"/>
            <c:bubble3D val="0"/>
            <c:extLst>
              <c:ext xmlns:c16="http://schemas.microsoft.com/office/drawing/2014/chart" uri="{C3380CC4-5D6E-409C-BE32-E72D297353CC}">
                <c16:uniqueId val="{0000000B-25CF-406B-BAC3-43CF6AA7A150}"/>
              </c:ext>
            </c:extLst>
          </c:dPt>
          <c:dPt>
            <c:idx val="24"/>
            <c:bubble3D val="0"/>
            <c:extLst>
              <c:ext xmlns:c16="http://schemas.microsoft.com/office/drawing/2014/chart" uri="{C3380CC4-5D6E-409C-BE32-E72D297353CC}">
                <c16:uniqueId val="{0000000C-25CF-406B-BAC3-43CF6AA7A150}"/>
              </c:ext>
            </c:extLst>
          </c:dPt>
          <c:dPt>
            <c:idx val="26"/>
            <c:bubble3D val="0"/>
            <c:extLst>
              <c:ext xmlns:c16="http://schemas.microsoft.com/office/drawing/2014/chart" uri="{C3380CC4-5D6E-409C-BE32-E72D297353CC}">
                <c16:uniqueId val="{0000000D-25CF-406B-BAC3-43CF6AA7A150}"/>
              </c:ext>
            </c:extLst>
          </c:dPt>
          <c:dPt>
            <c:idx val="28"/>
            <c:bubble3D val="0"/>
            <c:extLst>
              <c:ext xmlns:c16="http://schemas.microsoft.com/office/drawing/2014/chart" uri="{C3380CC4-5D6E-409C-BE32-E72D297353CC}">
                <c16:uniqueId val="{0000000E-25CF-406B-BAC3-43CF6AA7A150}"/>
              </c:ext>
            </c:extLst>
          </c:dPt>
          <c:dPt>
            <c:idx val="30"/>
            <c:bubble3D val="0"/>
            <c:extLst>
              <c:ext xmlns:c16="http://schemas.microsoft.com/office/drawing/2014/chart" uri="{C3380CC4-5D6E-409C-BE32-E72D297353CC}">
                <c16:uniqueId val="{0000000F-25CF-406B-BAC3-43CF6AA7A150}"/>
              </c:ext>
            </c:extLst>
          </c:dPt>
          <c:dPt>
            <c:idx val="32"/>
            <c:bubble3D val="0"/>
            <c:extLst>
              <c:ext xmlns:c16="http://schemas.microsoft.com/office/drawing/2014/chart" uri="{C3380CC4-5D6E-409C-BE32-E72D297353CC}">
                <c16:uniqueId val="{00000010-25CF-406B-BAC3-43CF6AA7A150}"/>
              </c:ext>
            </c:extLst>
          </c:dPt>
          <c:dPt>
            <c:idx val="34"/>
            <c:bubble3D val="0"/>
            <c:extLst>
              <c:ext xmlns:c16="http://schemas.microsoft.com/office/drawing/2014/chart" uri="{C3380CC4-5D6E-409C-BE32-E72D297353CC}">
                <c16:uniqueId val="{00000011-25CF-406B-BAC3-43CF6AA7A150}"/>
              </c:ext>
            </c:extLst>
          </c:dPt>
          <c:dPt>
            <c:idx val="36"/>
            <c:bubble3D val="0"/>
            <c:extLst>
              <c:ext xmlns:c16="http://schemas.microsoft.com/office/drawing/2014/chart" uri="{C3380CC4-5D6E-409C-BE32-E72D297353CC}">
                <c16:uniqueId val="{00000012-25CF-406B-BAC3-43CF6AA7A150}"/>
              </c:ext>
            </c:extLst>
          </c:dPt>
          <c:dPt>
            <c:idx val="38"/>
            <c:bubble3D val="0"/>
            <c:extLst>
              <c:ext xmlns:c16="http://schemas.microsoft.com/office/drawing/2014/chart" uri="{C3380CC4-5D6E-409C-BE32-E72D297353CC}">
                <c16:uniqueId val="{00000013-25CF-406B-BAC3-43CF6AA7A150}"/>
              </c:ext>
            </c:extLst>
          </c:dPt>
          <c:dPt>
            <c:idx val="44"/>
            <c:bubble3D val="0"/>
            <c:extLst>
              <c:ext xmlns:c16="http://schemas.microsoft.com/office/drawing/2014/chart" uri="{C3380CC4-5D6E-409C-BE32-E72D297353CC}">
                <c16:uniqueId val="{00000014-25CF-406B-BAC3-43CF6AA7A150}"/>
              </c:ext>
            </c:extLst>
          </c:dPt>
          <c:dPt>
            <c:idx val="80"/>
            <c:bubble3D val="0"/>
            <c:extLst>
              <c:ext xmlns:c16="http://schemas.microsoft.com/office/drawing/2014/chart" uri="{C3380CC4-5D6E-409C-BE32-E72D297353CC}">
                <c16:uniqueId val="{00000015-25CF-406B-BAC3-43CF6AA7A150}"/>
              </c:ext>
            </c:extLst>
          </c:dPt>
          <c:dPt>
            <c:idx val="81"/>
            <c:bubble3D val="0"/>
            <c:extLst>
              <c:ext xmlns:c16="http://schemas.microsoft.com/office/drawing/2014/chart" uri="{C3380CC4-5D6E-409C-BE32-E72D297353CC}">
                <c16:uniqueId val="{00000016-25CF-406B-BAC3-43CF6AA7A150}"/>
              </c:ext>
            </c:extLst>
          </c:dPt>
          <c:cat>
            <c:strRef>
              <c:f>'[Transparent Costing - Data Compilation - 30-4-2022.xlsx]Comp to Prev_All FOEs (18-20)'!$BX$5:$EN$5</c:f>
              <c:strCache>
                <c:ptCount val="69"/>
                <c:pt idx="0">
                  <c:v>MathSci (n=22)</c:v>
                </c:pt>
                <c:pt idx="1">
                  <c:v> (n=20)</c:v>
                </c:pt>
                <c:pt idx="2">
                  <c:v> (n=19)</c:v>
                </c:pt>
                <c:pt idx="3">
                  <c:v>MedicalSci (n=1)</c:v>
                </c:pt>
                <c:pt idx="4">
                  <c:v> (n=1)</c:v>
                </c:pt>
                <c:pt idx="5">
                  <c:v> (n=1)</c:v>
                </c:pt>
                <c:pt idx="6">
                  <c:v>OthNat-PhysSci (n=19)</c:v>
                </c:pt>
                <c:pt idx="7">
                  <c:v> (n=20)</c:v>
                </c:pt>
                <c:pt idx="8">
                  <c:v> (n=20)</c:v>
                </c:pt>
                <c:pt idx="9">
                  <c:v>InfoTech (n=14)</c:v>
                </c:pt>
                <c:pt idx="10">
                  <c:v> (n=16)</c:v>
                </c:pt>
                <c:pt idx="11">
                  <c:v> (n=22)</c:v>
                </c:pt>
                <c:pt idx="12">
                  <c:v>Eng&amp;Related (n=11)</c:v>
                </c:pt>
                <c:pt idx="13">
                  <c:v> (n=11)</c:v>
                </c:pt>
                <c:pt idx="14">
                  <c:v> (n=14)</c:v>
                </c:pt>
                <c:pt idx="15">
                  <c:v>Archi&amp;Build (n=7)</c:v>
                </c:pt>
                <c:pt idx="16">
                  <c:v> (n=8)</c:v>
                </c:pt>
                <c:pt idx="17">
                  <c:v> (n=10)</c:v>
                </c:pt>
                <c:pt idx="18">
                  <c:v>Environment (n=3)</c:v>
                </c:pt>
                <c:pt idx="19">
                  <c:v> (n=4)</c:v>
                </c:pt>
                <c:pt idx="20">
                  <c:v> (n=4)</c:v>
                </c:pt>
                <c:pt idx="21">
                  <c:v>OthAg&amp;Enviro (n=3)</c:v>
                </c:pt>
                <c:pt idx="22">
                  <c:v> (n=3)</c:v>
                </c:pt>
                <c:pt idx="23">
                  <c:v> (n=4)</c:v>
                </c:pt>
                <c:pt idx="24">
                  <c:v>MedicalStudies (n=1)</c:v>
                </c:pt>
                <c:pt idx="25">
                  <c:v> (n=1)</c:v>
                </c:pt>
                <c:pt idx="26">
                  <c:v> (n=1)</c:v>
                </c:pt>
                <c:pt idx="27">
                  <c:v>Nursing (n=4)</c:v>
                </c:pt>
                <c:pt idx="28">
                  <c:v> (n=4)</c:v>
                </c:pt>
                <c:pt idx="29">
                  <c:v> (n=5)</c:v>
                </c:pt>
                <c:pt idx="30">
                  <c:v>Dental (n=)</c:v>
                </c:pt>
                <c:pt idx="31">
                  <c:v> (n=0)</c:v>
                </c:pt>
                <c:pt idx="32">
                  <c:v> (n=0)</c:v>
                </c:pt>
                <c:pt idx="33">
                  <c:v>Veterinary (n=)</c:v>
                </c:pt>
                <c:pt idx="34">
                  <c:v> (n=0)</c:v>
                </c:pt>
                <c:pt idx="35">
                  <c:v> (n=0)</c:v>
                </c:pt>
                <c:pt idx="36">
                  <c:v>OthHealth (n=8)</c:v>
                </c:pt>
                <c:pt idx="37">
                  <c:v> (n=11)</c:v>
                </c:pt>
                <c:pt idx="38">
                  <c:v> (n=13)</c:v>
                </c:pt>
                <c:pt idx="39">
                  <c:v>Education (n=9)</c:v>
                </c:pt>
                <c:pt idx="40">
                  <c:v> (n=10)</c:v>
                </c:pt>
                <c:pt idx="41">
                  <c:v> (n=14)</c:v>
                </c:pt>
                <c:pt idx="42">
                  <c:v>Mgmt&amp;Comm (n=18)</c:v>
                </c:pt>
                <c:pt idx="43">
                  <c:v> (n=17)</c:v>
                </c:pt>
                <c:pt idx="44">
                  <c:v> (n=18)</c:v>
                </c:pt>
                <c:pt idx="45">
                  <c:v>ForeignLang (n=18)</c:v>
                </c:pt>
                <c:pt idx="46">
                  <c:v> (n=16)</c:v>
                </c:pt>
                <c:pt idx="47">
                  <c:v> (n=15)</c:v>
                </c:pt>
                <c:pt idx="48">
                  <c:v>Psych (n=9)</c:v>
                </c:pt>
                <c:pt idx="49">
                  <c:v> (n=10)</c:v>
                </c:pt>
                <c:pt idx="50">
                  <c:v> (n=14)</c:v>
                </c:pt>
                <c:pt idx="51">
                  <c:v>OtherSoc&amp;Cult (n=25)</c:v>
                </c:pt>
                <c:pt idx="52">
                  <c:v> (n=25)</c:v>
                </c:pt>
                <c:pt idx="53">
                  <c:v> (n=24)</c:v>
                </c:pt>
                <c:pt idx="54">
                  <c:v>Comms&amp;Media (n=15)</c:v>
                </c:pt>
                <c:pt idx="55">
                  <c:v> (n=16)</c:v>
                </c:pt>
                <c:pt idx="56">
                  <c:v> (n=17)</c:v>
                </c:pt>
                <c:pt idx="57">
                  <c:v>OthCreative (n=15)</c:v>
                </c:pt>
                <c:pt idx="58">
                  <c:v> (n=14)</c:v>
                </c:pt>
                <c:pt idx="59">
                  <c:v> (n=13)</c:v>
                </c:pt>
                <c:pt idx="60">
                  <c:v>FoodHosp&amp;Person (n=)</c:v>
                </c:pt>
                <c:pt idx="61">
                  <c:v> (n=0)</c:v>
                </c:pt>
                <c:pt idx="62">
                  <c:v> (n=0)</c:v>
                </c:pt>
                <c:pt idx="63">
                  <c:v>MixedField (n=1)</c:v>
                </c:pt>
                <c:pt idx="64">
                  <c:v> (n=1)</c:v>
                </c:pt>
                <c:pt idx="65">
                  <c:v> (n=2)</c:v>
                </c:pt>
                <c:pt idx="66">
                  <c:v>Total (n=29)</c:v>
                </c:pt>
                <c:pt idx="67">
                  <c:v> (n=29)</c:v>
                </c:pt>
                <c:pt idx="68">
                  <c:v> (n=30)</c:v>
                </c:pt>
              </c:strCache>
            </c:strRef>
          </c:cat>
          <c:val>
            <c:numRef>
              <c:f>'[Transparent Costing - Data Compilation - 30-4-2022.xlsx]Comp to Prev_All FOEs (18-20)'!$BX$16:$EN$16</c:f>
              <c:numCache>
                <c:formatCode>"$"#,##0</c:formatCode>
                <c:ptCount val="69"/>
                <c:pt idx="0">
                  <c:v>22340.764187246103</c:v>
                </c:pt>
                <c:pt idx="1">
                  <c:v>23962.997224883973</c:v>
                </c:pt>
                <c:pt idx="2">
                  <c:v>28666.373868945266</c:v>
                </c:pt>
                <c:pt idx="3">
                  <c:v>24074.267783894684</c:v>
                </c:pt>
                <c:pt idx="4">
                  <c:v>24001.126516801822</c:v>
                </c:pt>
                <c:pt idx="5">
                  <c:v>36351.577492295852</c:v>
                </c:pt>
                <c:pt idx="6">
                  <c:v>29336.065256444304</c:v>
                </c:pt>
                <c:pt idx="7">
                  <c:v>48776.273047036993</c:v>
                </c:pt>
                <c:pt idx="8">
                  <c:v>45027.485388653717</c:v>
                </c:pt>
                <c:pt idx="9">
                  <c:v>29178.506214180969</c:v>
                </c:pt>
                <c:pt idx="10">
                  <c:v>39696.646240768823</c:v>
                </c:pt>
                <c:pt idx="11">
                  <c:v>33980.601959184962</c:v>
                </c:pt>
                <c:pt idx="12">
                  <c:v>34604.326636153099</c:v>
                </c:pt>
                <c:pt idx="13">
                  <c:v>47510.182011175144</c:v>
                </c:pt>
                <c:pt idx="14">
                  <c:v>52265.70456351641</c:v>
                </c:pt>
                <c:pt idx="15">
                  <c:v>25436.669272727271</c:v>
                </c:pt>
                <c:pt idx="16">
                  <c:v>31338.124434353133</c:v>
                </c:pt>
                <c:pt idx="17">
                  <c:v>28066.722381332373</c:v>
                </c:pt>
                <c:pt idx="18">
                  <c:v>31443.042482392306</c:v>
                </c:pt>
                <c:pt idx="19">
                  <c:v>51868.934031916528</c:v>
                </c:pt>
                <c:pt idx="20">
                  <c:v>24817.126669609603</c:v>
                </c:pt>
                <c:pt idx="21">
                  <c:v>33843.033242605263</c:v>
                </c:pt>
                <c:pt idx="22">
                  <c:v>68998.231232082471</c:v>
                </c:pt>
                <c:pt idx="23">
                  <c:v>50696.673968685944</c:v>
                </c:pt>
                <c:pt idx="24">
                  <c:v>16826.022829177462</c:v>
                </c:pt>
                <c:pt idx="25">
                  <c:v>24810.410765988243</c:v>
                </c:pt>
                <c:pt idx="26">
                  <c:v>22967.758780745586</c:v>
                </c:pt>
                <c:pt idx="27">
                  <c:v>20805.892291444579</c:v>
                </c:pt>
                <c:pt idx="28">
                  <c:v>17518.014939872723</c:v>
                </c:pt>
                <c:pt idx="29">
                  <c:v>19084.359445366415</c:v>
                </c:pt>
                <c:pt idx="36">
                  <c:v>30055.895487317306</c:v>
                </c:pt>
                <c:pt idx="37">
                  <c:v>24399.339805507345</c:v>
                </c:pt>
                <c:pt idx="38">
                  <c:v>28666.373868945266</c:v>
                </c:pt>
                <c:pt idx="39">
                  <c:v>24954.174119010317</c:v>
                </c:pt>
                <c:pt idx="40">
                  <c:v>24677.743416136382</c:v>
                </c:pt>
                <c:pt idx="41">
                  <c:v>30836.030310094637</c:v>
                </c:pt>
                <c:pt idx="42">
                  <c:v>29121.322548224605</c:v>
                </c:pt>
                <c:pt idx="43">
                  <c:v>32996.542709610861</c:v>
                </c:pt>
                <c:pt idx="44">
                  <c:v>29920.545894899475</c:v>
                </c:pt>
                <c:pt idx="45">
                  <c:v>37121.50097742318</c:v>
                </c:pt>
                <c:pt idx="46">
                  <c:v>27636.269275055674</c:v>
                </c:pt>
                <c:pt idx="47">
                  <c:v>27145.474165047646</c:v>
                </c:pt>
                <c:pt idx="48">
                  <c:v>19723.644475042525</c:v>
                </c:pt>
                <c:pt idx="49">
                  <c:v>23301.045135688735</c:v>
                </c:pt>
                <c:pt idx="50">
                  <c:v>28666.373868945266</c:v>
                </c:pt>
                <c:pt idx="51">
                  <c:v>22949.605851703403</c:v>
                </c:pt>
                <c:pt idx="52">
                  <c:v>26276.291252050287</c:v>
                </c:pt>
                <c:pt idx="53">
                  <c:v>28666.373868945266</c:v>
                </c:pt>
                <c:pt idx="54">
                  <c:v>27594.871198156685</c:v>
                </c:pt>
                <c:pt idx="55">
                  <c:v>22934.578153927945</c:v>
                </c:pt>
                <c:pt idx="56">
                  <c:v>28740.831982890573</c:v>
                </c:pt>
                <c:pt idx="57">
                  <c:v>40946.224768133274</c:v>
                </c:pt>
                <c:pt idx="58">
                  <c:v>25902.757054045582</c:v>
                </c:pt>
                <c:pt idx="59">
                  <c:v>34632.819174934732</c:v>
                </c:pt>
                <c:pt idx="63">
                  <c:v>13396.142480663088</c:v>
                </c:pt>
                <c:pt idx="64">
                  <c:v>9864.6077138624296</c:v>
                </c:pt>
                <c:pt idx="65">
                  <c:v>9812.2234776741279</c:v>
                </c:pt>
                <c:pt idx="66">
                  <c:v>22982.731556038383</c:v>
                </c:pt>
              </c:numCache>
            </c:numRef>
          </c:val>
          <c:smooth val="0"/>
          <c:extLst>
            <c:ext xmlns:c16="http://schemas.microsoft.com/office/drawing/2014/chart" uri="{C3380CC4-5D6E-409C-BE32-E72D297353CC}">
              <c16:uniqueId val="{00000017-25CF-406B-BAC3-43CF6AA7A150}"/>
            </c:ext>
          </c:extLst>
        </c:ser>
        <c:ser>
          <c:idx val="1"/>
          <c:order val="1"/>
          <c:tx>
            <c:strRef>
              <c:f>'[Transparent Costing - Data Compilation - 30-4-2022.xlsx]Comp to Prev_All FOEs (18-20)'!$BW$17</c:f>
              <c:strCache>
                <c:ptCount val="1"/>
                <c:pt idx="0">
                  <c:v>Low</c:v>
                </c:pt>
              </c:strCache>
            </c:strRef>
          </c:tx>
          <c:spPr>
            <a:ln w="28575" cap="rnd">
              <a:noFill/>
              <a:round/>
            </a:ln>
            <a:effectLst/>
          </c:spPr>
          <c:marker>
            <c:symbol val="none"/>
          </c:marker>
          <c:dPt>
            <c:idx val="0"/>
            <c:bubble3D val="0"/>
            <c:extLst>
              <c:ext xmlns:c16="http://schemas.microsoft.com/office/drawing/2014/chart" uri="{C3380CC4-5D6E-409C-BE32-E72D297353CC}">
                <c16:uniqueId val="{00000018-25CF-406B-BAC3-43CF6AA7A150}"/>
              </c:ext>
            </c:extLst>
          </c:dPt>
          <c:dPt>
            <c:idx val="2"/>
            <c:bubble3D val="0"/>
            <c:extLst>
              <c:ext xmlns:c16="http://schemas.microsoft.com/office/drawing/2014/chart" uri="{C3380CC4-5D6E-409C-BE32-E72D297353CC}">
                <c16:uniqueId val="{00000019-25CF-406B-BAC3-43CF6AA7A150}"/>
              </c:ext>
            </c:extLst>
          </c:dPt>
          <c:dPt>
            <c:idx val="4"/>
            <c:bubble3D val="0"/>
            <c:extLst>
              <c:ext xmlns:c16="http://schemas.microsoft.com/office/drawing/2014/chart" uri="{C3380CC4-5D6E-409C-BE32-E72D297353CC}">
                <c16:uniqueId val="{0000001A-25CF-406B-BAC3-43CF6AA7A150}"/>
              </c:ext>
            </c:extLst>
          </c:dPt>
          <c:dPt>
            <c:idx val="6"/>
            <c:bubble3D val="0"/>
            <c:extLst>
              <c:ext xmlns:c16="http://schemas.microsoft.com/office/drawing/2014/chart" uri="{C3380CC4-5D6E-409C-BE32-E72D297353CC}">
                <c16:uniqueId val="{0000001B-25CF-406B-BAC3-43CF6AA7A150}"/>
              </c:ext>
            </c:extLst>
          </c:dPt>
          <c:dPt>
            <c:idx val="8"/>
            <c:bubble3D val="0"/>
            <c:extLst>
              <c:ext xmlns:c16="http://schemas.microsoft.com/office/drawing/2014/chart" uri="{C3380CC4-5D6E-409C-BE32-E72D297353CC}">
                <c16:uniqueId val="{0000001C-25CF-406B-BAC3-43CF6AA7A150}"/>
              </c:ext>
            </c:extLst>
          </c:dPt>
          <c:dPt>
            <c:idx val="10"/>
            <c:bubble3D val="0"/>
            <c:extLst>
              <c:ext xmlns:c16="http://schemas.microsoft.com/office/drawing/2014/chart" uri="{C3380CC4-5D6E-409C-BE32-E72D297353CC}">
                <c16:uniqueId val="{0000001D-25CF-406B-BAC3-43CF6AA7A150}"/>
              </c:ext>
            </c:extLst>
          </c:dPt>
          <c:dPt>
            <c:idx val="12"/>
            <c:bubble3D val="0"/>
            <c:extLst>
              <c:ext xmlns:c16="http://schemas.microsoft.com/office/drawing/2014/chart" uri="{C3380CC4-5D6E-409C-BE32-E72D297353CC}">
                <c16:uniqueId val="{0000001E-25CF-406B-BAC3-43CF6AA7A150}"/>
              </c:ext>
            </c:extLst>
          </c:dPt>
          <c:dPt>
            <c:idx val="14"/>
            <c:bubble3D val="0"/>
            <c:extLst>
              <c:ext xmlns:c16="http://schemas.microsoft.com/office/drawing/2014/chart" uri="{C3380CC4-5D6E-409C-BE32-E72D297353CC}">
                <c16:uniqueId val="{0000001F-25CF-406B-BAC3-43CF6AA7A150}"/>
              </c:ext>
            </c:extLst>
          </c:dPt>
          <c:dPt>
            <c:idx val="16"/>
            <c:bubble3D val="0"/>
            <c:extLst>
              <c:ext xmlns:c16="http://schemas.microsoft.com/office/drawing/2014/chart" uri="{C3380CC4-5D6E-409C-BE32-E72D297353CC}">
                <c16:uniqueId val="{00000020-25CF-406B-BAC3-43CF6AA7A150}"/>
              </c:ext>
            </c:extLst>
          </c:dPt>
          <c:dPt>
            <c:idx val="18"/>
            <c:bubble3D val="0"/>
            <c:extLst>
              <c:ext xmlns:c16="http://schemas.microsoft.com/office/drawing/2014/chart" uri="{C3380CC4-5D6E-409C-BE32-E72D297353CC}">
                <c16:uniqueId val="{00000021-25CF-406B-BAC3-43CF6AA7A150}"/>
              </c:ext>
            </c:extLst>
          </c:dPt>
          <c:dPt>
            <c:idx val="20"/>
            <c:bubble3D val="0"/>
            <c:extLst>
              <c:ext xmlns:c16="http://schemas.microsoft.com/office/drawing/2014/chart" uri="{C3380CC4-5D6E-409C-BE32-E72D297353CC}">
                <c16:uniqueId val="{00000022-25CF-406B-BAC3-43CF6AA7A150}"/>
              </c:ext>
            </c:extLst>
          </c:dPt>
          <c:dPt>
            <c:idx val="22"/>
            <c:bubble3D val="0"/>
            <c:extLst>
              <c:ext xmlns:c16="http://schemas.microsoft.com/office/drawing/2014/chart" uri="{C3380CC4-5D6E-409C-BE32-E72D297353CC}">
                <c16:uniqueId val="{00000023-25CF-406B-BAC3-43CF6AA7A150}"/>
              </c:ext>
            </c:extLst>
          </c:dPt>
          <c:dPt>
            <c:idx val="24"/>
            <c:bubble3D val="0"/>
            <c:extLst>
              <c:ext xmlns:c16="http://schemas.microsoft.com/office/drawing/2014/chart" uri="{C3380CC4-5D6E-409C-BE32-E72D297353CC}">
                <c16:uniqueId val="{00000024-25CF-406B-BAC3-43CF6AA7A150}"/>
              </c:ext>
            </c:extLst>
          </c:dPt>
          <c:dPt>
            <c:idx val="26"/>
            <c:bubble3D val="0"/>
            <c:extLst>
              <c:ext xmlns:c16="http://schemas.microsoft.com/office/drawing/2014/chart" uri="{C3380CC4-5D6E-409C-BE32-E72D297353CC}">
                <c16:uniqueId val="{00000025-25CF-406B-BAC3-43CF6AA7A150}"/>
              </c:ext>
            </c:extLst>
          </c:dPt>
          <c:dPt>
            <c:idx val="28"/>
            <c:bubble3D val="0"/>
            <c:extLst>
              <c:ext xmlns:c16="http://schemas.microsoft.com/office/drawing/2014/chart" uri="{C3380CC4-5D6E-409C-BE32-E72D297353CC}">
                <c16:uniqueId val="{00000026-25CF-406B-BAC3-43CF6AA7A150}"/>
              </c:ext>
            </c:extLst>
          </c:dPt>
          <c:dPt>
            <c:idx val="30"/>
            <c:bubble3D val="0"/>
            <c:extLst>
              <c:ext xmlns:c16="http://schemas.microsoft.com/office/drawing/2014/chart" uri="{C3380CC4-5D6E-409C-BE32-E72D297353CC}">
                <c16:uniqueId val="{00000027-25CF-406B-BAC3-43CF6AA7A150}"/>
              </c:ext>
            </c:extLst>
          </c:dPt>
          <c:dPt>
            <c:idx val="32"/>
            <c:bubble3D val="0"/>
            <c:extLst>
              <c:ext xmlns:c16="http://schemas.microsoft.com/office/drawing/2014/chart" uri="{C3380CC4-5D6E-409C-BE32-E72D297353CC}">
                <c16:uniqueId val="{00000028-25CF-406B-BAC3-43CF6AA7A150}"/>
              </c:ext>
            </c:extLst>
          </c:dPt>
          <c:dPt>
            <c:idx val="34"/>
            <c:bubble3D val="0"/>
            <c:extLst>
              <c:ext xmlns:c16="http://schemas.microsoft.com/office/drawing/2014/chart" uri="{C3380CC4-5D6E-409C-BE32-E72D297353CC}">
                <c16:uniqueId val="{00000029-25CF-406B-BAC3-43CF6AA7A150}"/>
              </c:ext>
            </c:extLst>
          </c:dPt>
          <c:dPt>
            <c:idx val="36"/>
            <c:bubble3D val="0"/>
            <c:extLst>
              <c:ext xmlns:c16="http://schemas.microsoft.com/office/drawing/2014/chart" uri="{C3380CC4-5D6E-409C-BE32-E72D297353CC}">
                <c16:uniqueId val="{0000002A-25CF-406B-BAC3-43CF6AA7A150}"/>
              </c:ext>
            </c:extLst>
          </c:dPt>
          <c:dPt>
            <c:idx val="38"/>
            <c:bubble3D val="0"/>
            <c:extLst>
              <c:ext xmlns:c16="http://schemas.microsoft.com/office/drawing/2014/chart" uri="{C3380CC4-5D6E-409C-BE32-E72D297353CC}">
                <c16:uniqueId val="{0000002B-25CF-406B-BAC3-43CF6AA7A150}"/>
              </c:ext>
            </c:extLst>
          </c:dPt>
          <c:dPt>
            <c:idx val="41"/>
            <c:bubble3D val="0"/>
            <c:extLst>
              <c:ext xmlns:c16="http://schemas.microsoft.com/office/drawing/2014/chart" uri="{C3380CC4-5D6E-409C-BE32-E72D297353CC}">
                <c16:uniqueId val="{0000002C-25CF-406B-BAC3-43CF6AA7A150}"/>
              </c:ext>
            </c:extLst>
          </c:dPt>
          <c:dPt>
            <c:idx val="44"/>
            <c:bubble3D val="0"/>
            <c:extLst>
              <c:ext xmlns:c16="http://schemas.microsoft.com/office/drawing/2014/chart" uri="{C3380CC4-5D6E-409C-BE32-E72D297353CC}">
                <c16:uniqueId val="{0000002D-25CF-406B-BAC3-43CF6AA7A150}"/>
              </c:ext>
            </c:extLst>
          </c:dPt>
          <c:dPt>
            <c:idx val="45"/>
            <c:bubble3D val="0"/>
            <c:extLst>
              <c:ext xmlns:c16="http://schemas.microsoft.com/office/drawing/2014/chart" uri="{C3380CC4-5D6E-409C-BE32-E72D297353CC}">
                <c16:uniqueId val="{0000002E-25CF-406B-BAC3-43CF6AA7A150}"/>
              </c:ext>
            </c:extLst>
          </c:dPt>
          <c:cat>
            <c:strRef>
              <c:f>'[Transparent Costing - Data Compilation - 30-4-2022.xlsx]Comp to Prev_All FOEs (18-20)'!$BX$5:$EN$5</c:f>
              <c:strCache>
                <c:ptCount val="69"/>
                <c:pt idx="0">
                  <c:v>MathSci (n=22)</c:v>
                </c:pt>
                <c:pt idx="1">
                  <c:v> (n=20)</c:v>
                </c:pt>
                <c:pt idx="2">
                  <c:v> (n=19)</c:v>
                </c:pt>
                <c:pt idx="3">
                  <c:v>MedicalSci (n=1)</c:v>
                </c:pt>
                <c:pt idx="4">
                  <c:v> (n=1)</c:v>
                </c:pt>
                <c:pt idx="5">
                  <c:v> (n=1)</c:v>
                </c:pt>
                <c:pt idx="6">
                  <c:v>OthNat-PhysSci (n=19)</c:v>
                </c:pt>
                <c:pt idx="7">
                  <c:v> (n=20)</c:v>
                </c:pt>
                <c:pt idx="8">
                  <c:v> (n=20)</c:v>
                </c:pt>
                <c:pt idx="9">
                  <c:v>InfoTech (n=14)</c:v>
                </c:pt>
                <c:pt idx="10">
                  <c:v> (n=16)</c:v>
                </c:pt>
                <c:pt idx="11">
                  <c:v> (n=22)</c:v>
                </c:pt>
                <c:pt idx="12">
                  <c:v>Eng&amp;Related (n=11)</c:v>
                </c:pt>
                <c:pt idx="13">
                  <c:v> (n=11)</c:v>
                </c:pt>
                <c:pt idx="14">
                  <c:v> (n=14)</c:v>
                </c:pt>
                <c:pt idx="15">
                  <c:v>Archi&amp;Build (n=7)</c:v>
                </c:pt>
                <c:pt idx="16">
                  <c:v> (n=8)</c:v>
                </c:pt>
                <c:pt idx="17">
                  <c:v> (n=10)</c:v>
                </c:pt>
                <c:pt idx="18">
                  <c:v>Environment (n=3)</c:v>
                </c:pt>
                <c:pt idx="19">
                  <c:v> (n=4)</c:v>
                </c:pt>
                <c:pt idx="20">
                  <c:v> (n=4)</c:v>
                </c:pt>
                <c:pt idx="21">
                  <c:v>OthAg&amp;Enviro (n=3)</c:v>
                </c:pt>
                <c:pt idx="22">
                  <c:v> (n=3)</c:v>
                </c:pt>
                <c:pt idx="23">
                  <c:v> (n=4)</c:v>
                </c:pt>
                <c:pt idx="24">
                  <c:v>MedicalStudies (n=1)</c:v>
                </c:pt>
                <c:pt idx="25">
                  <c:v> (n=1)</c:v>
                </c:pt>
                <c:pt idx="26">
                  <c:v> (n=1)</c:v>
                </c:pt>
                <c:pt idx="27">
                  <c:v>Nursing (n=4)</c:v>
                </c:pt>
                <c:pt idx="28">
                  <c:v> (n=4)</c:v>
                </c:pt>
                <c:pt idx="29">
                  <c:v> (n=5)</c:v>
                </c:pt>
                <c:pt idx="30">
                  <c:v>Dental (n=)</c:v>
                </c:pt>
                <c:pt idx="31">
                  <c:v> (n=0)</c:v>
                </c:pt>
                <c:pt idx="32">
                  <c:v> (n=0)</c:v>
                </c:pt>
                <c:pt idx="33">
                  <c:v>Veterinary (n=)</c:v>
                </c:pt>
                <c:pt idx="34">
                  <c:v> (n=0)</c:v>
                </c:pt>
                <c:pt idx="35">
                  <c:v> (n=0)</c:v>
                </c:pt>
                <c:pt idx="36">
                  <c:v>OthHealth (n=8)</c:v>
                </c:pt>
                <c:pt idx="37">
                  <c:v> (n=11)</c:v>
                </c:pt>
                <c:pt idx="38">
                  <c:v> (n=13)</c:v>
                </c:pt>
                <c:pt idx="39">
                  <c:v>Education (n=9)</c:v>
                </c:pt>
                <c:pt idx="40">
                  <c:v> (n=10)</c:v>
                </c:pt>
                <c:pt idx="41">
                  <c:v> (n=14)</c:v>
                </c:pt>
                <c:pt idx="42">
                  <c:v>Mgmt&amp;Comm (n=18)</c:v>
                </c:pt>
                <c:pt idx="43">
                  <c:v> (n=17)</c:v>
                </c:pt>
                <c:pt idx="44">
                  <c:v> (n=18)</c:v>
                </c:pt>
                <c:pt idx="45">
                  <c:v>ForeignLang (n=18)</c:v>
                </c:pt>
                <c:pt idx="46">
                  <c:v> (n=16)</c:v>
                </c:pt>
                <c:pt idx="47">
                  <c:v> (n=15)</c:v>
                </c:pt>
                <c:pt idx="48">
                  <c:v>Psych (n=9)</c:v>
                </c:pt>
                <c:pt idx="49">
                  <c:v> (n=10)</c:v>
                </c:pt>
                <c:pt idx="50">
                  <c:v> (n=14)</c:v>
                </c:pt>
                <c:pt idx="51">
                  <c:v>OtherSoc&amp;Cult (n=25)</c:v>
                </c:pt>
                <c:pt idx="52">
                  <c:v> (n=25)</c:v>
                </c:pt>
                <c:pt idx="53">
                  <c:v> (n=24)</c:v>
                </c:pt>
                <c:pt idx="54">
                  <c:v>Comms&amp;Media (n=15)</c:v>
                </c:pt>
                <c:pt idx="55">
                  <c:v> (n=16)</c:v>
                </c:pt>
                <c:pt idx="56">
                  <c:v> (n=17)</c:v>
                </c:pt>
                <c:pt idx="57">
                  <c:v>OthCreative (n=15)</c:v>
                </c:pt>
                <c:pt idx="58">
                  <c:v> (n=14)</c:v>
                </c:pt>
                <c:pt idx="59">
                  <c:v> (n=13)</c:v>
                </c:pt>
                <c:pt idx="60">
                  <c:v>FoodHosp&amp;Person (n=)</c:v>
                </c:pt>
                <c:pt idx="61">
                  <c:v> (n=0)</c:v>
                </c:pt>
                <c:pt idx="62">
                  <c:v> (n=0)</c:v>
                </c:pt>
                <c:pt idx="63">
                  <c:v>MixedField (n=1)</c:v>
                </c:pt>
                <c:pt idx="64">
                  <c:v> (n=1)</c:v>
                </c:pt>
                <c:pt idx="65">
                  <c:v> (n=2)</c:v>
                </c:pt>
                <c:pt idx="66">
                  <c:v>Total (n=29)</c:v>
                </c:pt>
                <c:pt idx="67">
                  <c:v> (n=29)</c:v>
                </c:pt>
                <c:pt idx="68">
                  <c:v> (n=30)</c:v>
                </c:pt>
              </c:strCache>
            </c:strRef>
          </c:cat>
          <c:val>
            <c:numRef>
              <c:f>'[Transparent Costing - Data Compilation - 30-4-2022.xlsx]Comp to Prev_All FOEs (18-20)'!$BX$17:$EN$17</c:f>
              <c:numCache>
                <c:formatCode>"$"#,##0</c:formatCode>
                <c:ptCount val="69"/>
                <c:pt idx="0">
                  <c:v>9392.3645552512535</c:v>
                </c:pt>
                <c:pt idx="1">
                  <c:v>11613.785764328712</c:v>
                </c:pt>
                <c:pt idx="2">
                  <c:v>8388.2397072285894</c:v>
                </c:pt>
                <c:pt idx="3">
                  <c:v>24074.267783894684</c:v>
                </c:pt>
                <c:pt idx="4">
                  <c:v>24001.126516801822</c:v>
                </c:pt>
                <c:pt idx="5">
                  <c:v>36351.577492295852</c:v>
                </c:pt>
                <c:pt idx="6">
                  <c:v>9443.2174567665752</c:v>
                </c:pt>
                <c:pt idx="7">
                  <c:v>6999.4262093455809</c:v>
                </c:pt>
                <c:pt idx="8">
                  <c:v>8288.9159959157751</c:v>
                </c:pt>
                <c:pt idx="9">
                  <c:v>13561.928793864161</c:v>
                </c:pt>
                <c:pt idx="10">
                  <c:v>6619.5731852393492</c:v>
                </c:pt>
                <c:pt idx="11">
                  <c:v>3131.7040504824308</c:v>
                </c:pt>
                <c:pt idx="12">
                  <c:v>10364.251811474693</c:v>
                </c:pt>
                <c:pt idx="13">
                  <c:v>11323.845818385693</c:v>
                </c:pt>
                <c:pt idx="14">
                  <c:v>8486.1984876155657</c:v>
                </c:pt>
                <c:pt idx="15">
                  <c:v>11145.789524284821</c:v>
                </c:pt>
                <c:pt idx="16">
                  <c:v>7773.2277474048606</c:v>
                </c:pt>
                <c:pt idx="17">
                  <c:v>6702.6279723200105</c:v>
                </c:pt>
                <c:pt idx="18">
                  <c:v>21409.86952750702</c:v>
                </c:pt>
                <c:pt idx="19">
                  <c:v>16419.526299849069</c:v>
                </c:pt>
                <c:pt idx="20">
                  <c:v>16365.12072025632</c:v>
                </c:pt>
                <c:pt idx="21">
                  <c:v>23044.833894767984</c:v>
                </c:pt>
                <c:pt idx="22">
                  <c:v>24895.689900603778</c:v>
                </c:pt>
                <c:pt idx="23">
                  <c:v>25091.719740971035</c:v>
                </c:pt>
                <c:pt idx="24">
                  <c:v>16826.022829177462</c:v>
                </c:pt>
                <c:pt idx="25">
                  <c:v>24810.410765988243</c:v>
                </c:pt>
                <c:pt idx="26">
                  <c:v>22967.758780745586</c:v>
                </c:pt>
                <c:pt idx="27">
                  <c:v>13623.969656293015</c:v>
                </c:pt>
                <c:pt idx="28">
                  <c:v>13864.666625295349</c:v>
                </c:pt>
                <c:pt idx="29">
                  <c:v>15491.24449152912</c:v>
                </c:pt>
                <c:pt idx="36">
                  <c:v>13252.850092435816</c:v>
                </c:pt>
                <c:pt idx="37">
                  <c:v>7684.4619008657901</c:v>
                </c:pt>
                <c:pt idx="38">
                  <c:v>9744.5956376285503</c:v>
                </c:pt>
                <c:pt idx="39">
                  <c:v>11065.457698240503</c:v>
                </c:pt>
                <c:pt idx="40">
                  <c:v>12031.460753459654</c:v>
                </c:pt>
                <c:pt idx="41">
                  <c:v>2362.4252607832777</c:v>
                </c:pt>
                <c:pt idx="42">
                  <c:v>11316.454826714342</c:v>
                </c:pt>
                <c:pt idx="43">
                  <c:v>8748.9965022039833</c:v>
                </c:pt>
                <c:pt idx="44">
                  <c:v>8351.4346833690033</c:v>
                </c:pt>
                <c:pt idx="45">
                  <c:v>11609.642394391358</c:v>
                </c:pt>
                <c:pt idx="46">
                  <c:v>7599.6810615312506</c:v>
                </c:pt>
                <c:pt idx="47">
                  <c:v>7736.8640050865433</c:v>
                </c:pt>
                <c:pt idx="48">
                  <c:v>10133.369399476031</c:v>
                </c:pt>
                <c:pt idx="49">
                  <c:v>7387.3744353376342</c:v>
                </c:pt>
                <c:pt idx="50">
                  <c:v>5296.8164360144638</c:v>
                </c:pt>
                <c:pt idx="51">
                  <c:v>10278.559651311571</c:v>
                </c:pt>
                <c:pt idx="52">
                  <c:v>9116.2453870666777</c:v>
                </c:pt>
                <c:pt idx="53">
                  <c:v>5317.2091131574325</c:v>
                </c:pt>
                <c:pt idx="54">
                  <c:v>11631.627071823204</c:v>
                </c:pt>
                <c:pt idx="55">
                  <c:v>7161.4614855719692</c:v>
                </c:pt>
                <c:pt idx="56">
                  <c:v>8885.6795644919366</c:v>
                </c:pt>
                <c:pt idx="57">
                  <c:v>13074.429931987061</c:v>
                </c:pt>
                <c:pt idx="58">
                  <c:v>7643.5795292311359</c:v>
                </c:pt>
                <c:pt idx="59">
                  <c:v>9122.1052501447684</c:v>
                </c:pt>
                <c:pt idx="63">
                  <c:v>13396.142480663088</c:v>
                </c:pt>
                <c:pt idx="64">
                  <c:v>9864.6077138624296</c:v>
                </c:pt>
                <c:pt idx="65">
                  <c:v>4225.3287552675502</c:v>
                </c:pt>
                <c:pt idx="66">
                  <c:v>11398.291185412929</c:v>
                </c:pt>
              </c:numCache>
            </c:numRef>
          </c:val>
          <c:smooth val="0"/>
          <c:extLst>
            <c:ext xmlns:c16="http://schemas.microsoft.com/office/drawing/2014/chart" uri="{C3380CC4-5D6E-409C-BE32-E72D297353CC}">
              <c16:uniqueId val="{0000002F-25CF-406B-BAC3-43CF6AA7A150}"/>
            </c:ext>
          </c:extLst>
        </c:ser>
        <c:ser>
          <c:idx val="2"/>
          <c:order val="2"/>
          <c:tx>
            <c:strRef>
              <c:f>'[Transparent Costing - Data Compilation - 30-4-2022.xlsx]Comp to Prev_All FOEs (18-20)'!$BW$18</c:f>
              <c:strCache>
                <c:ptCount val="1"/>
                <c:pt idx="0">
                  <c:v>Mean</c:v>
                </c:pt>
              </c:strCache>
            </c:strRef>
          </c:tx>
          <c:spPr>
            <a:ln w="28575" cap="rnd">
              <a:noFill/>
              <a:round/>
            </a:ln>
            <a:effectLst/>
          </c:spPr>
          <c:marker>
            <c:symbol val="diamond"/>
            <c:size val="7"/>
            <c:spPr>
              <a:solidFill>
                <a:srgbClr val="00ABAB"/>
              </a:solidFill>
              <a:ln w="9525">
                <a:noFill/>
              </a:ln>
              <a:effectLst/>
            </c:spPr>
          </c:marker>
          <c:dPt>
            <c:idx val="0"/>
            <c:marker>
              <c:spPr>
                <a:solidFill>
                  <a:srgbClr val="BFBFBF"/>
                </a:solidFill>
                <a:ln w="9525">
                  <a:noFill/>
                </a:ln>
                <a:effectLst/>
              </c:spPr>
            </c:marker>
            <c:bubble3D val="0"/>
            <c:extLst>
              <c:ext xmlns:c16="http://schemas.microsoft.com/office/drawing/2014/chart" uri="{C3380CC4-5D6E-409C-BE32-E72D297353CC}">
                <c16:uniqueId val="{00000030-25CF-406B-BAC3-43CF6AA7A150}"/>
              </c:ext>
            </c:extLst>
          </c:dPt>
          <c:dPt>
            <c:idx val="1"/>
            <c:marker>
              <c:spPr>
                <a:solidFill>
                  <a:schemeClr val="tx2"/>
                </a:solidFill>
                <a:ln w="9525">
                  <a:noFill/>
                </a:ln>
                <a:effectLst/>
              </c:spPr>
            </c:marker>
            <c:bubble3D val="0"/>
            <c:extLst>
              <c:ext xmlns:c16="http://schemas.microsoft.com/office/drawing/2014/chart" uri="{C3380CC4-5D6E-409C-BE32-E72D297353CC}">
                <c16:uniqueId val="{00000031-25CF-406B-BAC3-43CF6AA7A150}"/>
              </c:ext>
            </c:extLst>
          </c:dPt>
          <c:dPt>
            <c:idx val="2"/>
            <c:marker>
              <c:spPr>
                <a:solidFill>
                  <a:schemeClr val="accent5"/>
                </a:solidFill>
                <a:ln w="31750">
                  <a:noFill/>
                </a:ln>
                <a:effectLst/>
              </c:spPr>
            </c:marker>
            <c:bubble3D val="0"/>
            <c:extLst>
              <c:ext xmlns:c16="http://schemas.microsoft.com/office/drawing/2014/chart" uri="{C3380CC4-5D6E-409C-BE32-E72D297353CC}">
                <c16:uniqueId val="{00000032-25CF-406B-BAC3-43CF6AA7A150}"/>
              </c:ext>
            </c:extLst>
          </c:dPt>
          <c:dPt>
            <c:idx val="3"/>
            <c:marker>
              <c:spPr>
                <a:solidFill>
                  <a:srgbClr val="BFBFBF"/>
                </a:solidFill>
                <a:ln w="9525">
                  <a:noFill/>
                </a:ln>
                <a:effectLst/>
              </c:spPr>
            </c:marker>
            <c:bubble3D val="0"/>
            <c:extLst>
              <c:ext xmlns:c16="http://schemas.microsoft.com/office/drawing/2014/chart" uri="{C3380CC4-5D6E-409C-BE32-E72D297353CC}">
                <c16:uniqueId val="{00000033-25CF-406B-BAC3-43CF6AA7A150}"/>
              </c:ext>
            </c:extLst>
          </c:dPt>
          <c:dPt>
            <c:idx val="4"/>
            <c:marker>
              <c:spPr>
                <a:solidFill>
                  <a:schemeClr val="tx2"/>
                </a:solidFill>
                <a:ln w="9525">
                  <a:noFill/>
                </a:ln>
                <a:effectLst/>
              </c:spPr>
            </c:marker>
            <c:bubble3D val="0"/>
            <c:extLst>
              <c:ext xmlns:c16="http://schemas.microsoft.com/office/drawing/2014/chart" uri="{C3380CC4-5D6E-409C-BE32-E72D297353CC}">
                <c16:uniqueId val="{00000034-25CF-406B-BAC3-43CF6AA7A150}"/>
              </c:ext>
            </c:extLst>
          </c:dPt>
          <c:dPt>
            <c:idx val="5"/>
            <c:marker>
              <c:spPr>
                <a:solidFill>
                  <a:srgbClr val="53565A"/>
                </a:solidFill>
                <a:ln w="9525">
                  <a:noFill/>
                </a:ln>
                <a:effectLst/>
              </c:spPr>
            </c:marker>
            <c:bubble3D val="0"/>
            <c:extLst>
              <c:ext xmlns:c16="http://schemas.microsoft.com/office/drawing/2014/chart" uri="{C3380CC4-5D6E-409C-BE32-E72D297353CC}">
                <c16:uniqueId val="{00000035-25CF-406B-BAC3-43CF6AA7A150}"/>
              </c:ext>
            </c:extLst>
          </c:dPt>
          <c:dPt>
            <c:idx val="6"/>
            <c:marker>
              <c:spPr>
                <a:solidFill>
                  <a:srgbClr val="BFBFBF"/>
                </a:solidFill>
                <a:ln w="9525">
                  <a:noFill/>
                </a:ln>
                <a:effectLst/>
              </c:spPr>
            </c:marker>
            <c:bubble3D val="0"/>
            <c:extLst>
              <c:ext xmlns:c16="http://schemas.microsoft.com/office/drawing/2014/chart" uri="{C3380CC4-5D6E-409C-BE32-E72D297353CC}">
                <c16:uniqueId val="{00000036-25CF-406B-BAC3-43CF6AA7A150}"/>
              </c:ext>
            </c:extLst>
          </c:dPt>
          <c:dPt>
            <c:idx val="7"/>
            <c:marker>
              <c:spPr>
                <a:solidFill>
                  <a:schemeClr val="tx2"/>
                </a:solidFill>
                <a:ln w="9525">
                  <a:noFill/>
                </a:ln>
                <a:effectLst/>
              </c:spPr>
            </c:marker>
            <c:bubble3D val="0"/>
            <c:extLst>
              <c:ext xmlns:c16="http://schemas.microsoft.com/office/drawing/2014/chart" uri="{C3380CC4-5D6E-409C-BE32-E72D297353CC}">
                <c16:uniqueId val="{00000037-25CF-406B-BAC3-43CF6AA7A150}"/>
              </c:ext>
            </c:extLst>
          </c:dPt>
          <c:dPt>
            <c:idx val="8"/>
            <c:marker>
              <c:spPr>
                <a:solidFill>
                  <a:srgbClr val="53565A"/>
                </a:solidFill>
                <a:ln w="9525">
                  <a:noFill/>
                </a:ln>
                <a:effectLst/>
              </c:spPr>
            </c:marker>
            <c:bubble3D val="0"/>
            <c:extLst>
              <c:ext xmlns:c16="http://schemas.microsoft.com/office/drawing/2014/chart" uri="{C3380CC4-5D6E-409C-BE32-E72D297353CC}">
                <c16:uniqueId val="{00000038-25CF-406B-BAC3-43CF6AA7A150}"/>
              </c:ext>
            </c:extLst>
          </c:dPt>
          <c:dPt>
            <c:idx val="9"/>
            <c:marker>
              <c:spPr>
                <a:solidFill>
                  <a:srgbClr val="BFBFBF"/>
                </a:solidFill>
                <a:ln w="9525">
                  <a:noFill/>
                </a:ln>
                <a:effectLst/>
              </c:spPr>
            </c:marker>
            <c:bubble3D val="0"/>
            <c:extLst>
              <c:ext xmlns:c16="http://schemas.microsoft.com/office/drawing/2014/chart" uri="{C3380CC4-5D6E-409C-BE32-E72D297353CC}">
                <c16:uniqueId val="{00000039-25CF-406B-BAC3-43CF6AA7A150}"/>
              </c:ext>
            </c:extLst>
          </c:dPt>
          <c:dPt>
            <c:idx val="10"/>
            <c:marker>
              <c:spPr>
                <a:solidFill>
                  <a:schemeClr val="tx2"/>
                </a:solidFill>
                <a:ln w="9525">
                  <a:noFill/>
                </a:ln>
                <a:effectLst/>
              </c:spPr>
            </c:marker>
            <c:bubble3D val="0"/>
            <c:extLst>
              <c:ext xmlns:c16="http://schemas.microsoft.com/office/drawing/2014/chart" uri="{C3380CC4-5D6E-409C-BE32-E72D297353CC}">
                <c16:uniqueId val="{0000003A-25CF-406B-BAC3-43CF6AA7A150}"/>
              </c:ext>
            </c:extLst>
          </c:dPt>
          <c:dPt>
            <c:idx val="11"/>
            <c:marker>
              <c:spPr>
                <a:solidFill>
                  <a:srgbClr val="53565A"/>
                </a:solidFill>
                <a:ln w="9525">
                  <a:noFill/>
                </a:ln>
                <a:effectLst/>
              </c:spPr>
            </c:marker>
            <c:bubble3D val="0"/>
            <c:extLst>
              <c:ext xmlns:c16="http://schemas.microsoft.com/office/drawing/2014/chart" uri="{C3380CC4-5D6E-409C-BE32-E72D297353CC}">
                <c16:uniqueId val="{0000003B-25CF-406B-BAC3-43CF6AA7A150}"/>
              </c:ext>
            </c:extLst>
          </c:dPt>
          <c:dPt>
            <c:idx val="12"/>
            <c:marker>
              <c:spPr>
                <a:solidFill>
                  <a:srgbClr val="BFBFBF"/>
                </a:solidFill>
                <a:ln w="9525">
                  <a:noFill/>
                </a:ln>
                <a:effectLst/>
              </c:spPr>
            </c:marker>
            <c:bubble3D val="0"/>
            <c:extLst>
              <c:ext xmlns:c16="http://schemas.microsoft.com/office/drawing/2014/chart" uri="{C3380CC4-5D6E-409C-BE32-E72D297353CC}">
                <c16:uniqueId val="{0000003C-25CF-406B-BAC3-43CF6AA7A150}"/>
              </c:ext>
            </c:extLst>
          </c:dPt>
          <c:dPt>
            <c:idx val="13"/>
            <c:marker>
              <c:spPr>
                <a:solidFill>
                  <a:schemeClr val="tx2"/>
                </a:solidFill>
                <a:ln w="9525">
                  <a:noFill/>
                </a:ln>
                <a:effectLst/>
              </c:spPr>
            </c:marker>
            <c:bubble3D val="0"/>
            <c:extLst>
              <c:ext xmlns:c16="http://schemas.microsoft.com/office/drawing/2014/chart" uri="{C3380CC4-5D6E-409C-BE32-E72D297353CC}">
                <c16:uniqueId val="{0000003D-25CF-406B-BAC3-43CF6AA7A150}"/>
              </c:ext>
            </c:extLst>
          </c:dPt>
          <c:dPt>
            <c:idx val="14"/>
            <c:marker>
              <c:spPr>
                <a:solidFill>
                  <a:srgbClr val="53565A"/>
                </a:solidFill>
                <a:ln w="9525">
                  <a:noFill/>
                </a:ln>
                <a:effectLst/>
              </c:spPr>
            </c:marker>
            <c:bubble3D val="0"/>
            <c:extLst>
              <c:ext xmlns:c16="http://schemas.microsoft.com/office/drawing/2014/chart" uri="{C3380CC4-5D6E-409C-BE32-E72D297353CC}">
                <c16:uniqueId val="{0000003E-25CF-406B-BAC3-43CF6AA7A150}"/>
              </c:ext>
            </c:extLst>
          </c:dPt>
          <c:dPt>
            <c:idx val="15"/>
            <c:marker>
              <c:spPr>
                <a:solidFill>
                  <a:srgbClr val="BFBFBF"/>
                </a:solidFill>
                <a:ln w="9525">
                  <a:noFill/>
                </a:ln>
                <a:effectLst/>
              </c:spPr>
            </c:marker>
            <c:bubble3D val="0"/>
            <c:extLst>
              <c:ext xmlns:c16="http://schemas.microsoft.com/office/drawing/2014/chart" uri="{C3380CC4-5D6E-409C-BE32-E72D297353CC}">
                <c16:uniqueId val="{0000003F-25CF-406B-BAC3-43CF6AA7A150}"/>
              </c:ext>
            </c:extLst>
          </c:dPt>
          <c:dPt>
            <c:idx val="16"/>
            <c:marker>
              <c:spPr>
                <a:solidFill>
                  <a:schemeClr val="tx2"/>
                </a:solidFill>
                <a:ln w="9525">
                  <a:noFill/>
                </a:ln>
                <a:effectLst/>
              </c:spPr>
            </c:marker>
            <c:bubble3D val="0"/>
            <c:extLst>
              <c:ext xmlns:c16="http://schemas.microsoft.com/office/drawing/2014/chart" uri="{C3380CC4-5D6E-409C-BE32-E72D297353CC}">
                <c16:uniqueId val="{00000040-25CF-406B-BAC3-43CF6AA7A150}"/>
              </c:ext>
            </c:extLst>
          </c:dPt>
          <c:dPt>
            <c:idx val="17"/>
            <c:marker>
              <c:spPr>
                <a:solidFill>
                  <a:srgbClr val="53565A"/>
                </a:solidFill>
                <a:ln w="9525">
                  <a:noFill/>
                </a:ln>
                <a:effectLst/>
              </c:spPr>
            </c:marker>
            <c:bubble3D val="0"/>
            <c:extLst>
              <c:ext xmlns:c16="http://schemas.microsoft.com/office/drawing/2014/chart" uri="{C3380CC4-5D6E-409C-BE32-E72D297353CC}">
                <c16:uniqueId val="{00000041-25CF-406B-BAC3-43CF6AA7A150}"/>
              </c:ext>
            </c:extLst>
          </c:dPt>
          <c:dPt>
            <c:idx val="18"/>
            <c:marker>
              <c:spPr>
                <a:solidFill>
                  <a:srgbClr val="BFBFBF"/>
                </a:solidFill>
                <a:ln w="9525">
                  <a:noFill/>
                </a:ln>
                <a:effectLst/>
              </c:spPr>
            </c:marker>
            <c:bubble3D val="0"/>
            <c:extLst>
              <c:ext xmlns:c16="http://schemas.microsoft.com/office/drawing/2014/chart" uri="{C3380CC4-5D6E-409C-BE32-E72D297353CC}">
                <c16:uniqueId val="{00000042-25CF-406B-BAC3-43CF6AA7A150}"/>
              </c:ext>
            </c:extLst>
          </c:dPt>
          <c:dPt>
            <c:idx val="19"/>
            <c:marker>
              <c:spPr>
                <a:solidFill>
                  <a:schemeClr val="tx2"/>
                </a:solidFill>
                <a:ln w="9525">
                  <a:noFill/>
                </a:ln>
                <a:effectLst/>
              </c:spPr>
            </c:marker>
            <c:bubble3D val="0"/>
            <c:extLst>
              <c:ext xmlns:c16="http://schemas.microsoft.com/office/drawing/2014/chart" uri="{C3380CC4-5D6E-409C-BE32-E72D297353CC}">
                <c16:uniqueId val="{00000043-25CF-406B-BAC3-43CF6AA7A150}"/>
              </c:ext>
            </c:extLst>
          </c:dPt>
          <c:dPt>
            <c:idx val="20"/>
            <c:marker>
              <c:spPr>
                <a:solidFill>
                  <a:srgbClr val="53565A"/>
                </a:solidFill>
                <a:ln w="9525">
                  <a:noFill/>
                </a:ln>
                <a:effectLst/>
              </c:spPr>
            </c:marker>
            <c:bubble3D val="0"/>
            <c:extLst>
              <c:ext xmlns:c16="http://schemas.microsoft.com/office/drawing/2014/chart" uri="{C3380CC4-5D6E-409C-BE32-E72D297353CC}">
                <c16:uniqueId val="{00000044-25CF-406B-BAC3-43CF6AA7A150}"/>
              </c:ext>
            </c:extLst>
          </c:dPt>
          <c:dPt>
            <c:idx val="21"/>
            <c:marker>
              <c:spPr>
                <a:solidFill>
                  <a:srgbClr val="BFBFBF"/>
                </a:solidFill>
                <a:ln w="9525">
                  <a:noFill/>
                </a:ln>
                <a:effectLst/>
              </c:spPr>
            </c:marker>
            <c:bubble3D val="0"/>
            <c:extLst>
              <c:ext xmlns:c16="http://schemas.microsoft.com/office/drawing/2014/chart" uri="{C3380CC4-5D6E-409C-BE32-E72D297353CC}">
                <c16:uniqueId val="{00000045-25CF-406B-BAC3-43CF6AA7A150}"/>
              </c:ext>
            </c:extLst>
          </c:dPt>
          <c:dPt>
            <c:idx val="22"/>
            <c:marker>
              <c:spPr>
                <a:solidFill>
                  <a:schemeClr val="tx2"/>
                </a:solidFill>
                <a:ln w="9525">
                  <a:noFill/>
                </a:ln>
                <a:effectLst/>
              </c:spPr>
            </c:marker>
            <c:bubble3D val="0"/>
            <c:extLst>
              <c:ext xmlns:c16="http://schemas.microsoft.com/office/drawing/2014/chart" uri="{C3380CC4-5D6E-409C-BE32-E72D297353CC}">
                <c16:uniqueId val="{00000046-25CF-406B-BAC3-43CF6AA7A150}"/>
              </c:ext>
            </c:extLst>
          </c:dPt>
          <c:dPt>
            <c:idx val="23"/>
            <c:marker>
              <c:spPr>
                <a:solidFill>
                  <a:srgbClr val="53565A"/>
                </a:solidFill>
                <a:ln w="9525">
                  <a:noFill/>
                </a:ln>
                <a:effectLst/>
              </c:spPr>
            </c:marker>
            <c:bubble3D val="0"/>
            <c:extLst>
              <c:ext xmlns:c16="http://schemas.microsoft.com/office/drawing/2014/chart" uri="{C3380CC4-5D6E-409C-BE32-E72D297353CC}">
                <c16:uniqueId val="{00000047-25CF-406B-BAC3-43CF6AA7A150}"/>
              </c:ext>
            </c:extLst>
          </c:dPt>
          <c:dPt>
            <c:idx val="24"/>
            <c:marker>
              <c:spPr>
                <a:solidFill>
                  <a:srgbClr val="BFBFBF"/>
                </a:solidFill>
                <a:ln w="9525">
                  <a:noFill/>
                </a:ln>
                <a:effectLst/>
              </c:spPr>
            </c:marker>
            <c:bubble3D val="0"/>
            <c:extLst>
              <c:ext xmlns:c16="http://schemas.microsoft.com/office/drawing/2014/chart" uri="{C3380CC4-5D6E-409C-BE32-E72D297353CC}">
                <c16:uniqueId val="{00000048-25CF-406B-BAC3-43CF6AA7A150}"/>
              </c:ext>
            </c:extLst>
          </c:dPt>
          <c:dPt>
            <c:idx val="25"/>
            <c:marker>
              <c:spPr>
                <a:solidFill>
                  <a:schemeClr val="tx2"/>
                </a:solidFill>
                <a:ln w="9525">
                  <a:noFill/>
                </a:ln>
                <a:effectLst/>
              </c:spPr>
            </c:marker>
            <c:bubble3D val="0"/>
            <c:extLst>
              <c:ext xmlns:c16="http://schemas.microsoft.com/office/drawing/2014/chart" uri="{C3380CC4-5D6E-409C-BE32-E72D297353CC}">
                <c16:uniqueId val="{00000049-25CF-406B-BAC3-43CF6AA7A150}"/>
              </c:ext>
            </c:extLst>
          </c:dPt>
          <c:dPt>
            <c:idx val="26"/>
            <c:marker>
              <c:spPr>
                <a:solidFill>
                  <a:srgbClr val="53565A"/>
                </a:solidFill>
                <a:ln w="9525">
                  <a:noFill/>
                </a:ln>
                <a:effectLst/>
              </c:spPr>
            </c:marker>
            <c:bubble3D val="0"/>
            <c:extLst>
              <c:ext xmlns:c16="http://schemas.microsoft.com/office/drawing/2014/chart" uri="{C3380CC4-5D6E-409C-BE32-E72D297353CC}">
                <c16:uniqueId val="{0000004A-25CF-406B-BAC3-43CF6AA7A150}"/>
              </c:ext>
            </c:extLst>
          </c:dPt>
          <c:dPt>
            <c:idx val="27"/>
            <c:marker>
              <c:spPr>
                <a:solidFill>
                  <a:srgbClr val="BFBFBF"/>
                </a:solidFill>
                <a:ln w="9525">
                  <a:noFill/>
                </a:ln>
                <a:effectLst/>
              </c:spPr>
            </c:marker>
            <c:bubble3D val="0"/>
            <c:extLst>
              <c:ext xmlns:c16="http://schemas.microsoft.com/office/drawing/2014/chart" uri="{C3380CC4-5D6E-409C-BE32-E72D297353CC}">
                <c16:uniqueId val="{0000004B-25CF-406B-BAC3-43CF6AA7A150}"/>
              </c:ext>
            </c:extLst>
          </c:dPt>
          <c:dPt>
            <c:idx val="28"/>
            <c:marker>
              <c:spPr>
                <a:solidFill>
                  <a:schemeClr val="tx2"/>
                </a:solidFill>
                <a:ln w="9525">
                  <a:noFill/>
                </a:ln>
                <a:effectLst/>
              </c:spPr>
            </c:marker>
            <c:bubble3D val="0"/>
            <c:extLst>
              <c:ext xmlns:c16="http://schemas.microsoft.com/office/drawing/2014/chart" uri="{C3380CC4-5D6E-409C-BE32-E72D297353CC}">
                <c16:uniqueId val="{0000004C-25CF-406B-BAC3-43CF6AA7A150}"/>
              </c:ext>
            </c:extLst>
          </c:dPt>
          <c:dPt>
            <c:idx val="29"/>
            <c:marker>
              <c:spPr>
                <a:solidFill>
                  <a:srgbClr val="53565A"/>
                </a:solidFill>
                <a:ln w="9525">
                  <a:noFill/>
                </a:ln>
                <a:effectLst/>
              </c:spPr>
            </c:marker>
            <c:bubble3D val="0"/>
            <c:extLst>
              <c:ext xmlns:c16="http://schemas.microsoft.com/office/drawing/2014/chart" uri="{C3380CC4-5D6E-409C-BE32-E72D297353CC}">
                <c16:uniqueId val="{0000004D-25CF-406B-BAC3-43CF6AA7A150}"/>
              </c:ext>
            </c:extLst>
          </c:dPt>
          <c:dPt>
            <c:idx val="30"/>
            <c:bubble3D val="0"/>
            <c:extLst>
              <c:ext xmlns:c16="http://schemas.microsoft.com/office/drawing/2014/chart" uri="{C3380CC4-5D6E-409C-BE32-E72D297353CC}">
                <c16:uniqueId val="{0000004E-25CF-406B-BAC3-43CF6AA7A150}"/>
              </c:ext>
            </c:extLst>
          </c:dPt>
          <c:dPt>
            <c:idx val="31"/>
            <c:bubble3D val="0"/>
            <c:extLst>
              <c:ext xmlns:c16="http://schemas.microsoft.com/office/drawing/2014/chart" uri="{C3380CC4-5D6E-409C-BE32-E72D297353CC}">
                <c16:uniqueId val="{0000004F-25CF-406B-BAC3-43CF6AA7A150}"/>
              </c:ext>
            </c:extLst>
          </c:dPt>
          <c:dPt>
            <c:idx val="32"/>
            <c:bubble3D val="0"/>
            <c:extLst>
              <c:ext xmlns:c16="http://schemas.microsoft.com/office/drawing/2014/chart" uri="{C3380CC4-5D6E-409C-BE32-E72D297353CC}">
                <c16:uniqueId val="{00000050-25CF-406B-BAC3-43CF6AA7A150}"/>
              </c:ext>
            </c:extLst>
          </c:dPt>
          <c:dPt>
            <c:idx val="33"/>
            <c:bubble3D val="0"/>
            <c:extLst>
              <c:ext xmlns:c16="http://schemas.microsoft.com/office/drawing/2014/chart" uri="{C3380CC4-5D6E-409C-BE32-E72D297353CC}">
                <c16:uniqueId val="{00000051-25CF-406B-BAC3-43CF6AA7A150}"/>
              </c:ext>
            </c:extLst>
          </c:dPt>
          <c:dPt>
            <c:idx val="34"/>
            <c:bubble3D val="0"/>
            <c:extLst>
              <c:ext xmlns:c16="http://schemas.microsoft.com/office/drawing/2014/chart" uri="{C3380CC4-5D6E-409C-BE32-E72D297353CC}">
                <c16:uniqueId val="{00000052-25CF-406B-BAC3-43CF6AA7A150}"/>
              </c:ext>
            </c:extLst>
          </c:dPt>
          <c:dPt>
            <c:idx val="35"/>
            <c:bubble3D val="0"/>
            <c:extLst>
              <c:ext xmlns:c16="http://schemas.microsoft.com/office/drawing/2014/chart" uri="{C3380CC4-5D6E-409C-BE32-E72D297353CC}">
                <c16:uniqueId val="{00000053-25CF-406B-BAC3-43CF6AA7A150}"/>
              </c:ext>
            </c:extLst>
          </c:dPt>
          <c:dPt>
            <c:idx val="36"/>
            <c:marker>
              <c:spPr>
                <a:solidFill>
                  <a:srgbClr val="BFBFBF"/>
                </a:solidFill>
                <a:ln w="9525">
                  <a:noFill/>
                </a:ln>
                <a:effectLst/>
              </c:spPr>
            </c:marker>
            <c:bubble3D val="0"/>
            <c:extLst>
              <c:ext xmlns:c16="http://schemas.microsoft.com/office/drawing/2014/chart" uri="{C3380CC4-5D6E-409C-BE32-E72D297353CC}">
                <c16:uniqueId val="{00000054-25CF-406B-BAC3-43CF6AA7A150}"/>
              </c:ext>
            </c:extLst>
          </c:dPt>
          <c:dPt>
            <c:idx val="37"/>
            <c:marker>
              <c:spPr>
                <a:solidFill>
                  <a:schemeClr val="tx2"/>
                </a:solidFill>
                <a:ln w="9525">
                  <a:noFill/>
                </a:ln>
                <a:effectLst/>
              </c:spPr>
            </c:marker>
            <c:bubble3D val="0"/>
            <c:extLst>
              <c:ext xmlns:c16="http://schemas.microsoft.com/office/drawing/2014/chart" uri="{C3380CC4-5D6E-409C-BE32-E72D297353CC}">
                <c16:uniqueId val="{00000055-25CF-406B-BAC3-43CF6AA7A150}"/>
              </c:ext>
            </c:extLst>
          </c:dPt>
          <c:dPt>
            <c:idx val="38"/>
            <c:marker>
              <c:spPr>
                <a:solidFill>
                  <a:srgbClr val="53565A"/>
                </a:solidFill>
                <a:ln w="9525">
                  <a:noFill/>
                </a:ln>
                <a:effectLst/>
              </c:spPr>
            </c:marker>
            <c:bubble3D val="0"/>
            <c:extLst>
              <c:ext xmlns:c16="http://schemas.microsoft.com/office/drawing/2014/chart" uri="{C3380CC4-5D6E-409C-BE32-E72D297353CC}">
                <c16:uniqueId val="{00000056-25CF-406B-BAC3-43CF6AA7A150}"/>
              </c:ext>
            </c:extLst>
          </c:dPt>
          <c:dPt>
            <c:idx val="39"/>
            <c:marker>
              <c:spPr>
                <a:solidFill>
                  <a:srgbClr val="BFBFBF"/>
                </a:solidFill>
                <a:ln w="9525">
                  <a:noFill/>
                </a:ln>
                <a:effectLst/>
              </c:spPr>
            </c:marker>
            <c:bubble3D val="0"/>
            <c:extLst>
              <c:ext xmlns:c16="http://schemas.microsoft.com/office/drawing/2014/chart" uri="{C3380CC4-5D6E-409C-BE32-E72D297353CC}">
                <c16:uniqueId val="{00000057-25CF-406B-BAC3-43CF6AA7A150}"/>
              </c:ext>
            </c:extLst>
          </c:dPt>
          <c:dPt>
            <c:idx val="40"/>
            <c:marker>
              <c:spPr>
                <a:solidFill>
                  <a:schemeClr val="tx2"/>
                </a:solidFill>
                <a:ln w="9525">
                  <a:noFill/>
                </a:ln>
                <a:effectLst/>
              </c:spPr>
            </c:marker>
            <c:bubble3D val="0"/>
            <c:extLst>
              <c:ext xmlns:c16="http://schemas.microsoft.com/office/drawing/2014/chart" uri="{C3380CC4-5D6E-409C-BE32-E72D297353CC}">
                <c16:uniqueId val="{00000058-25CF-406B-BAC3-43CF6AA7A150}"/>
              </c:ext>
            </c:extLst>
          </c:dPt>
          <c:dPt>
            <c:idx val="41"/>
            <c:marker>
              <c:spPr>
                <a:solidFill>
                  <a:srgbClr val="53565A"/>
                </a:solidFill>
                <a:ln w="9525">
                  <a:noFill/>
                </a:ln>
                <a:effectLst/>
              </c:spPr>
            </c:marker>
            <c:bubble3D val="0"/>
            <c:extLst>
              <c:ext xmlns:c16="http://schemas.microsoft.com/office/drawing/2014/chart" uri="{C3380CC4-5D6E-409C-BE32-E72D297353CC}">
                <c16:uniqueId val="{00000059-25CF-406B-BAC3-43CF6AA7A150}"/>
              </c:ext>
            </c:extLst>
          </c:dPt>
          <c:dPt>
            <c:idx val="42"/>
            <c:marker>
              <c:spPr>
                <a:solidFill>
                  <a:srgbClr val="BFBFBF"/>
                </a:solidFill>
                <a:ln w="9525">
                  <a:noFill/>
                </a:ln>
                <a:effectLst/>
              </c:spPr>
            </c:marker>
            <c:bubble3D val="0"/>
            <c:extLst>
              <c:ext xmlns:c16="http://schemas.microsoft.com/office/drawing/2014/chart" uri="{C3380CC4-5D6E-409C-BE32-E72D297353CC}">
                <c16:uniqueId val="{0000005A-25CF-406B-BAC3-43CF6AA7A150}"/>
              </c:ext>
            </c:extLst>
          </c:dPt>
          <c:dPt>
            <c:idx val="43"/>
            <c:marker>
              <c:spPr>
                <a:solidFill>
                  <a:schemeClr val="tx2"/>
                </a:solidFill>
                <a:ln w="9525">
                  <a:noFill/>
                </a:ln>
                <a:effectLst/>
              </c:spPr>
            </c:marker>
            <c:bubble3D val="0"/>
            <c:extLst>
              <c:ext xmlns:c16="http://schemas.microsoft.com/office/drawing/2014/chart" uri="{C3380CC4-5D6E-409C-BE32-E72D297353CC}">
                <c16:uniqueId val="{0000005B-25CF-406B-BAC3-43CF6AA7A150}"/>
              </c:ext>
            </c:extLst>
          </c:dPt>
          <c:dPt>
            <c:idx val="44"/>
            <c:marker>
              <c:spPr>
                <a:solidFill>
                  <a:srgbClr val="53565A"/>
                </a:solidFill>
                <a:ln w="9525">
                  <a:noFill/>
                </a:ln>
                <a:effectLst/>
              </c:spPr>
            </c:marker>
            <c:bubble3D val="0"/>
            <c:extLst>
              <c:ext xmlns:c16="http://schemas.microsoft.com/office/drawing/2014/chart" uri="{C3380CC4-5D6E-409C-BE32-E72D297353CC}">
                <c16:uniqueId val="{0000005C-25CF-406B-BAC3-43CF6AA7A150}"/>
              </c:ext>
            </c:extLst>
          </c:dPt>
          <c:dPt>
            <c:idx val="45"/>
            <c:marker>
              <c:spPr>
                <a:solidFill>
                  <a:srgbClr val="BFBFBF"/>
                </a:solidFill>
                <a:ln w="9525">
                  <a:noFill/>
                </a:ln>
                <a:effectLst/>
              </c:spPr>
            </c:marker>
            <c:bubble3D val="0"/>
            <c:extLst>
              <c:ext xmlns:c16="http://schemas.microsoft.com/office/drawing/2014/chart" uri="{C3380CC4-5D6E-409C-BE32-E72D297353CC}">
                <c16:uniqueId val="{0000005D-25CF-406B-BAC3-43CF6AA7A150}"/>
              </c:ext>
            </c:extLst>
          </c:dPt>
          <c:dPt>
            <c:idx val="46"/>
            <c:marker>
              <c:spPr>
                <a:solidFill>
                  <a:schemeClr val="tx2"/>
                </a:solidFill>
                <a:ln w="9525">
                  <a:noFill/>
                </a:ln>
                <a:effectLst/>
              </c:spPr>
            </c:marker>
            <c:bubble3D val="0"/>
            <c:extLst>
              <c:ext xmlns:c16="http://schemas.microsoft.com/office/drawing/2014/chart" uri="{C3380CC4-5D6E-409C-BE32-E72D297353CC}">
                <c16:uniqueId val="{0000005E-25CF-406B-BAC3-43CF6AA7A150}"/>
              </c:ext>
            </c:extLst>
          </c:dPt>
          <c:dPt>
            <c:idx val="47"/>
            <c:marker>
              <c:spPr>
                <a:solidFill>
                  <a:srgbClr val="53565A"/>
                </a:solidFill>
                <a:ln w="9525">
                  <a:noFill/>
                </a:ln>
                <a:effectLst/>
              </c:spPr>
            </c:marker>
            <c:bubble3D val="0"/>
            <c:extLst>
              <c:ext xmlns:c16="http://schemas.microsoft.com/office/drawing/2014/chart" uri="{C3380CC4-5D6E-409C-BE32-E72D297353CC}">
                <c16:uniqueId val="{0000005F-25CF-406B-BAC3-43CF6AA7A150}"/>
              </c:ext>
            </c:extLst>
          </c:dPt>
          <c:dPt>
            <c:idx val="48"/>
            <c:marker>
              <c:spPr>
                <a:solidFill>
                  <a:srgbClr val="BFBFBF"/>
                </a:solidFill>
                <a:ln w="9525">
                  <a:noFill/>
                </a:ln>
                <a:effectLst/>
              </c:spPr>
            </c:marker>
            <c:bubble3D val="0"/>
            <c:extLst>
              <c:ext xmlns:c16="http://schemas.microsoft.com/office/drawing/2014/chart" uri="{C3380CC4-5D6E-409C-BE32-E72D297353CC}">
                <c16:uniqueId val="{00000060-25CF-406B-BAC3-43CF6AA7A150}"/>
              </c:ext>
            </c:extLst>
          </c:dPt>
          <c:dPt>
            <c:idx val="49"/>
            <c:marker>
              <c:spPr>
                <a:solidFill>
                  <a:schemeClr val="tx2"/>
                </a:solidFill>
                <a:ln w="9525">
                  <a:noFill/>
                </a:ln>
                <a:effectLst/>
              </c:spPr>
            </c:marker>
            <c:bubble3D val="0"/>
            <c:extLst>
              <c:ext xmlns:c16="http://schemas.microsoft.com/office/drawing/2014/chart" uri="{C3380CC4-5D6E-409C-BE32-E72D297353CC}">
                <c16:uniqueId val="{00000061-25CF-406B-BAC3-43CF6AA7A150}"/>
              </c:ext>
            </c:extLst>
          </c:dPt>
          <c:dPt>
            <c:idx val="50"/>
            <c:marker>
              <c:spPr>
                <a:solidFill>
                  <a:srgbClr val="53565A"/>
                </a:solidFill>
                <a:ln w="9525">
                  <a:noFill/>
                </a:ln>
                <a:effectLst/>
              </c:spPr>
            </c:marker>
            <c:bubble3D val="0"/>
            <c:extLst>
              <c:ext xmlns:c16="http://schemas.microsoft.com/office/drawing/2014/chart" uri="{C3380CC4-5D6E-409C-BE32-E72D297353CC}">
                <c16:uniqueId val="{00000062-25CF-406B-BAC3-43CF6AA7A150}"/>
              </c:ext>
            </c:extLst>
          </c:dPt>
          <c:dPt>
            <c:idx val="51"/>
            <c:marker>
              <c:spPr>
                <a:solidFill>
                  <a:srgbClr val="BFBFBF"/>
                </a:solidFill>
                <a:ln w="9525">
                  <a:noFill/>
                </a:ln>
                <a:effectLst/>
              </c:spPr>
            </c:marker>
            <c:bubble3D val="0"/>
            <c:extLst>
              <c:ext xmlns:c16="http://schemas.microsoft.com/office/drawing/2014/chart" uri="{C3380CC4-5D6E-409C-BE32-E72D297353CC}">
                <c16:uniqueId val="{00000063-25CF-406B-BAC3-43CF6AA7A150}"/>
              </c:ext>
            </c:extLst>
          </c:dPt>
          <c:dPt>
            <c:idx val="52"/>
            <c:marker>
              <c:spPr>
                <a:solidFill>
                  <a:schemeClr val="tx2"/>
                </a:solidFill>
                <a:ln w="9525">
                  <a:noFill/>
                </a:ln>
                <a:effectLst/>
              </c:spPr>
            </c:marker>
            <c:bubble3D val="0"/>
            <c:extLst>
              <c:ext xmlns:c16="http://schemas.microsoft.com/office/drawing/2014/chart" uri="{C3380CC4-5D6E-409C-BE32-E72D297353CC}">
                <c16:uniqueId val="{00000064-25CF-406B-BAC3-43CF6AA7A150}"/>
              </c:ext>
            </c:extLst>
          </c:dPt>
          <c:dPt>
            <c:idx val="53"/>
            <c:marker>
              <c:spPr>
                <a:solidFill>
                  <a:srgbClr val="53565A"/>
                </a:solidFill>
                <a:ln w="9525">
                  <a:noFill/>
                </a:ln>
                <a:effectLst/>
              </c:spPr>
            </c:marker>
            <c:bubble3D val="0"/>
            <c:extLst>
              <c:ext xmlns:c16="http://schemas.microsoft.com/office/drawing/2014/chart" uri="{C3380CC4-5D6E-409C-BE32-E72D297353CC}">
                <c16:uniqueId val="{00000065-25CF-406B-BAC3-43CF6AA7A150}"/>
              </c:ext>
            </c:extLst>
          </c:dPt>
          <c:dPt>
            <c:idx val="54"/>
            <c:marker>
              <c:spPr>
                <a:solidFill>
                  <a:srgbClr val="BFBFBF"/>
                </a:solidFill>
                <a:ln w="9525">
                  <a:noFill/>
                </a:ln>
                <a:effectLst/>
              </c:spPr>
            </c:marker>
            <c:bubble3D val="0"/>
            <c:extLst>
              <c:ext xmlns:c16="http://schemas.microsoft.com/office/drawing/2014/chart" uri="{C3380CC4-5D6E-409C-BE32-E72D297353CC}">
                <c16:uniqueId val="{00000066-25CF-406B-BAC3-43CF6AA7A150}"/>
              </c:ext>
            </c:extLst>
          </c:dPt>
          <c:dPt>
            <c:idx val="55"/>
            <c:marker>
              <c:spPr>
                <a:solidFill>
                  <a:schemeClr val="tx2"/>
                </a:solidFill>
                <a:ln w="9525">
                  <a:noFill/>
                </a:ln>
                <a:effectLst/>
              </c:spPr>
            </c:marker>
            <c:bubble3D val="0"/>
            <c:extLst>
              <c:ext xmlns:c16="http://schemas.microsoft.com/office/drawing/2014/chart" uri="{C3380CC4-5D6E-409C-BE32-E72D297353CC}">
                <c16:uniqueId val="{00000067-25CF-406B-BAC3-43CF6AA7A150}"/>
              </c:ext>
            </c:extLst>
          </c:dPt>
          <c:dPt>
            <c:idx val="56"/>
            <c:marker>
              <c:spPr>
                <a:solidFill>
                  <a:srgbClr val="53565A"/>
                </a:solidFill>
                <a:ln w="9525">
                  <a:noFill/>
                </a:ln>
                <a:effectLst/>
              </c:spPr>
            </c:marker>
            <c:bubble3D val="0"/>
            <c:extLst>
              <c:ext xmlns:c16="http://schemas.microsoft.com/office/drawing/2014/chart" uri="{C3380CC4-5D6E-409C-BE32-E72D297353CC}">
                <c16:uniqueId val="{00000068-25CF-406B-BAC3-43CF6AA7A150}"/>
              </c:ext>
            </c:extLst>
          </c:dPt>
          <c:dPt>
            <c:idx val="57"/>
            <c:marker>
              <c:spPr>
                <a:solidFill>
                  <a:srgbClr val="BFBFBF"/>
                </a:solidFill>
                <a:ln w="9525">
                  <a:noFill/>
                </a:ln>
                <a:effectLst/>
              </c:spPr>
            </c:marker>
            <c:bubble3D val="0"/>
            <c:extLst>
              <c:ext xmlns:c16="http://schemas.microsoft.com/office/drawing/2014/chart" uri="{C3380CC4-5D6E-409C-BE32-E72D297353CC}">
                <c16:uniqueId val="{00000069-25CF-406B-BAC3-43CF6AA7A150}"/>
              </c:ext>
            </c:extLst>
          </c:dPt>
          <c:dPt>
            <c:idx val="58"/>
            <c:marker>
              <c:spPr>
                <a:solidFill>
                  <a:schemeClr val="tx2"/>
                </a:solidFill>
                <a:ln w="9525">
                  <a:noFill/>
                </a:ln>
                <a:effectLst/>
              </c:spPr>
            </c:marker>
            <c:bubble3D val="0"/>
            <c:extLst>
              <c:ext xmlns:c16="http://schemas.microsoft.com/office/drawing/2014/chart" uri="{C3380CC4-5D6E-409C-BE32-E72D297353CC}">
                <c16:uniqueId val="{0000006A-25CF-406B-BAC3-43CF6AA7A150}"/>
              </c:ext>
            </c:extLst>
          </c:dPt>
          <c:dPt>
            <c:idx val="59"/>
            <c:marker>
              <c:spPr>
                <a:solidFill>
                  <a:srgbClr val="53565A"/>
                </a:solidFill>
                <a:ln w="9525">
                  <a:noFill/>
                </a:ln>
                <a:effectLst/>
              </c:spPr>
            </c:marker>
            <c:bubble3D val="0"/>
            <c:extLst>
              <c:ext xmlns:c16="http://schemas.microsoft.com/office/drawing/2014/chart" uri="{C3380CC4-5D6E-409C-BE32-E72D297353CC}">
                <c16:uniqueId val="{0000006B-25CF-406B-BAC3-43CF6AA7A150}"/>
              </c:ext>
            </c:extLst>
          </c:dPt>
          <c:dPt>
            <c:idx val="61"/>
            <c:bubble3D val="0"/>
            <c:extLst>
              <c:ext xmlns:c16="http://schemas.microsoft.com/office/drawing/2014/chart" uri="{C3380CC4-5D6E-409C-BE32-E72D297353CC}">
                <c16:uniqueId val="{0000006C-25CF-406B-BAC3-43CF6AA7A150}"/>
              </c:ext>
            </c:extLst>
          </c:dPt>
          <c:dPt>
            <c:idx val="62"/>
            <c:bubble3D val="0"/>
            <c:extLst>
              <c:ext xmlns:c16="http://schemas.microsoft.com/office/drawing/2014/chart" uri="{C3380CC4-5D6E-409C-BE32-E72D297353CC}">
                <c16:uniqueId val="{0000006D-25CF-406B-BAC3-43CF6AA7A150}"/>
              </c:ext>
            </c:extLst>
          </c:dPt>
          <c:dPt>
            <c:idx val="63"/>
            <c:marker>
              <c:spPr>
                <a:solidFill>
                  <a:srgbClr val="BFBFBF"/>
                </a:solidFill>
                <a:ln w="9525">
                  <a:noFill/>
                </a:ln>
                <a:effectLst/>
              </c:spPr>
            </c:marker>
            <c:bubble3D val="0"/>
            <c:extLst>
              <c:ext xmlns:c16="http://schemas.microsoft.com/office/drawing/2014/chart" uri="{C3380CC4-5D6E-409C-BE32-E72D297353CC}">
                <c16:uniqueId val="{0000006E-25CF-406B-BAC3-43CF6AA7A150}"/>
              </c:ext>
            </c:extLst>
          </c:dPt>
          <c:dPt>
            <c:idx val="64"/>
            <c:marker>
              <c:spPr>
                <a:solidFill>
                  <a:schemeClr val="tx2"/>
                </a:solidFill>
                <a:ln w="9525">
                  <a:noFill/>
                </a:ln>
                <a:effectLst/>
              </c:spPr>
            </c:marker>
            <c:bubble3D val="0"/>
            <c:extLst>
              <c:ext xmlns:c16="http://schemas.microsoft.com/office/drawing/2014/chart" uri="{C3380CC4-5D6E-409C-BE32-E72D297353CC}">
                <c16:uniqueId val="{0000006F-25CF-406B-BAC3-43CF6AA7A150}"/>
              </c:ext>
            </c:extLst>
          </c:dPt>
          <c:dPt>
            <c:idx val="65"/>
            <c:marker>
              <c:spPr>
                <a:solidFill>
                  <a:srgbClr val="53565A"/>
                </a:solidFill>
                <a:ln w="9525">
                  <a:noFill/>
                </a:ln>
                <a:effectLst/>
              </c:spPr>
            </c:marker>
            <c:bubble3D val="0"/>
            <c:extLst>
              <c:ext xmlns:c16="http://schemas.microsoft.com/office/drawing/2014/chart" uri="{C3380CC4-5D6E-409C-BE32-E72D297353CC}">
                <c16:uniqueId val="{00000070-25CF-406B-BAC3-43CF6AA7A150}"/>
              </c:ext>
            </c:extLst>
          </c:dPt>
          <c:dPt>
            <c:idx val="66"/>
            <c:marker>
              <c:spPr>
                <a:solidFill>
                  <a:srgbClr val="BFBFBF"/>
                </a:solidFill>
                <a:ln w="9525">
                  <a:noFill/>
                </a:ln>
                <a:effectLst/>
              </c:spPr>
            </c:marker>
            <c:bubble3D val="0"/>
            <c:extLst>
              <c:ext xmlns:c16="http://schemas.microsoft.com/office/drawing/2014/chart" uri="{C3380CC4-5D6E-409C-BE32-E72D297353CC}">
                <c16:uniqueId val="{00000071-25CF-406B-BAC3-43CF6AA7A150}"/>
              </c:ext>
            </c:extLst>
          </c:dPt>
          <c:dPt>
            <c:idx val="67"/>
            <c:marker>
              <c:spPr>
                <a:solidFill>
                  <a:schemeClr val="tx2"/>
                </a:solidFill>
                <a:ln w="9525">
                  <a:noFill/>
                </a:ln>
                <a:effectLst/>
              </c:spPr>
            </c:marker>
            <c:bubble3D val="0"/>
            <c:extLst>
              <c:ext xmlns:c16="http://schemas.microsoft.com/office/drawing/2014/chart" uri="{C3380CC4-5D6E-409C-BE32-E72D297353CC}">
                <c16:uniqueId val="{00000072-25CF-406B-BAC3-43CF6AA7A150}"/>
              </c:ext>
            </c:extLst>
          </c:dPt>
          <c:dPt>
            <c:idx val="68"/>
            <c:marker>
              <c:spPr>
                <a:solidFill>
                  <a:srgbClr val="53565A"/>
                </a:solidFill>
                <a:ln w="9525">
                  <a:noFill/>
                </a:ln>
                <a:effectLst/>
              </c:spPr>
            </c:marker>
            <c:bubble3D val="0"/>
            <c:extLst>
              <c:ext xmlns:c16="http://schemas.microsoft.com/office/drawing/2014/chart" uri="{C3380CC4-5D6E-409C-BE32-E72D297353CC}">
                <c16:uniqueId val="{00000073-25CF-406B-BAC3-43CF6AA7A150}"/>
              </c:ext>
            </c:extLst>
          </c:dPt>
          <c:dPt>
            <c:idx val="69"/>
            <c:bubble3D val="0"/>
            <c:extLst>
              <c:ext xmlns:c16="http://schemas.microsoft.com/office/drawing/2014/chart" uri="{C3380CC4-5D6E-409C-BE32-E72D297353CC}">
                <c16:uniqueId val="{00000074-25CF-406B-BAC3-43CF6AA7A150}"/>
              </c:ext>
            </c:extLst>
          </c:dPt>
          <c:dPt>
            <c:idx val="70"/>
            <c:bubble3D val="0"/>
            <c:extLst>
              <c:ext xmlns:c16="http://schemas.microsoft.com/office/drawing/2014/chart" uri="{C3380CC4-5D6E-409C-BE32-E72D297353CC}">
                <c16:uniqueId val="{00000075-25CF-406B-BAC3-43CF6AA7A150}"/>
              </c:ext>
            </c:extLst>
          </c:dPt>
          <c:dPt>
            <c:idx val="71"/>
            <c:bubble3D val="0"/>
            <c:extLst>
              <c:ext xmlns:c16="http://schemas.microsoft.com/office/drawing/2014/chart" uri="{C3380CC4-5D6E-409C-BE32-E72D297353CC}">
                <c16:uniqueId val="{00000076-25CF-406B-BAC3-43CF6AA7A150}"/>
              </c:ext>
            </c:extLst>
          </c:dPt>
          <c:dPt>
            <c:idx val="73"/>
            <c:bubble3D val="0"/>
            <c:extLst>
              <c:ext xmlns:c16="http://schemas.microsoft.com/office/drawing/2014/chart" uri="{C3380CC4-5D6E-409C-BE32-E72D297353CC}">
                <c16:uniqueId val="{00000077-25CF-406B-BAC3-43CF6AA7A150}"/>
              </c:ext>
            </c:extLst>
          </c:dPt>
          <c:dPt>
            <c:idx val="74"/>
            <c:bubble3D val="0"/>
            <c:extLst>
              <c:ext xmlns:c16="http://schemas.microsoft.com/office/drawing/2014/chart" uri="{C3380CC4-5D6E-409C-BE32-E72D297353CC}">
                <c16:uniqueId val="{00000078-25CF-406B-BAC3-43CF6AA7A150}"/>
              </c:ext>
            </c:extLst>
          </c:dPt>
          <c:dPt>
            <c:idx val="75"/>
            <c:bubble3D val="0"/>
            <c:extLst>
              <c:ext xmlns:c16="http://schemas.microsoft.com/office/drawing/2014/chart" uri="{C3380CC4-5D6E-409C-BE32-E72D297353CC}">
                <c16:uniqueId val="{00000079-25CF-406B-BAC3-43CF6AA7A150}"/>
              </c:ext>
            </c:extLst>
          </c:dPt>
          <c:dPt>
            <c:idx val="77"/>
            <c:bubble3D val="0"/>
            <c:extLst>
              <c:ext xmlns:c16="http://schemas.microsoft.com/office/drawing/2014/chart" uri="{C3380CC4-5D6E-409C-BE32-E72D297353CC}">
                <c16:uniqueId val="{0000007A-25CF-406B-BAC3-43CF6AA7A150}"/>
              </c:ext>
            </c:extLst>
          </c:dPt>
          <c:dPt>
            <c:idx val="78"/>
            <c:bubble3D val="0"/>
            <c:extLst>
              <c:ext xmlns:c16="http://schemas.microsoft.com/office/drawing/2014/chart" uri="{C3380CC4-5D6E-409C-BE32-E72D297353CC}">
                <c16:uniqueId val="{0000007B-25CF-406B-BAC3-43CF6AA7A150}"/>
              </c:ext>
            </c:extLst>
          </c:dPt>
          <c:dPt>
            <c:idx val="79"/>
            <c:bubble3D val="0"/>
            <c:extLst>
              <c:ext xmlns:c16="http://schemas.microsoft.com/office/drawing/2014/chart" uri="{C3380CC4-5D6E-409C-BE32-E72D297353CC}">
                <c16:uniqueId val="{0000007C-25CF-406B-BAC3-43CF6AA7A150}"/>
              </c:ext>
            </c:extLst>
          </c:dPt>
          <c:dPt>
            <c:idx val="80"/>
            <c:bubble3D val="0"/>
            <c:extLst>
              <c:ext xmlns:c16="http://schemas.microsoft.com/office/drawing/2014/chart" uri="{C3380CC4-5D6E-409C-BE32-E72D297353CC}">
                <c16:uniqueId val="{0000007D-25CF-406B-BAC3-43CF6AA7A150}"/>
              </c:ext>
            </c:extLst>
          </c:dPt>
          <c:dPt>
            <c:idx val="81"/>
            <c:bubble3D val="0"/>
            <c:extLst>
              <c:ext xmlns:c16="http://schemas.microsoft.com/office/drawing/2014/chart" uri="{C3380CC4-5D6E-409C-BE32-E72D297353CC}">
                <c16:uniqueId val="{0000007E-25CF-406B-BAC3-43CF6AA7A150}"/>
              </c:ext>
            </c:extLst>
          </c:dPt>
          <c:dPt>
            <c:idx val="85"/>
            <c:bubble3D val="0"/>
            <c:extLst>
              <c:ext xmlns:c16="http://schemas.microsoft.com/office/drawing/2014/chart" uri="{C3380CC4-5D6E-409C-BE32-E72D297353CC}">
                <c16:uniqueId val="{0000007F-25CF-406B-BAC3-43CF6AA7A150}"/>
              </c:ext>
            </c:extLst>
          </c:dPt>
          <c:dPt>
            <c:idx val="86"/>
            <c:bubble3D val="0"/>
            <c:extLst>
              <c:ext xmlns:c16="http://schemas.microsoft.com/office/drawing/2014/chart" uri="{C3380CC4-5D6E-409C-BE32-E72D297353CC}">
                <c16:uniqueId val="{00000080-25CF-406B-BAC3-43CF6AA7A150}"/>
              </c:ext>
            </c:extLst>
          </c:dPt>
          <c:dPt>
            <c:idx val="87"/>
            <c:bubble3D val="0"/>
            <c:extLst>
              <c:ext xmlns:c16="http://schemas.microsoft.com/office/drawing/2014/chart" uri="{C3380CC4-5D6E-409C-BE32-E72D297353CC}">
                <c16:uniqueId val="{00000081-25CF-406B-BAC3-43CF6AA7A150}"/>
              </c:ext>
            </c:extLst>
          </c:dPt>
          <c:dPt>
            <c:idx val="89"/>
            <c:bubble3D val="0"/>
            <c:extLst>
              <c:ext xmlns:c16="http://schemas.microsoft.com/office/drawing/2014/chart" uri="{C3380CC4-5D6E-409C-BE32-E72D297353CC}">
                <c16:uniqueId val="{00000082-25CF-406B-BAC3-43CF6AA7A150}"/>
              </c:ext>
            </c:extLst>
          </c:dPt>
          <c:dPt>
            <c:idx val="90"/>
            <c:bubble3D val="0"/>
            <c:extLst>
              <c:ext xmlns:c16="http://schemas.microsoft.com/office/drawing/2014/chart" uri="{C3380CC4-5D6E-409C-BE32-E72D297353CC}">
                <c16:uniqueId val="{00000083-25CF-406B-BAC3-43CF6AA7A150}"/>
              </c:ext>
            </c:extLst>
          </c:dPt>
          <c:dPt>
            <c:idx val="91"/>
            <c:bubble3D val="0"/>
            <c:extLst>
              <c:ext xmlns:c16="http://schemas.microsoft.com/office/drawing/2014/chart" uri="{C3380CC4-5D6E-409C-BE32-E72D297353CC}">
                <c16:uniqueId val="{00000084-25CF-406B-BAC3-43CF6AA7A150}"/>
              </c:ext>
            </c:extLst>
          </c:dPt>
          <c:cat>
            <c:strRef>
              <c:f>'[Transparent Costing - Data Compilation - 30-4-2022.xlsx]Comp to Prev_All FOEs (18-20)'!$BX$5:$EN$5</c:f>
              <c:strCache>
                <c:ptCount val="69"/>
                <c:pt idx="0">
                  <c:v>MathSci (n=22)</c:v>
                </c:pt>
                <c:pt idx="1">
                  <c:v> (n=20)</c:v>
                </c:pt>
                <c:pt idx="2">
                  <c:v> (n=19)</c:v>
                </c:pt>
                <c:pt idx="3">
                  <c:v>MedicalSci (n=1)</c:v>
                </c:pt>
                <c:pt idx="4">
                  <c:v> (n=1)</c:v>
                </c:pt>
                <c:pt idx="5">
                  <c:v> (n=1)</c:v>
                </c:pt>
                <c:pt idx="6">
                  <c:v>OthNat-PhysSci (n=19)</c:v>
                </c:pt>
                <c:pt idx="7">
                  <c:v> (n=20)</c:v>
                </c:pt>
                <c:pt idx="8">
                  <c:v> (n=20)</c:v>
                </c:pt>
                <c:pt idx="9">
                  <c:v>InfoTech (n=14)</c:v>
                </c:pt>
                <c:pt idx="10">
                  <c:v> (n=16)</c:v>
                </c:pt>
                <c:pt idx="11">
                  <c:v> (n=22)</c:v>
                </c:pt>
                <c:pt idx="12">
                  <c:v>Eng&amp;Related (n=11)</c:v>
                </c:pt>
                <c:pt idx="13">
                  <c:v> (n=11)</c:v>
                </c:pt>
                <c:pt idx="14">
                  <c:v> (n=14)</c:v>
                </c:pt>
                <c:pt idx="15">
                  <c:v>Archi&amp;Build (n=7)</c:v>
                </c:pt>
                <c:pt idx="16">
                  <c:v> (n=8)</c:v>
                </c:pt>
                <c:pt idx="17">
                  <c:v> (n=10)</c:v>
                </c:pt>
                <c:pt idx="18">
                  <c:v>Environment (n=3)</c:v>
                </c:pt>
                <c:pt idx="19">
                  <c:v> (n=4)</c:v>
                </c:pt>
                <c:pt idx="20">
                  <c:v> (n=4)</c:v>
                </c:pt>
                <c:pt idx="21">
                  <c:v>OthAg&amp;Enviro (n=3)</c:v>
                </c:pt>
                <c:pt idx="22">
                  <c:v> (n=3)</c:v>
                </c:pt>
                <c:pt idx="23">
                  <c:v> (n=4)</c:v>
                </c:pt>
                <c:pt idx="24">
                  <c:v>MedicalStudies (n=1)</c:v>
                </c:pt>
                <c:pt idx="25">
                  <c:v> (n=1)</c:v>
                </c:pt>
                <c:pt idx="26">
                  <c:v> (n=1)</c:v>
                </c:pt>
                <c:pt idx="27">
                  <c:v>Nursing (n=4)</c:v>
                </c:pt>
                <c:pt idx="28">
                  <c:v> (n=4)</c:v>
                </c:pt>
                <c:pt idx="29">
                  <c:v> (n=5)</c:v>
                </c:pt>
                <c:pt idx="30">
                  <c:v>Dental (n=)</c:v>
                </c:pt>
                <c:pt idx="31">
                  <c:v> (n=0)</c:v>
                </c:pt>
                <c:pt idx="32">
                  <c:v> (n=0)</c:v>
                </c:pt>
                <c:pt idx="33">
                  <c:v>Veterinary (n=)</c:v>
                </c:pt>
                <c:pt idx="34">
                  <c:v> (n=0)</c:v>
                </c:pt>
                <c:pt idx="35">
                  <c:v> (n=0)</c:v>
                </c:pt>
                <c:pt idx="36">
                  <c:v>OthHealth (n=8)</c:v>
                </c:pt>
                <c:pt idx="37">
                  <c:v> (n=11)</c:v>
                </c:pt>
                <c:pt idx="38">
                  <c:v> (n=13)</c:v>
                </c:pt>
                <c:pt idx="39">
                  <c:v>Education (n=9)</c:v>
                </c:pt>
                <c:pt idx="40">
                  <c:v> (n=10)</c:v>
                </c:pt>
                <c:pt idx="41">
                  <c:v> (n=14)</c:v>
                </c:pt>
                <c:pt idx="42">
                  <c:v>Mgmt&amp;Comm (n=18)</c:v>
                </c:pt>
                <c:pt idx="43">
                  <c:v> (n=17)</c:v>
                </c:pt>
                <c:pt idx="44">
                  <c:v> (n=18)</c:v>
                </c:pt>
                <c:pt idx="45">
                  <c:v>ForeignLang (n=18)</c:v>
                </c:pt>
                <c:pt idx="46">
                  <c:v> (n=16)</c:v>
                </c:pt>
                <c:pt idx="47">
                  <c:v> (n=15)</c:v>
                </c:pt>
                <c:pt idx="48">
                  <c:v>Psych (n=9)</c:v>
                </c:pt>
                <c:pt idx="49">
                  <c:v> (n=10)</c:v>
                </c:pt>
                <c:pt idx="50">
                  <c:v> (n=14)</c:v>
                </c:pt>
                <c:pt idx="51">
                  <c:v>OtherSoc&amp;Cult (n=25)</c:v>
                </c:pt>
                <c:pt idx="52">
                  <c:v> (n=25)</c:v>
                </c:pt>
                <c:pt idx="53">
                  <c:v> (n=24)</c:v>
                </c:pt>
                <c:pt idx="54">
                  <c:v>Comms&amp;Media (n=15)</c:v>
                </c:pt>
                <c:pt idx="55">
                  <c:v> (n=16)</c:v>
                </c:pt>
                <c:pt idx="56">
                  <c:v> (n=17)</c:v>
                </c:pt>
                <c:pt idx="57">
                  <c:v>OthCreative (n=15)</c:v>
                </c:pt>
                <c:pt idx="58">
                  <c:v> (n=14)</c:v>
                </c:pt>
                <c:pt idx="59">
                  <c:v> (n=13)</c:v>
                </c:pt>
                <c:pt idx="60">
                  <c:v>FoodHosp&amp;Person (n=)</c:v>
                </c:pt>
                <c:pt idx="61">
                  <c:v> (n=0)</c:v>
                </c:pt>
                <c:pt idx="62">
                  <c:v> (n=0)</c:v>
                </c:pt>
                <c:pt idx="63">
                  <c:v>MixedField (n=1)</c:v>
                </c:pt>
                <c:pt idx="64">
                  <c:v> (n=1)</c:v>
                </c:pt>
                <c:pt idx="65">
                  <c:v> (n=2)</c:v>
                </c:pt>
                <c:pt idx="66">
                  <c:v>Total (n=29)</c:v>
                </c:pt>
                <c:pt idx="67">
                  <c:v> (n=29)</c:v>
                </c:pt>
                <c:pt idx="68">
                  <c:v> (n=30)</c:v>
                </c:pt>
              </c:strCache>
            </c:strRef>
          </c:cat>
          <c:val>
            <c:numRef>
              <c:f>'[Transparent Costing - Data Compilation - 30-4-2022.xlsx]Comp to Prev_All FOEs (18-20)'!$BX$18:$EN$18</c:f>
              <c:numCache>
                <c:formatCode>"$"#,##0</c:formatCode>
                <c:ptCount val="69"/>
                <c:pt idx="0">
                  <c:v>17042.193728243234</c:v>
                </c:pt>
                <c:pt idx="1">
                  <c:v>18307.776107470774</c:v>
                </c:pt>
                <c:pt idx="2">
                  <c:v>18989.898239356986</c:v>
                </c:pt>
                <c:pt idx="3">
                  <c:v>24074.267783894684</c:v>
                </c:pt>
                <c:pt idx="4">
                  <c:v>24001.126516801822</c:v>
                </c:pt>
                <c:pt idx="5">
                  <c:v>36351.577492295852</c:v>
                </c:pt>
                <c:pt idx="6">
                  <c:v>20883.581999852846</c:v>
                </c:pt>
                <c:pt idx="7">
                  <c:v>23687.334384624814</c:v>
                </c:pt>
                <c:pt idx="8">
                  <c:v>23220.494571379742</c:v>
                </c:pt>
                <c:pt idx="9">
                  <c:v>17581.957712496736</c:v>
                </c:pt>
                <c:pt idx="10">
                  <c:v>20074.299153998905</c:v>
                </c:pt>
                <c:pt idx="11">
                  <c:v>20010.024460328619</c:v>
                </c:pt>
                <c:pt idx="12">
                  <c:v>23765.608050422012</c:v>
                </c:pt>
                <c:pt idx="13">
                  <c:v>27516.287470216153</c:v>
                </c:pt>
                <c:pt idx="14">
                  <c:v>27396.464190405684</c:v>
                </c:pt>
                <c:pt idx="15">
                  <c:v>17362.062339171611</c:v>
                </c:pt>
                <c:pt idx="16">
                  <c:v>19073.574448312407</c:v>
                </c:pt>
                <c:pt idx="17">
                  <c:v>20657.106227598535</c:v>
                </c:pt>
                <c:pt idx="18">
                  <c:v>24526.840981291811</c:v>
                </c:pt>
                <c:pt idx="19">
                  <c:v>24731.264980973971</c:v>
                </c:pt>
                <c:pt idx="20">
                  <c:v>16689.3314018009</c:v>
                </c:pt>
                <c:pt idx="21">
                  <c:v>27093.659519970301</c:v>
                </c:pt>
                <c:pt idx="22">
                  <c:v>50110.832872182524</c:v>
                </c:pt>
                <c:pt idx="23">
                  <c:v>33076.05937157345</c:v>
                </c:pt>
                <c:pt idx="24">
                  <c:v>16826.022829177462</c:v>
                </c:pt>
                <c:pt idx="25">
                  <c:v>24810.410765988243</c:v>
                </c:pt>
                <c:pt idx="26">
                  <c:v>22967.758780745586</c:v>
                </c:pt>
                <c:pt idx="27">
                  <c:v>14924.623696099139</c:v>
                </c:pt>
                <c:pt idx="28">
                  <c:v>15735.872234666356</c:v>
                </c:pt>
                <c:pt idx="29">
                  <c:v>16223.077848542029</c:v>
                </c:pt>
                <c:pt idx="36">
                  <c:v>21792.375596314756</c:v>
                </c:pt>
                <c:pt idx="37">
                  <c:v>17434.386637720894</c:v>
                </c:pt>
                <c:pt idx="38">
                  <c:v>18456.493095155784</c:v>
                </c:pt>
                <c:pt idx="39">
                  <c:v>16414.686642979032</c:v>
                </c:pt>
                <c:pt idx="40">
                  <c:v>18401.206043733142</c:v>
                </c:pt>
                <c:pt idx="41">
                  <c:v>15723.436260146462</c:v>
                </c:pt>
                <c:pt idx="42">
                  <c:v>16489.732490831135</c:v>
                </c:pt>
                <c:pt idx="43">
                  <c:v>17309.433970309412</c:v>
                </c:pt>
                <c:pt idx="44">
                  <c:v>18043.436542582356</c:v>
                </c:pt>
                <c:pt idx="45">
                  <c:v>17841.456459408582</c:v>
                </c:pt>
                <c:pt idx="46">
                  <c:v>18927.716871222041</c:v>
                </c:pt>
                <c:pt idx="47">
                  <c:v>19079.433560284295</c:v>
                </c:pt>
                <c:pt idx="48">
                  <c:v>14065.223104682931</c:v>
                </c:pt>
                <c:pt idx="49">
                  <c:v>14949.827242473482</c:v>
                </c:pt>
                <c:pt idx="50">
                  <c:v>15453.082166851775</c:v>
                </c:pt>
                <c:pt idx="51">
                  <c:v>13381.786360076218</c:v>
                </c:pt>
                <c:pt idx="52">
                  <c:v>13574.919962019396</c:v>
                </c:pt>
                <c:pt idx="53">
                  <c:v>10973.177917249941</c:v>
                </c:pt>
                <c:pt idx="54">
                  <c:v>15755.761344403643</c:v>
                </c:pt>
                <c:pt idx="55">
                  <c:v>15985.08242256652</c:v>
                </c:pt>
                <c:pt idx="56">
                  <c:v>16073.066627756523</c:v>
                </c:pt>
                <c:pt idx="57">
                  <c:v>19341.986357887712</c:v>
                </c:pt>
                <c:pt idx="58">
                  <c:v>21770.412724305832</c:v>
                </c:pt>
                <c:pt idx="59">
                  <c:v>22920.580589603178</c:v>
                </c:pt>
                <c:pt idx="63">
                  <c:v>13396.142480663088</c:v>
                </c:pt>
                <c:pt idx="64">
                  <c:v>9864.6077138624296</c:v>
                </c:pt>
                <c:pt idx="65">
                  <c:v>8751.4206822804736</c:v>
                </c:pt>
                <c:pt idx="66">
                  <c:v>17197.650951333235</c:v>
                </c:pt>
                <c:pt idx="67">
                  <c:v>18600.363092934385</c:v>
                </c:pt>
                <c:pt idx="68">
                  <c:v>17790.206843909666</c:v>
                </c:pt>
              </c:numCache>
            </c:numRef>
          </c:val>
          <c:smooth val="0"/>
          <c:extLst>
            <c:ext xmlns:c16="http://schemas.microsoft.com/office/drawing/2014/chart" uri="{C3380CC4-5D6E-409C-BE32-E72D297353CC}">
              <c16:uniqueId val="{00000085-25CF-406B-BAC3-43CF6AA7A150}"/>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3"/>
        <c:noMultiLvlLbl val="0"/>
      </c:catAx>
      <c:valAx>
        <c:axId val="932351327"/>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2948381452318"/>
          <c:y val="4.8006241138324732E-2"/>
          <c:w val="0.85181496062992124"/>
          <c:h val="0.72069365760898185"/>
        </c:manualLayout>
      </c:layout>
      <c:stockChart>
        <c:ser>
          <c:idx val="3"/>
          <c:order val="0"/>
          <c:tx>
            <c:strRef>
              <c:f>'Comp to Prev_All FOEs (18-20)'!$BW$23</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D699-4E95-9B79-3AE156B1FEE7}"/>
              </c:ext>
            </c:extLst>
          </c:dPt>
          <c:cat>
            <c:strRef>
              <c:f>'Comp to Prev_All FOEs (18-20)'!$BX$6:$EN$6</c:f>
              <c:strCache>
                <c:ptCount val="69"/>
                <c:pt idx="0">
                  <c:v>MathSci (n=32)</c:v>
                </c:pt>
                <c:pt idx="1">
                  <c:v> (n=32)</c:v>
                </c:pt>
                <c:pt idx="2">
                  <c:v> (n=32)</c:v>
                </c:pt>
                <c:pt idx="3">
                  <c:v>MedicalSci (n=28)</c:v>
                </c:pt>
                <c:pt idx="4">
                  <c:v> (n=27)</c:v>
                </c:pt>
                <c:pt idx="5">
                  <c:v> (n=27)</c:v>
                </c:pt>
                <c:pt idx="6">
                  <c:v>OthNat-PhysSci (n=32)</c:v>
                </c:pt>
                <c:pt idx="7">
                  <c:v> (n=32)</c:v>
                </c:pt>
                <c:pt idx="8">
                  <c:v> (n=32)</c:v>
                </c:pt>
                <c:pt idx="9">
                  <c:v>InfoTech (n=32)</c:v>
                </c:pt>
                <c:pt idx="10">
                  <c:v> (n=32)</c:v>
                </c:pt>
                <c:pt idx="11">
                  <c:v> (n=32)</c:v>
                </c:pt>
                <c:pt idx="12">
                  <c:v>Eng&amp;Related (n=32)</c:v>
                </c:pt>
                <c:pt idx="13">
                  <c:v> (n=32)</c:v>
                </c:pt>
                <c:pt idx="14">
                  <c:v> (n=32)</c:v>
                </c:pt>
                <c:pt idx="15">
                  <c:v>Archi&amp;Build (n=26)</c:v>
                </c:pt>
                <c:pt idx="16">
                  <c:v> (n=26)</c:v>
                </c:pt>
                <c:pt idx="17">
                  <c:v> (n=26)</c:v>
                </c:pt>
                <c:pt idx="18">
                  <c:v>Environment (n=31)</c:v>
                </c:pt>
                <c:pt idx="19">
                  <c:v> (n=31)</c:v>
                </c:pt>
                <c:pt idx="20">
                  <c:v> (n=31)</c:v>
                </c:pt>
                <c:pt idx="21">
                  <c:v>OthAg&amp;Enviro (n=18)</c:v>
                </c:pt>
                <c:pt idx="22">
                  <c:v> (n=18)</c:v>
                </c:pt>
                <c:pt idx="23">
                  <c:v> (n=17)</c:v>
                </c:pt>
                <c:pt idx="24">
                  <c:v>MedicalStudies (n=24)</c:v>
                </c:pt>
                <c:pt idx="25">
                  <c:v> (n=24)</c:v>
                </c:pt>
                <c:pt idx="26">
                  <c:v> (n=24)</c:v>
                </c:pt>
                <c:pt idx="27">
                  <c:v>Nursing (n=29)</c:v>
                </c:pt>
                <c:pt idx="28">
                  <c:v> (n=29)</c:v>
                </c:pt>
                <c:pt idx="29">
                  <c:v> (n=29)</c:v>
                </c:pt>
                <c:pt idx="30">
                  <c:v>Dental (n=10)</c:v>
                </c:pt>
                <c:pt idx="31">
                  <c:v> (n=10)</c:v>
                </c:pt>
                <c:pt idx="32">
                  <c:v> (n=10)</c:v>
                </c:pt>
                <c:pt idx="33">
                  <c:v>Veterinary (n=8)</c:v>
                </c:pt>
                <c:pt idx="34">
                  <c:v> (n=8)</c:v>
                </c:pt>
                <c:pt idx="35">
                  <c:v> (n=8)</c:v>
                </c:pt>
                <c:pt idx="36">
                  <c:v>OthHealth (n=32)</c:v>
                </c:pt>
                <c:pt idx="37">
                  <c:v> (n=32)</c:v>
                </c:pt>
                <c:pt idx="38">
                  <c:v> (n=32)</c:v>
                </c:pt>
                <c:pt idx="39">
                  <c:v>Education (n=31)</c:v>
                </c:pt>
                <c:pt idx="40">
                  <c:v> (n=31)</c:v>
                </c:pt>
                <c:pt idx="41">
                  <c:v> (n=32)</c:v>
                </c:pt>
                <c:pt idx="42">
                  <c:v>Mgmt&amp;Comm (n=32)</c:v>
                </c:pt>
                <c:pt idx="43">
                  <c:v> (n=32)</c:v>
                </c:pt>
                <c:pt idx="44">
                  <c:v> (n=32)</c:v>
                </c:pt>
                <c:pt idx="45">
                  <c:v>ForeignLang (n=26)</c:v>
                </c:pt>
                <c:pt idx="46">
                  <c:v> (n=24)</c:v>
                </c:pt>
                <c:pt idx="47">
                  <c:v> (n=24)</c:v>
                </c:pt>
                <c:pt idx="48">
                  <c:v>Psych (n=32)</c:v>
                </c:pt>
                <c:pt idx="49">
                  <c:v> (n=32)</c:v>
                </c:pt>
                <c:pt idx="50">
                  <c:v> (n=32)</c:v>
                </c:pt>
                <c:pt idx="51">
                  <c:v>OtherSoc&amp;Cult (n=32)</c:v>
                </c:pt>
                <c:pt idx="52">
                  <c:v> (n=32)</c:v>
                </c:pt>
                <c:pt idx="53">
                  <c:v> (n=32)</c:v>
                </c:pt>
                <c:pt idx="54">
                  <c:v>Comms&amp;Media (n=32)</c:v>
                </c:pt>
                <c:pt idx="55">
                  <c:v> (n=32)</c:v>
                </c:pt>
                <c:pt idx="56">
                  <c:v> (n=32)</c:v>
                </c:pt>
                <c:pt idx="57">
                  <c:v>OthCreative (n=32)</c:v>
                </c:pt>
                <c:pt idx="58">
                  <c:v> (n=32)</c:v>
                </c:pt>
                <c:pt idx="59">
                  <c:v> (n=32)</c:v>
                </c:pt>
                <c:pt idx="60">
                  <c:v>FoodHosp&amp;Person (n=4)</c:v>
                </c:pt>
                <c:pt idx="61">
                  <c:v> (n=2)</c:v>
                </c:pt>
                <c:pt idx="62">
                  <c:v> (n=1)</c:v>
                </c:pt>
                <c:pt idx="63">
                  <c:v>MixedField (n=6)</c:v>
                </c:pt>
                <c:pt idx="64">
                  <c:v> (n=6)</c:v>
                </c:pt>
                <c:pt idx="65">
                  <c:v> (n=7)</c:v>
                </c:pt>
                <c:pt idx="66">
                  <c:v>Total (n=32)</c:v>
                </c:pt>
                <c:pt idx="67">
                  <c:v> (n=32)</c:v>
                </c:pt>
                <c:pt idx="68">
                  <c:v> (n=32)</c:v>
                </c:pt>
              </c:strCache>
            </c:strRef>
          </c:cat>
          <c:val>
            <c:numRef>
              <c:f>'Comp to Prev_All FOEs (18-20)'!$BX$23:$EN$23</c:f>
              <c:numCache>
                <c:formatCode>"$"#,##0</c:formatCode>
                <c:ptCount val="69"/>
                <c:pt idx="0">
                  <c:v>24089.842114662224</c:v>
                </c:pt>
                <c:pt idx="1">
                  <c:v>30959.842869226159</c:v>
                </c:pt>
                <c:pt idx="2">
                  <c:v>35582.902510157299</c:v>
                </c:pt>
                <c:pt idx="3">
                  <c:v>40180.884760197718</c:v>
                </c:pt>
                <c:pt idx="4">
                  <c:v>40380.491920093344</c:v>
                </c:pt>
                <c:pt idx="5">
                  <c:v>40159.365594755094</c:v>
                </c:pt>
                <c:pt idx="6">
                  <c:v>28667.811317433421</c:v>
                </c:pt>
                <c:pt idx="7">
                  <c:v>33817.454865255466</c:v>
                </c:pt>
                <c:pt idx="8">
                  <c:v>30701.735663411517</c:v>
                </c:pt>
                <c:pt idx="9">
                  <c:v>23065.343484665958</c:v>
                </c:pt>
                <c:pt idx="10">
                  <c:v>28445.604629978563</c:v>
                </c:pt>
                <c:pt idx="11">
                  <c:v>31439.467904342768</c:v>
                </c:pt>
                <c:pt idx="12">
                  <c:v>51975.472779784912</c:v>
                </c:pt>
                <c:pt idx="13">
                  <c:v>37684.349301943352</c:v>
                </c:pt>
                <c:pt idx="14">
                  <c:v>40321.324300773093</c:v>
                </c:pt>
                <c:pt idx="15">
                  <c:v>27475.808673109754</c:v>
                </c:pt>
                <c:pt idx="16">
                  <c:v>29538.624379155834</c:v>
                </c:pt>
                <c:pt idx="17">
                  <c:v>28758.014533072877</c:v>
                </c:pt>
                <c:pt idx="18">
                  <c:v>47457.613436522362</c:v>
                </c:pt>
                <c:pt idx="19">
                  <c:v>65927.415058823521</c:v>
                </c:pt>
                <c:pt idx="20">
                  <c:v>60493.906829268293</c:v>
                </c:pt>
                <c:pt idx="21">
                  <c:v>44978.445041175051</c:v>
                </c:pt>
                <c:pt idx="22">
                  <c:v>54066.335646875814</c:v>
                </c:pt>
                <c:pt idx="23">
                  <c:v>43676.353704066059</c:v>
                </c:pt>
                <c:pt idx="24">
                  <c:v>44999.261473233943</c:v>
                </c:pt>
                <c:pt idx="25">
                  <c:v>41566.91189808528</c:v>
                </c:pt>
                <c:pt idx="26">
                  <c:v>34085.623833046957</c:v>
                </c:pt>
                <c:pt idx="27">
                  <c:v>24514.356155831618</c:v>
                </c:pt>
                <c:pt idx="28">
                  <c:v>22783.456225720034</c:v>
                </c:pt>
                <c:pt idx="29">
                  <c:v>25985.185311320605</c:v>
                </c:pt>
                <c:pt idx="30">
                  <c:v>62368.233115944684</c:v>
                </c:pt>
                <c:pt idx="31">
                  <c:v>55953.497364255985</c:v>
                </c:pt>
                <c:pt idx="32">
                  <c:v>57419.876064550641</c:v>
                </c:pt>
                <c:pt idx="33">
                  <c:v>67752.716046675225</c:v>
                </c:pt>
                <c:pt idx="34">
                  <c:v>69015.337897573787</c:v>
                </c:pt>
                <c:pt idx="35">
                  <c:v>64300.169383529188</c:v>
                </c:pt>
                <c:pt idx="36">
                  <c:v>34527.751493498778</c:v>
                </c:pt>
                <c:pt idx="37">
                  <c:v>28789.206845515793</c:v>
                </c:pt>
                <c:pt idx="38">
                  <c:v>37531.95899987025</c:v>
                </c:pt>
                <c:pt idx="39">
                  <c:v>23135.17834445705</c:v>
                </c:pt>
                <c:pt idx="40">
                  <c:v>24677.743416136382</c:v>
                </c:pt>
                <c:pt idx="41">
                  <c:v>28084.7644109635</c:v>
                </c:pt>
                <c:pt idx="42">
                  <c:v>25078.82291729323</c:v>
                </c:pt>
                <c:pt idx="43">
                  <c:v>23627.931647305908</c:v>
                </c:pt>
                <c:pt idx="44">
                  <c:v>24460.594003791051</c:v>
                </c:pt>
                <c:pt idx="45">
                  <c:v>36689.849296110006</c:v>
                </c:pt>
                <c:pt idx="46">
                  <c:v>31965.769453507335</c:v>
                </c:pt>
                <c:pt idx="47">
                  <c:v>27811.121370310622</c:v>
                </c:pt>
                <c:pt idx="48">
                  <c:v>24925.269313255918</c:v>
                </c:pt>
                <c:pt idx="49">
                  <c:v>32269.874660098983</c:v>
                </c:pt>
                <c:pt idx="50">
                  <c:v>31601.955297958179</c:v>
                </c:pt>
                <c:pt idx="51">
                  <c:v>24932.199280014123</c:v>
                </c:pt>
                <c:pt idx="52">
                  <c:v>25507.073054024855</c:v>
                </c:pt>
                <c:pt idx="53">
                  <c:v>24345.863590911282</c:v>
                </c:pt>
                <c:pt idx="54">
                  <c:v>27594.871198156681</c:v>
                </c:pt>
                <c:pt idx="55">
                  <c:v>24109.02754017858</c:v>
                </c:pt>
                <c:pt idx="56">
                  <c:v>23508.756731709709</c:v>
                </c:pt>
                <c:pt idx="57">
                  <c:v>27675.253044674413</c:v>
                </c:pt>
                <c:pt idx="58">
                  <c:v>34446.112883575734</c:v>
                </c:pt>
                <c:pt idx="59">
                  <c:v>35112.221219435509</c:v>
                </c:pt>
                <c:pt idx="60">
                  <c:v>53051.616206671919</c:v>
                </c:pt>
                <c:pt idx="61">
                  <c:v>30040.185663424691</c:v>
                </c:pt>
                <c:pt idx="62">
                  <c:v>12623.692486033304</c:v>
                </c:pt>
                <c:pt idx="63">
                  <c:v>43278.479353580653</c:v>
                </c:pt>
                <c:pt idx="64">
                  <c:v>22991.718408997633</c:v>
                </c:pt>
                <c:pt idx="65">
                  <c:v>67994.279492810121</c:v>
                </c:pt>
                <c:pt idx="66">
                  <c:v>23282.212269651485</c:v>
                </c:pt>
                <c:pt idx="67">
                  <c:v>24368.560271898536</c:v>
                </c:pt>
                <c:pt idx="68">
                  <c:v>25682.678111644484</c:v>
                </c:pt>
              </c:numCache>
            </c:numRef>
          </c:val>
          <c:smooth val="0"/>
          <c:extLst>
            <c:ext xmlns:c16="http://schemas.microsoft.com/office/drawing/2014/chart" uri="{C3380CC4-5D6E-409C-BE32-E72D297353CC}">
              <c16:uniqueId val="{00000001-D699-4E95-9B79-3AE156B1FEE7}"/>
            </c:ext>
          </c:extLst>
        </c:ser>
        <c:ser>
          <c:idx val="4"/>
          <c:order val="1"/>
          <c:tx>
            <c:strRef>
              <c:f>'Comp to Prev_All FOEs (18-20)'!$BW$24</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D699-4E95-9B79-3AE156B1FEE7}"/>
              </c:ext>
            </c:extLst>
          </c:dPt>
          <c:cat>
            <c:strRef>
              <c:f>'Comp to Prev_All FOEs (18-20)'!$BX$6:$EN$6</c:f>
              <c:strCache>
                <c:ptCount val="69"/>
                <c:pt idx="0">
                  <c:v>MathSci (n=32)</c:v>
                </c:pt>
                <c:pt idx="1">
                  <c:v> (n=32)</c:v>
                </c:pt>
                <c:pt idx="2">
                  <c:v> (n=32)</c:v>
                </c:pt>
                <c:pt idx="3">
                  <c:v>MedicalSci (n=28)</c:v>
                </c:pt>
                <c:pt idx="4">
                  <c:v> (n=27)</c:v>
                </c:pt>
                <c:pt idx="5">
                  <c:v> (n=27)</c:v>
                </c:pt>
                <c:pt idx="6">
                  <c:v>OthNat-PhysSci (n=32)</c:v>
                </c:pt>
                <c:pt idx="7">
                  <c:v> (n=32)</c:v>
                </c:pt>
                <c:pt idx="8">
                  <c:v> (n=32)</c:v>
                </c:pt>
                <c:pt idx="9">
                  <c:v>InfoTech (n=32)</c:v>
                </c:pt>
                <c:pt idx="10">
                  <c:v> (n=32)</c:v>
                </c:pt>
                <c:pt idx="11">
                  <c:v> (n=32)</c:v>
                </c:pt>
                <c:pt idx="12">
                  <c:v>Eng&amp;Related (n=32)</c:v>
                </c:pt>
                <c:pt idx="13">
                  <c:v> (n=32)</c:v>
                </c:pt>
                <c:pt idx="14">
                  <c:v> (n=32)</c:v>
                </c:pt>
                <c:pt idx="15">
                  <c:v>Archi&amp;Build (n=26)</c:v>
                </c:pt>
                <c:pt idx="16">
                  <c:v> (n=26)</c:v>
                </c:pt>
                <c:pt idx="17">
                  <c:v> (n=26)</c:v>
                </c:pt>
                <c:pt idx="18">
                  <c:v>Environment (n=31)</c:v>
                </c:pt>
                <c:pt idx="19">
                  <c:v> (n=31)</c:v>
                </c:pt>
                <c:pt idx="20">
                  <c:v> (n=31)</c:v>
                </c:pt>
                <c:pt idx="21">
                  <c:v>OthAg&amp;Enviro (n=18)</c:v>
                </c:pt>
                <c:pt idx="22">
                  <c:v> (n=18)</c:v>
                </c:pt>
                <c:pt idx="23">
                  <c:v> (n=17)</c:v>
                </c:pt>
                <c:pt idx="24">
                  <c:v>MedicalStudies (n=24)</c:v>
                </c:pt>
                <c:pt idx="25">
                  <c:v> (n=24)</c:v>
                </c:pt>
                <c:pt idx="26">
                  <c:v> (n=24)</c:v>
                </c:pt>
                <c:pt idx="27">
                  <c:v>Nursing (n=29)</c:v>
                </c:pt>
                <c:pt idx="28">
                  <c:v> (n=29)</c:v>
                </c:pt>
                <c:pt idx="29">
                  <c:v> (n=29)</c:v>
                </c:pt>
                <c:pt idx="30">
                  <c:v>Dental (n=10)</c:v>
                </c:pt>
                <c:pt idx="31">
                  <c:v> (n=10)</c:v>
                </c:pt>
                <c:pt idx="32">
                  <c:v> (n=10)</c:v>
                </c:pt>
                <c:pt idx="33">
                  <c:v>Veterinary (n=8)</c:v>
                </c:pt>
                <c:pt idx="34">
                  <c:v> (n=8)</c:v>
                </c:pt>
                <c:pt idx="35">
                  <c:v> (n=8)</c:v>
                </c:pt>
                <c:pt idx="36">
                  <c:v>OthHealth (n=32)</c:v>
                </c:pt>
                <c:pt idx="37">
                  <c:v> (n=32)</c:v>
                </c:pt>
                <c:pt idx="38">
                  <c:v> (n=32)</c:v>
                </c:pt>
                <c:pt idx="39">
                  <c:v>Education (n=31)</c:v>
                </c:pt>
                <c:pt idx="40">
                  <c:v> (n=31)</c:v>
                </c:pt>
                <c:pt idx="41">
                  <c:v> (n=32)</c:v>
                </c:pt>
                <c:pt idx="42">
                  <c:v>Mgmt&amp;Comm (n=32)</c:v>
                </c:pt>
                <c:pt idx="43">
                  <c:v> (n=32)</c:v>
                </c:pt>
                <c:pt idx="44">
                  <c:v> (n=32)</c:v>
                </c:pt>
                <c:pt idx="45">
                  <c:v>ForeignLang (n=26)</c:v>
                </c:pt>
                <c:pt idx="46">
                  <c:v> (n=24)</c:v>
                </c:pt>
                <c:pt idx="47">
                  <c:v> (n=24)</c:v>
                </c:pt>
                <c:pt idx="48">
                  <c:v>Psych (n=32)</c:v>
                </c:pt>
                <c:pt idx="49">
                  <c:v> (n=32)</c:v>
                </c:pt>
                <c:pt idx="50">
                  <c:v> (n=32)</c:v>
                </c:pt>
                <c:pt idx="51">
                  <c:v>OtherSoc&amp;Cult (n=32)</c:v>
                </c:pt>
                <c:pt idx="52">
                  <c:v> (n=32)</c:v>
                </c:pt>
                <c:pt idx="53">
                  <c:v> (n=32)</c:v>
                </c:pt>
                <c:pt idx="54">
                  <c:v>Comms&amp;Media (n=32)</c:v>
                </c:pt>
                <c:pt idx="55">
                  <c:v> (n=32)</c:v>
                </c:pt>
                <c:pt idx="56">
                  <c:v> (n=32)</c:v>
                </c:pt>
                <c:pt idx="57">
                  <c:v>OthCreative (n=32)</c:v>
                </c:pt>
                <c:pt idx="58">
                  <c:v> (n=32)</c:v>
                </c:pt>
                <c:pt idx="59">
                  <c:v> (n=32)</c:v>
                </c:pt>
                <c:pt idx="60">
                  <c:v>FoodHosp&amp;Person (n=4)</c:v>
                </c:pt>
                <c:pt idx="61">
                  <c:v> (n=2)</c:v>
                </c:pt>
                <c:pt idx="62">
                  <c:v> (n=1)</c:v>
                </c:pt>
                <c:pt idx="63">
                  <c:v>MixedField (n=6)</c:v>
                </c:pt>
                <c:pt idx="64">
                  <c:v> (n=6)</c:v>
                </c:pt>
                <c:pt idx="65">
                  <c:v> (n=7)</c:v>
                </c:pt>
                <c:pt idx="66">
                  <c:v>Total (n=32)</c:v>
                </c:pt>
                <c:pt idx="67">
                  <c:v> (n=32)</c:v>
                </c:pt>
                <c:pt idx="68">
                  <c:v> (n=32)</c:v>
                </c:pt>
              </c:strCache>
            </c:strRef>
          </c:cat>
          <c:val>
            <c:numRef>
              <c:f>'Comp to Prev_All FOEs (18-20)'!$BX$24:$EN$24</c:f>
              <c:numCache>
                <c:formatCode>"$"#,##0</c:formatCode>
                <c:ptCount val="69"/>
                <c:pt idx="0">
                  <c:v>11860.705721029299</c:v>
                </c:pt>
                <c:pt idx="1">
                  <c:v>10780.908731603375</c:v>
                </c:pt>
                <c:pt idx="2">
                  <c:v>9293.2476689570794</c:v>
                </c:pt>
                <c:pt idx="3">
                  <c:v>9401.6134834985078</c:v>
                </c:pt>
                <c:pt idx="4">
                  <c:v>8913.1475129386581</c:v>
                </c:pt>
                <c:pt idx="5">
                  <c:v>9361.3338643970383</c:v>
                </c:pt>
                <c:pt idx="6">
                  <c:v>14152.692183337898</c:v>
                </c:pt>
                <c:pt idx="7">
                  <c:v>13642.50211060133</c:v>
                </c:pt>
                <c:pt idx="8">
                  <c:v>13425.001561982652</c:v>
                </c:pt>
                <c:pt idx="9">
                  <c:v>5483.4199113577652</c:v>
                </c:pt>
                <c:pt idx="10">
                  <c:v>4816.046717016181</c:v>
                </c:pt>
                <c:pt idx="11">
                  <c:v>5715.2536559990231</c:v>
                </c:pt>
                <c:pt idx="12">
                  <c:v>12837.105981477367</c:v>
                </c:pt>
                <c:pt idx="13">
                  <c:v>13055.225809588292</c:v>
                </c:pt>
                <c:pt idx="14">
                  <c:v>14972.73690239097</c:v>
                </c:pt>
                <c:pt idx="15">
                  <c:v>11010.667363150053</c:v>
                </c:pt>
                <c:pt idx="16">
                  <c:v>8031.9349638573149</c:v>
                </c:pt>
                <c:pt idx="17">
                  <c:v>8891.4128388056597</c:v>
                </c:pt>
                <c:pt idx="18">
                  <c:v>13649.479108939018</c:v>
                </c:pt>
                <c:pt idx="19">
                  <c:v>10727.185907704241</c:v>
                </c:pt>
                <c:pt idx="20">
                  <c:v>12848.695436254262</c:v>
                </c:pt>
                <c:pt idx="21">
                  <c:v>17557.09632499078</c:v>
                </c:pt>
                <c:pt idx="22">
                  <c:v>21581.55943900035</c:v>
                </c:pt>
                <c:pt idx="23">
                  <c:v>24608.280977701736</c:v>
                </c:pt>
                <c:pt idx="24">
                  <c:v>11298.655222256124</c:v>
                </c:pt>
                <c:pt idx="25">
                  <c:v>13609.870835252606</c:v>
                </c:pt>
                <c:pt idx="26">
                  <c:v>11910.303559938975</c:v>
                </c:pt>
                <c:pt idx="27">
                  <c:v>13008.148853653765</c:v>
                </c:pt>
                <c:pt idx="28">
                  <c:v>13864.128578198104</c:v>
                </c:pt>
                <c:pt idx="29">
                  <c:v>13797.445499185789</c:v>
                </c:pt>
                <c:pt idx="30">
                  <c:v>26379.194972171332</c:v>
                </c:pt>
                <c:pt idx="31">
                  <c:v>29520.191616766468</c:v>
                </c:pt>
                <c:pt idx="32">
                  <c:v>29312.200261053269</c:v>
                </c:pt>
                <c:pt idx="33">
                  <c:v>21221.398919006006</c:v>
                </c:pt>
                <c:pt idx="34">
                  <c:v>24955.663334579942</c:v>
                </c:pt>
                <c:pt idx="35">
                  <c:v>27809.021829550908</c:v>
                </c:pt>
                <c:pt idx="36">
                  <c:v>13941.913684749758</c:v>
                </c:pt>
                <c:pt idx="37">
                  <c:v>12227.784186088866</c:v>
                </c:pt>
                <c:pt idx="38">
                  <c:v>12567.558271595544</c:v>
                </c:pt>
                <c:pt idx="39">
                  <c:v>10960.222903560118</c:v>
                </c:pt>
                <c:pt idx="40">
                  <c:v>11745.240156478721</c:v>
                </c:pt>
                <c:pt idx="41">
                  <c:v>11340.234838146478</c:v>
                </c:pt>
                <c:pt idx="42">
                  <c:v>9550.8401359776926</c:v>
                </c:pt>
                <c:pt idx="43">
                  <c:v>6087.8175431536993</c:v>
                </c:pt>
                <c:pt idx="44">
                  <c:v>9990.7776309483434</c:v>
                </c:pt>
                <c:pt idx="45">
                  <c:v>12320.669480461886</c:v>
                </c:pt>
                <c:pt idx="46">
                  <c:v>13872.016898993776</c:v>
                </c:pt>
                <c:pt idx="47">
                  <c:v>7728.0934860918051</c:v>
                </c:pt>
                <c:pt idx="48">
                  <c:v>11241.775351978516</c:v>
                </c:pt>
                <c:pt idx="49">
                  <c:v>9855.2565075586353</c:v>
                </c:pt>
                <c:pt idx="50">
                  <c:v>9356.7335820847384</c:v>
                </c:pt>
                <c:pt idx="51">
                  <c:v>11375.159305223106</c:v>
                </c:pt>
                <c:pt idx="52">
                  <c:v>10793.329088845192</c:v>
                </c:pt>
                <c:pt idx="53">
                  <c:v>10207.21915636939</c:v>
                </c:pt>
                <c:pt idx="54">
                  <c:v>10482.577060044292</c:v>
                </c:pt>
                <c:pt idx="55">
                  <c:v>10736.866559312935</c:v>
                </c:pt>
                <c:pt idx="56">
                  <c:v>10166.556502413796</c:v>
                </c:pt>
                <c:pt idx="57">
                  <c:v>11562.984067753678</c:v>
                </c:pt>
                <c:pt idx="58">
                  <c:v>6682.9128324955736</c:v>
                </c:pt>
                <c:pt idx="59">
                  <c:v>12748.486891556373</c:v>
                </c:pt>
                <c:pt idx="60">
                  <c:v>14562.904808476833</c:v>
                </c:pt>
                <c:pt idx="61">
                  <c:v>13531.890830953098</c:v>
                </c:pt>
                <c:pt idx="62">
                  <c:v>12623.692486033304</c:v>
                </c:pt>
                <c:pt idx="63">
                  <c:v>5336.8042613932448</c:v>
                </c:pt>
                <c:pt idx="64">
                  <c:v>6129.8953727416438</c:v>
                </c:pt>
                <c:pt idx="65">
                  <c:v>6120.7369119304358</c:v>
                </c:pt>
                <c:pt idx="66">
                  <c:v>13801.512602260718</c:v>
                </c:pt>
                <c:pt idx="67">
                  <c:v>12814.530156902363</c:v>
                </c:pt>
                <c:pt idx="68">
                  <c:v>12831.921189840901</c:v>
                </c:pt>
              </c:numCache>
            </c:numRef>
          </c:val>
          <c:smooth val="0"/>
          <c:extLst>
            <c:ext xmlns:c16="http://schemas.microsoft.com/office/drawing/2014/chart" uri="{C3380CC4-5D6E-409C-BE32-E72D297353CC}">
              <c16:uniqueId val="{00000003-D699-4E95-9B79-3AE156B1FEE7}"/>
            </c:ext>
          </c:extLst>
        </c:ser>
        <c:ser>
          <c:idx val="5"/>
          <c:order val="2"/>
          <c:tx>
            <c:strRef>
              <c:f>'Comp to Prev_All FOEs (18-20)'!$BW$25</c:f>
              <c:strCache>
                <c:ptCount val="1"/>
                <c:pt idx="0">
                  <c:v>Mean</c:v>
                </c:pt>
              </c:strCache>
            </c:strRef>
          </c:tx>
          <c:spPr>
            <a:ln w="28575" cap="rnd">
              <a:noFill/>
              <a:round/>
            </a:ln>
            <a:effectLst/>
          </c:spPr>
          <c:marker>
            <c:symbol val="diamond"/>
            <c:size val="7"/>
            <c:spPr>
              <a:solidFill>
                <a:srgbClr val="BFBFBF"/>
              </a:solidFill>
              <a:ln>
                <a:solidFill>
                  <a:srgbClr val="BFBFBF"/>
                </a:solidFill>
              </a:ln>
            </c:spPr>
          </c:marker>
          <c:dPt>
            <c:idx val="1"/>
            <c:marker>
              <c:spPr>
                <a:solidFill>
                  <a:srgbClr val="002776"/>
                </a:solidFill>
                <a:ln>
                  <a:solidFill>
                    <a:srgbClr val="002776"/>
                  </a:solidFill>
                </a:ln>
              </c:spPr>
            </c:marker>
            <c:bubble3D val="0"/>
            <c:extLst>
              <c:ext xmlns:c16="http://schemas.microsoft.com/office/drawing/2014/chart" uri="{C3380CC4-5D6E-409C-BE32-E72D297353CC}">
                <c16:uniqueId val="{00000004-D699-4E95-9B79-3AE156B1FEE7}"/>
              </c:ext>
            </c:extLst>
          </c:dPt>
          <c:dPt>
            <c:idx val="2"/>
            <c:marker>
              <c:spPr>
                <a:solidFill>
                  <a:srgbClr val="53565A"/>
                </a:solidFill>
                <a:ln>
                  <a:solidFill>
                    <a:srgbClr val="53565A"/>
                  </a:solidFill>
                </a:ln>
              </c:spPr>
            </c:marker>
            <c:bubble3D val="0"/>
            <c:extLst>
              <c:ext xmlns:c16="http://schemas.microsoft.com/office/drawing/2014/chart" uri="{C3380CC4-5D6E-409C-BE32-E72D297353CC}">
                <c16:uniqueId val="{00000005-D699-4E95-9B79-3AE156B1FEE7}"/>
              </c:ext>
            </c:extLst>
          </c:dPt>
          <c:dPt>
            <c:idx val="4"/>
            <c:marker>
              <c:spPr>
                <a:solidFill>
                  <a:srgbClr val="002776"/>
                </a:solidFill>
                <a:ln>
                  <a:solidFill>
                    <a:srgbClr val="002776"/>
                  </a:solidFill>
                </a:ln>
              </c:spPr>
            </c:marker>
            <c:bubble3D val="0"/>
            <c:extLst>
              <c:ext xmlns:c16="http://schemas.microsoft.com/office/drawing/2014/chart" uri="{C3380CC4-5D6E-409C-BE32-E72D297353CC}">
                <c16:uniqueId val="{00000006-D699-4E95-9B79-3AE156B1FEE7}"/>
              </c:ext>
            </c:extLst>
          </c:dPt>
          <c:dPt>
            <c:idx val="5"/>
            <c:marker>
              <c:spPr>
                <a:solidFill>
                  <a:srgbClr val="53565A"/>
                </a:solidFill>
                <a:ln>
                  <a:solidFill>
                    <a:srgbClr val="53565A"/>
                  </a:solidFill>
                </a:ln>
              </c:spPr>
            </c:marker>
            <c:bubble3D val="0"/>
            <c:extLst>
              <c:ext xmlns:c16="http://schemas.microsoft.com/office/drawing/2014/chart" uri="{C3380CC4-5D6E-409C-BE32-E72D297353CC}">
                <c16:uniqueId val="{00000007-D699-4E95-9B79-3AE156B1FEE7}"/>
              </c:ext>
            </c:extLst>
          </c:dPt>
          <c:dPt>
            <c:idx val="7"/>
            <c:marker>
              <c:spPr>
                <a:solidFill>
                  <a:schemeClr val="tx2"/>
                </a:solidFill>
                <a:ln>
                  <a:solidFill>
                    <a:schemeClr val="tx2"/>
                  </a:solidFill>
                </a:ln>
              </c:spPr>
            </c:marker>
            <c:bubble3D val="0"/>
            <c:extLst>
              <c:ext xmlns:c16="http://schemas.microsoft.com/office/drawing/2014/chart" uri="{C3380CC4-5D6E-409C-BE32-E72D297353CC}">
                <c16:uniqueId val="{00000008-D699-4E95-9B79-3AE156B1FEE7}"/>
              </c:ext>
            </c:extLst>
          </c:dPt>
          <c:dPt>
            <c:idx val="8"/>
            <c:marker>
              <c:spPr>
                <a:solidFill>
                  <a:srgbClr val="53565A"/>
                </a:solidFill>
                <a:ln>
                  <a:solidFill>
                    <a:srgbClr val="53565A"/>
                  </a:solidFill>
                </a:ln>
              </c:spPr>
            </c:marker>
            <c:bubble3D val="0"/>
            <c:extLst>
              <c:ext xmlns:c16="http://schemas.microsoft.com/office/drawing/2014/chart" uri="{C3380CC4-5D6E-409C-BE32-E72D297353CC}">
                <c16:uniqueId val="{00000009-D699-4E95-9B79-3AE156B1FEE7}"/>
              </c:ext>
            </c:extLst>
          </c:dPt>
          <c:dPt>
            <c:idx val="10"/>
            <c:marker>
              <c:spPr>
                <a:solidFill>
                  <a:schemeClr val="tx2"/>
                </a:solidFill>
                <a:ln>
                  <a:solidFill>
                    <a:schemeClr val="tx2"/>
                  </a:solidFill>
                </a:ln>
              </c:spPr>
            </c:marker>
            <c:bubble3D val="0"/>
            <c:extLst>
              <c:ext xmlns:c16="http://schemas.microsoft.com/office/drawing/2014/chart" uri="{C3380CC4-5D6E-409C-BE32-E72D297353CC}">
                <c16:uniqueId val="{0000000A-D699-4E95-9B79-3AE156B1FEE7}"/>
              </c:ext>
            </c:extLst>
          </c:dPt>
          <c:dPt>
            <c:idx val="11"/>
            <c:marker>
              <c:spPr>
                <a:solidFill>
                  <a:srgbClr val="53565A"/>
                </a:solidFill>
                <a:ln>
                  <a:solidFill>
                    <a:srgbClr val="53565A"/>
                  </a:solidFill>
                </a:ln>
              </c:spPr>
            </c:marker>
            <c:bubble3D val="0"/>
            <c:extLst>
              <c:ext xmlns:c16="http://schemas.microsoft.com/office/drawing/2014/chart" uri="{C3380CC4-5D6E-409C-BE32-E72D297353CC}">
                <c16:uniqueId val="{0000000B-D699-4E95-9B79-3AE156B1FEE7}"/>
              </c:ext>
            </c:extLst>
          </c:dPt>
          <c:dPt>
            <c:idx val="13"/>
            <c:marker>
              <c:spPr>
                <a:solidFill>
                  <a:schemeClr val="tx2"/>
                </a:solidFill>
                <a:ln>
                  <a:solidFill>
                    <a:schemeClr val="tx2"/>
                  </a:solidFill>
                </a:ln>
              </c:spPr>
            </c:marker>
            <c:bubble3D val="0"/>
            <c:extLst>
              <c:ext xmlns:c16="http://schemas.microsoft.com/office/drawing/2014/chart" uri="{C3380CC4-5D6E-409C-BE32-E72D297353CC}">
                <c16:uniqueId val="{0000000C-D699-4E95-9B79-3AE156B1FEE7}"/>
              </c:ext>
            </c:extLst>
          </c:dPt>
          <c:dPt>
            <c:idx val="14"/>
            <c:marker>
              <c:spPr>
                <a:solidFill>
                  <a:srgbClr val="53565A"/>
                </a:solidFill>
                <a:ln>
                  <a:solidFill>
                    <a:srgbClr val="53565A"/>
                  </a:solidFill>
                </a:ln>
              </c:spPr>
            </c:marker>
            <c:bubble3D val="0"/>
            <c:extLst>
              <c:ext xmlns:c16="http://schemas.microsoft.com/office/drawing/2014/chart" uri="{C3380CC4-5D6E-409C-BE32-E72D297353CC}">
                <c16:uniqueId val="{0000000D-D699-4E95-9B79-3AE156B1FEE7}"/>
              </c:ext>
            </c:extLst>
          </c:dPt>
          <c:dPt>
            <c:idx val="16"/>
            <c:marker>
              <c:spPr>
                <a:solidFill>
                  <a:schemeClr val="tx2"/>
                </a:solidFill>
                <a:ln>
                  <a:solidFill>
                    <a:schemeClr val="tx2"/>
                  </a:solidFill>
                </a:ln>
              </c:spPr>
            </c:marker>
            <c:bubble3D val="0"/>
            <c:extLst>
              <c:ext xmlns:c16="http://schemas.microsoft.com/office/drawing/2014/chart" uri="{C3380CC4-5D6E-409C-BE32-E72D297353CC}">
                <c16:uniqueId val="{0000000E-D699-4E95-9B79-3AE156B1FEE7}"/>
              </c:ext>
            </c:extLst>
          </c:dPt>
          <c:dPt>
            <c:idx val="17"/>
            <c:marker>
              <c:spPr>
                <a:solidFill>
                  <a:srgbClr val="53565A"/>
                </a:solidFill>
                <a:ln>
                  <a:solidFill>
                    <a:srgbClr val="53565A"/>
                  </a:solidFill>
                </a:ln>
              </c:spPr>
            </c:marker>
            <c:bubble3D val="0"/>
            <c:extLst>
              <c:ext xmlns:c16="http://schemas.microsoft.com/office/drawing/2014/chart" uri="{C3380CC4-5D6E-409C-BE32-E72D297353CC}">
                <c16:uniqueId val="{0000000F-D699-4E95-9B79-3AE156B1FEE7}"/>
              </c:ext>
            </c:extLst>
          </c:dPt>
          <c:dPt>
            <c:idx val="19"/>
            <c:marker>
              <c:spPr>
                <a:solidFill>
                  <a:schemeClr val="tx2"/>
                </a:solidFill>
                <a:ln>
                  <a:solidFill>
                    <a:schemeClr val="tx2"/>
                  </a:solidFill>
                </a:ln>
              </c:spPr>
            </c:marker>
            <c:bubble3D val="0"/>
            <c:extLst>
              <c:ext xmlns:c16="http://schemas.microsoft.com/office/drawing/2014/chart" uri="{C3380CC4-5D6E-409C-BE32-E72D297353CC}">
                <c16:uniqueId val="{00000010-D699-4E95-9B79-3AE156B1FEE7}"/>
              </c:ext>
            </c:extLst>
          </c:dPt>
          <c:dPt>
            <c:idx val="20"/>
            <c:marker>
              <c:spPr>
                <a:solidFill>
                  <a:srgbClr val="53565A"/>
                </a:solidFill>
                <a:ln>
                  <a:solidFill>
                    <a:srgbClr val="53565A"/>
                  </a:solidFill>
                </a:ln>
              </c:spPr>
            </c:marker>
            <c:bubble3D val="0"/>
            <c:extLst>
              <c:ext xmlns:c16="http://schemas.microsoft.com/office/drawing/2014/chart" uri="{C3380CC4-5D6E-409C-BE32-E72D297353CC}">
                <c16:uniqueId val="{00000011-D699-4E95-9B79-3AE156B1FEE7}"/>
              </c:ext>
            </c:extLst>
          </c:dPt>
          <c:dPt>
            <c:idx val="22"/>
            <c:marker>
              <c:spPr>
                <a:solidFill>
                  <a:schemeClr val="tx2"/>
                </a:solidFill>
                <a:ln>
                  <a:solidFill>
                    <a:schemeClr val="tx2"/>
                  </a:solidFill>
                </a:ln>
              </c:spPr>
            </c:marker>
            <c:bubble3D val="0"/>
            <c:extLst>
              <c:ext xmlns:c16="http://schemas.microsoft.com/office/drawing/2014/chart" uri="{C3380CC4-5D6E-409C-BE32-E72D297353CC}">
                <c16:uniqueId val="{00000012-D699-4E95-9B79-3AE156B1FEE7}"/>
              </c:ext>
            </c:extLst>
          </c:dPt>
          <c:dPt>
            <c:idx val="23"/>
            <c:marker>
              <c:spPr>
                <a:solidFill>
                  <a:srgbClr val="53565A"/>
                </a:solidFill>
                <a:ln>
                  <a:solidFill>
                    <a:srgbClr val="53565A"/>
                  </a:solidFill>
                </a:ln>
              </c:spPr>
            </c:marker>
            <c:bubble3D val="0"/>
            <c:extLst>
              <c:ext xmlns:c16="http://schemas.microsoft.com/office/drawing/2014/chart" uri="{C3380CC4-5D6E-409C-BE32-E72D297353CC}">
                <c16:uniqueId val="{00000013-D699-4E95-9B79-3AE156B1FEE7}"/>
              </c:ext>
            </c:extLst>
          </c:dPt>
          <c:dPt>
            <c:idx val="25"/>
            <c:marker>
              <c:spPr>
                <a:solidFill>
                  <a:schemeClr val="tx2"/>
                </a:solidFill>
                <a:ln>
                  <a:solidFill>
                    <a:schemeClr val="tx2"/>
                  </a:solidFill>
                </a:ln>
              </c:spPr>
            </c:marker>
            <c:bubble3D val="0"/>
            <c:extLst>
              <c:ext xmlns:c16="http://schemas.microsoft.com/office/drawing/2014/chart" uri="{C3380CC4-5D6E-409C-BE32-E72D297353CC}">
                <c16:uniqueId val="{00000014-D699-4E95-9B79-3AE156B1FEE7}"/>
              </c:ext>
            </c:extLst>
          </c:dPt>
          <c:dPt>
            <c:idx val="26"/>
            <c:marker>
              <c:spPr>
                <a:solidFill>
                  <a:srgbClr val="53565A"/>
                </a:solidFill>
                <a:ln>
                  <a:solidFill>
                    <a:srgbClr val="53565A"/>
                  </a:solidFill>
                </a:ln>
              </c:spPr>
            </c:marker>
            <c:bubble3D val="0"/>
            <c:extLst>
              <c:ext xmlns:c16="http://schemas.microsoft.com/office/drawing/2014/chart" uri="{C3380CC4-5D6E-409C-BE32-E72D297353CC}">
                <c16:uniqueId val="{00000015-D699-4E95-9B79-3AE156B1FEE7}"/>
              </c:ext>
            </c:extLst>
          </c:dPt>
          <c:dPt>
            <c:idx val="28"/>
            <c:marker>
              <c:spPr>
                <a:solidFill>
                  <a:schemeClr val="tx2"/>
                </a:solidFill>
                <a:ln>
                  <a:solidFill>
                    <a:schemeClr val="tx2"/>
                  </a:solidFill>
                </a:ln>
              </c:spPr>
            </c:marker>
            <c:bubble3D val="0"/>
            <c:extLst>
              <c:ext xmlns:c16="http://schemas.microsoft.com/office/drawing/2014/chart" uri="{C3380CC4-5D6E-409C-BE32-E72D297353CC}">
                <c16:uniqueId val="{00000016-D699-4E95-9B79-3AE156B1FEE7}"/>
              </c:ext>
            </c:extLst>
          </c:dPt>
          <c:dPt>
            <c:idx val="29"/>
            <c:marker>
              <c:spPr>
                <a:solidFill>
                  <a:srgbClr val="53565A"/>
                </a:solidFill>
                <a:ln>
                  <a:solidFill>
                    <a:srgbClr val="53565A"/>
                  </a:solidFill>
                </a:ln>
              </c:spPr>
            </c:marker>
            <c:bubble3D val="0"/>
            <c:extLst>
              <c:ext xmlns:c16="http://schemas.microsoft.com/office/drawing/2014/chart" uri="{C3380CC4-5D6E-409C-BE32-E72D297353CC}">
                <c16:uniqueId val="{00000017-D699-4E95-9B79-3AE156B1FEE7}"/>
              </c:ext>
            </c:extLst>
          </c:dPt>
          <c:dPt>
            <c:idx val="31"/>
            <c:marker>
              <c:spPr>
                <a:solidFill>
                  <a:schemeClr val="tx2"/>
                </a:solidFill>
                <a:ln>
                  <a:solidFill>
                    <a:schemeClr val="tx2"/>
                  </a:solidFill>
                </a:ln>
              </c:spPr>
            </c:marker>
            <c:bubble3D val="0"/>
            <c:extLst>
              <c:ext xmlns:c16="http://schemas.microsoft.com/office/drawing/2014/chart" uri="{C3380CC4-5D6E-409C-BE32-E72D297353CC}">
                <c16:uniqueId val="{00000018-D699-4E95-9B79-3AE156B1FEE7}"/>
              </c:ext>
            </c:extLst>
          </c:dPt>
          <c:dPt>
            <c:idx val="32"/>
            <c:marker>
              <c:spPr>
                <a:solidFill>
                  <a:srgbClr val="53565A"/>
                </a:solidFill>
                <a:ln>
                  <a:solidFill>
                    <a:srgbClr val="53565A"/>
                  </a:solidFill>
                </a:ln>
              </c:spPr>
            </c:marker>
            <c:bubble3D val="0"/>
            <c:extLst>
              <c:ext xmlns:c16="http://schemas.microsoft.com/office/drawing/2014/chart" uri="{C3380CC4-5D6E-409C-BE32-E72D297353CC}">
                <c16:uniqueId val="{00000019-D699-4E95-9B79-3AE156B1FEE7}"/>
              </c:ext>
            </c:extLst>
          </c:dPt>
          <c:dPt>
            <c:idx val="34"/>
            <c:marker>
              <c:spPr>
                <a:solidFill>
                  <a:schemeClr val="tx2"/>
                </a:solidFill>
                <a:ln>
                  <a:solidFill>
                    <a:schemeClr val="tx2"/>
                  </a:solidFill>
                </a:ln>
              </c:spPr>
            </c:marker>
            <c:bubble3D val="0"/>
            <c:extLst>
              <c:ext xmlns:c16="http://schemas.microsoft.com/office/drawing/2014/chart" uri="{C3380CC4-5D6E-409C-BE32-E72D297353CC}">
                <c16:uniqueId val="{0000001A-D699-4E95-9B79-3AE156B1FEE7}"/>
              </c:ext>
            </c:extLst>
          </c:dPt>
          <c:dPt>
            <c:idx val="35"/>
            <c:marker>
              <c:spPr>
                <a:solidFill>
                  <a:srgbClr val="53565A"/>
                </a:solidFill>
                <a:ln>
                  <a:solidFill>
                    <a:srgbClr val="53565A"/>
                  </a:solidFill>
                </a:ln>
              </c:spPr>
            </c:marker>
            <c:bubble3D val="0"/>
            <c:extLst>
              <c:ext xmlns:c16="http://schemas.microsoft.com/office/drawing/2014/chart" uri="{C3380CC4-5D6E-409C-BE32-E72D297353CC}">
                <c16:uniqueId val="{0000001B-D699-4E95-9B79-3AE156B1FEE7}"/>
              </c:ext>
            </c:extLst>
          </c:dPt>
          <c:dPt>
            <c:idx val="37"/>
            <c:marker>
              <c:spPr>
                <a:solidFill>
                  <a:schemeClr val="tx2"/>
                </a:solidFill>
                <a:ln>
                  <a:solidFill>
                    <a:schemeClr val="tx2"/>
                  </a:solidFill>
                </a:ln>
              </c:spPr>
            </c:marker>
            <c:bubble3D val="0"/>
            <c:extLst>
              <c:ext xmlns:c16="http://schemas.microsoft.com/office/drawing/2014/chart" uri="{C3380CC4-5D6E-409C-BE32-E72D297353CC}">
                <c16:uniqueId val="{0000001C-D699-4E95-9B79-3AE156B1FEE7}"/>
              </c:ext>
            </c:extLst>
          </c:dPt>
          <c:dPt>
            <c:idx val="38"/>
            <c:marker>
              <c:spPr>
                <a:solidFill>
                  <a:srgbClr val="53565A"/>
                </a:solidFill>
                <a:ln>
                  <a:solidFill>
                    <a:srgbClr val="53565A"/>
                  </a:solidFill>
                </a:ln>
              </c:spPr>
            </c:marker>
            <c:bubble3D val="0"/>
            <c:extLst>
              <c:ext xmlns:c16="http://schemas.microsoft.com/office/drawing/2014/chart" uri="{C3380CC4-5D6E-409C-BE32-E72D297353CC}">
                <c16:uniqueId val="{0000001D-D699-4E95-9B79-3AE156B1FEE7}"/>
              </c:ext>
            </c:extLst>
          </c:dPt>
          <c:dPt>
            <c:idx val="40"/>
            <c:marker>
              <c:spPr>
                <a:solidFill>
                  <a:schemeClr val="tx2"/>
                </a:solidFill>
                <a:ln>
                  <a:solidFill>
                    <a:schemeClr val="tx2"/>
                  </a:solidFill>
                </a:ln>
              </c:spPr>
            </c:marker>
            <c:bubble3D val="0"/>
            <c:extLst>
              <c:ext xmlns:c16="http://schemas.microsoft.com/office/drawing/2014/chart" uri="{C3380CC4-5D6E-409C-BE32-E72D297353CC}">
                <c16:uniqueId val="{0000001E-D699-4E95-9B79-3AE156B1FEE7}"/>
              </c:ext>
            </c:extLst>
          </c:dPt>
          <c:dPt>
            <c:idx val="41"/>
            <c:marker>
              <c:spPr>
                <a:solidFill>
                  <a:srgbClr val="53565A"/>
                </a:solidFill>
                <a:ln>
                  <a:solidFill>
                    <a:srgbClr val="53565A"/>
                  </a:solidFill>
                </a:ln>
              </c:spPr>
            </c:marker>
            <c:bubble3D val="0"/>
            <c:extLst>
              <c:ext xmlns:c16="http://schemas.microsoft.com/office/drawing/2014/chart" uri="{C3380CC4-5D6E-409C-BE32-E72D297353CC}">
                <c16:uniqueId val="{0000001F-D699-4E95-9B79-3AE156B1FEE7}"/>
              </c:ext>
            </c:extLst>
          </c:dPt>
          <c:dPt>
            <c:idx val="43"/>
            <c:marker>
              <c:spPr>
                <a:solidFill>
                  <a:schemeClr val="tx2"/>
                </a:solidFill>
                <a:ln>
                  <a:solidFill>
                    <a:schemeClr val="tx2"/>
                  </a:solidFill>
                </a:ln>
              </c:spPr>
            </c:marker>
            <c:bubble3D val="0"/>
            <c:extLst>
              <c:ext xmlns:c16="http://schemas.microsoft.com/office/drawing/2014/chart" uri="{C3380CC4-5D6E-409C-BE32-E72D297353CC}">
                <c16:uniqueId val="{00000020-D699-4E95-9B79-3AE156B1FEE7}"/>
              </c:ext>
            </c:extLst>
          </c:dPt>
          <c:dPt>
            <c:idx val="44"/>
            <c:marker>
              <c:spPr>
                <a:solidFill>
                  <a:srgbClr val="53565A"/>
                </a:solidFill>
                <a:ln>
                  <a:solidFill>
                    <a:srgbClr val="53565A"/>
                  </a:solidFill>
                </a:ln>
              </c:spPr>
            </c:marker>
            <c:bubble3D val="0"/>
            <c:extLst>
              <c:ext xmlns:c16="http://schemas.microsoft.com/office/drawing/2014/chart" uri="{C3380CC4-5D6E-409C-BE32-E72D297353CC}">
                <c16:uniqueId val="{00000021-D699-4E95-9B79-3AE156B1FEE7}"/>
              </c:ext>
            </c:extLst>
          </c:dPt>
          <c:dPt>
            <c:idx val="46"/>
            <c:marker>
              <c:spPr>
                <a:solidFill>
                  <a:schemeClr val="tx2"/>
                </a:solidFill>
                <a:ln>
                  <a:solidFill>
                    <a:schemeClr val="tx2"/>
                  </a:solidFill>
                </a:ln>
              </c:spPr>
            </c:marker>
            <c:bubble3D val="0"/>
            <c:extLst>
              <c:ext xmlns:c16="http://schemas.microsoft.com/office/drawing/2014/chart" uri="{C3380CC4-5D6E-409C-BE32-E72D297353CC}">
                <c16:uniqueId val="{00000022-D699-4E95-9B79-3AE156B1FEE7}"/>
              </c:ext>
            </c:extLst>
          </c:dPt>
          <c:dPt>
            <c:idx val="47"/>
            <c:marker>
              <c:spPr>
                <a:solidFill>
                  <a:srgbClr val="53565A"/>
                </a:solidFill>
                <a:ln>
                  <a:solidFill>
                    <a:srgbClr val="53565A"/>
                  </a:solidFill>
                </a:ln>
              </c:spPr>
            </c:marker>
            <c:bubble3D val="0"/>
            <c:extLst>
              <c:ext xmlns:c16="http://schemas.microsoft.com/office/drawing/2014/chart" uri="{C3380CC4-5D6E-409C-BE32-E72D297353CC}">
                <c16:uniqueId val="{00000023-D699-4E95-9B79-3AE156B1FEE7}"/>
              </c:ext>
            </c:extLst>
          </c:dPt>
          <c:dPt>
            <c:idx val="49"/>
            <c:marker>
              <c:spPr>
                <a:solidFill>
                  <a:schemeClr val="tx2"/>
                </a:solidFill>
                <a:ln>
                  <a:solidFill>
                    <a:schemeClr val="tx2"/>
                  </a:solidFill>
                </a:ln>
              </c:spPr>
            </c:marker>
            <c:bubble3D val="0"/>
            <c:extLst>
              <c:ext xmlns:c16="http://schemas.microsoft.com/office/drawing/2014/chart" uri="{C3380CC4-5D6E-409C-BE32-E72D297353CC}">
                <c16:uniqueId val="{00000024-D699-4E95-9B79-3AE156B1FEE7}"/>
              </c:ext>
            </c:extLst>
          </c:dPt>
          <c:dPt>
            <c:idx val="50"/>
            <c:marker>
              <c:spPr>
                <a:solidFill>
                  <a:srgbClr val="53565A"/>
                </a:solidFill>
                <a:ln>
                  <a:solidFill>
                    <a:srgbClr val="53565A"/>
                  </a:solidFill>
                </a:ln>
              </c:spPr>
            </c:marker>
            <c:bubble3D val="0"/>
            <c:extLst>
              <c:ext xmlns:c16="http://schemas.microsoft.com/office/drawing/2014/chart" uri="{C3380CC4-5D6E-409C-BE32-E72D297353CC}">
                <c16:uniqueId val="{00000025-D699-4E95-9B79-3AE156B1FEE7}"/>
              </c:ext>
            </c:extLst>
          </c:dPt>
          <c:dPt>
            <c:idx val="52"/>
            <c:marker>
              <c:spPr>
                <a:solidFill>
                  <a:schemeClr val="tx2"/>
                </a:solidFill>
                <a:ln>
                  <a:solidFill>
                    <a:schemeClr val="tx2"/>
                  </a:solidFill>
                </a:ln>
              </c:spPr>
            </c:marker>
            <c:bubble3D val="0"/>
            <c:extLst>
              <c:ext xmlns:c16="http://schemas.microsoft.com/office/drawing/2014/chart" uri="{C3380CC4-5D6E-409C-BE32-E72D297353CC}">
                <c16:uniqueId val="{00000026-D699-4E95-9B79-3AE156B1FEE7}"/>
              </c:ext>
            </c:extLst>
          </c:dPt>
          <c:dPt>
            <c:idx val="53"/>
            <c:marker>
              <c:spPr>
                <a:solidFill>
                  <a:srgbClr val="53565A"/>
                </a:solidFill>
                <a:ln>
                  <a:solidFill>
                    <a:srgbClr val="53565A"/>
                  </a:solidFill>
                </a:ln>
              </c:spPr>
            </c:marker>
            <c:bubble3D val="0"/>
            <c:extLst>
              <c:ext xmlns:c16="http://schemas.microsoft.com/office/drawing/2014/chart" uri="{C3380CC4-5D6E-409C-BE32-E72D297353CC}">
                <c16:uniqueId val="{00000027-D699-4E95-9B79-3AE156B1FEE7}"/>
              </c:ext>
            </c:extLst>
          </c:dPt>
          <c:dPt>
            <c:idx val="55"/>
            <c:marker>
              <c:spPr>
                <a:solidFill>
                  <a:schemeClr val="tx2"/>
                </a:solidFill>
                <a:ln>
                  <a:solidFill>
                    <a:schemeClr val="tx2"/>
                  </a:solidFill>
                </a:ln>
              </c:spPr>
            </c:marker>
            <c:bubble3D val="0"/>
            <c:extLst>
              <c:ext xmlns:c16="http://schemas.microsoft.com/office/drawing/2014/chart" uri="{C3380CC4-5D6E-409C-BE32-E72D297353CC}">
                <c16:uniqueId val="{00000028-D699-4E95-9B79-3AE156B1FEE7}"/>
              </c:ext>
            </c:extLst>
          </c:dPt>
          <c:dPt>
            <c:idx val="56"/>
            <c:marker>
              <c:spPr>
                <a:solidFill>
                  <a:srgbClr val="53565A"/>
                </a:solidFill>
                <a:ln>
                  <a:solidFill>
                    <a:srgbClr val="53565A"/>
                  </a:solidFill>
                </a:ln>
              </c:spPr>
            </c:marker>
            <c:bubble3D val="0"/>
            <c:extLst>
              <c:ext xmlns:c16="http://schemas.microsoft.com/office/drawing/2014/chart" uri="{C3380CC4-5D6E-409C-BE32-E72D297353CC}">
                <c16:uniqueId val="{00000029-D699-4E95-9B79-3AE156B1FEE7}"/>
              </c:ext>
            </c:extLst>
          </c:dPt>
          <c:dPt>
            <c:idx val="58"/>
            <c:marker>
              <c:spPr>
                <a:solidFill>
                  <a:schemeClr val="tx2"/>
                </a:solidFill>
                <a:ln>
                  <a:solidFill>
                    <a:schemeClr val="tx2"/>
                  </a:solidFill>
                </a:ln>
              </c:spPr>
            </c:marker>
            <c:bubble3D val="0"/>
            <c:extLst>
              <c:ext xmlns:c16="http://schemas.microsoft.com/office/drawing/2014/chart" uri="{C3380CC4-5D6E-409C-BE32-E72D297353CC}">
                <c16:uniqueId val="{0000002A-D699-4E95-9B79-3AE156B1FEE7}"/>
              </c:ext>
            </c:extLst>
          </c:dPt>
          <c:dPt>
            <c:idx val="59"/>
            <c:marker>
              <c:spPr>
                <a:solidFill>
                  <a:srgbClr val="53565A"/>
                </a:solidFill>
                <a:ln>
                  <a:solidFill>
                    <a:srgbClr val="53565A"/>
                  </a:solidFill>
                </a:ln>
              </c:spPr>
            </c:marker>
            <c:bubble3D val="0"/>
            <c:extLst>
              <c:ext xmlns:c16="http://schemas.microsoft.com/office/drawing/2014/chart" uri="{C3380CC4-5D6E-409C-BE32-E72D297353CC}">
                <c16:uniqueId val="{0000002B-D699-4E95-9B79-3AE156B1FEE7}"/>
              </c:ext>
            </c:extLst>
          </c:dPt>
          <c:dPt>
            <c:idx val="61"/>
            <c:marker>
              <c:spPr>
                <a:solidFill>
                  <a:schemeClr val="tx2"/>
                </a:solidFill>
                <a:ln>
                  <a:solidFill>
                    <a:schemeClr val="tx2"/>
                  </a:solidFill>
                </a:ln>
              </c:spPr>
            </c:marker>
            <c:bubble3D val="0"/>
            <c:extLst>
              <c:ext xmlns:c16="http://schemas.microsoft.com/office/drawing/2014/chart" uri="{C3380CC4-5D6E-409C-BE32-E72D297353CC}">
                <c16:uniqueId val="{0000002C-D699-4E95-9B79-3AE156B1FEE7}"/>
              </c:ext>
            </c:extLst>
          </c:dPt>
          <c:dPt>
            <c:idx val="62"/>
            <c:marker>
              <c:spPr>
                <a:solidFill>
                  <a:srgbClr val="53565A"/>
                </a:solidFill>
                <a:ln>
                  <a:solidFill>
                    <a:srgbClr val="53565A"/>
                  </a:solidFill>
                </a:ln>
              </c:spPr>
            </c:marker>
            <c:bubble3D val="0"/>
            <c:extLst>
              <c:ext xmlns:c16="http://schemas.microsoft.com/office/drawing/2014/chart" uri="{C3380CC4-5D6E-409C-BE32-E72D297353CC}">
                <c16:uniqueId val="{0000002D-D699-4E95-9B79-3AE156B1FEE7}"/>
              </c:ext>
            </c:extLst>
          </c:dPt>
          <c:dPt>
            <c:idx val="64"/>
            <c:marker>
              <c:spPr>
                <a:solidFill>
                  <a:schemeClr val="tx2"/>
                </a:solidFill>
                <a:ln>
                  <a:solidFill>
                    <a:schemeClr val="tx2"/>
                  </a:solidFill>
                </a:ln>
              </c:spPr>
            </c:marker>
            <c:bubble3D val="0"/>
            <c:extLst>
              <c:ext xmlns:c16="http://schemas.microsoft.com/office/drawing/2014/chart" uri="{C3380CC4-5D6E-409C-BE32-E72D297353CC}">
                <c16:uniqueId val="{0000002E-D699-4E95-9B79-3AE156B1FEE7}"/>
              </c:ext>
            </c:extLst>
          </c:dPt>
          <c:dPt>
            <c:idx val="65"/>
            <c:marker>
              <c:spPr>
                <a:solidFill>
                  <a:srgbClr val="53565A"/>
                </a:solidFill>
                <a:ln>
                  <a:solidFill>
                    <a:srgbClr val="53565A"/>
                  </a:solidFill>
                </a:ln>
              </c:spPr>
            </c:marker>
            <c:bubble3D val="0"/>
            <c:extLst>
              <c:ext xmlns:c16="http://schemas.microsoft.com/office/drawing/2014/chart" uri="{C3380CC4-5D6E-409C-BE32-E72D297353CC}">
                <c16:uniqueId val="{0000002F-D699-4E95-9B79-3AE156B1FEE7}"/>
              </c:ext>
            </c:extLst>
          </c:dPt>
          <c:dPt>
            <c:idx val="67"/>
            <c:marker>
              <c:spPr>
                <a:solidFill>
                  <a:schemeClr val="tx2"/>
                </a:solidFill>
                <a:ln>
                  <a:solidFill>
                    <a:schemeClr val="tx2"/>
                  </a:solidFill>
                </a:ln>
              </c:spPr>
            </c:marker>
            <c:bubble3D val="0"/>
            <c:extLst>
              <c:ext xmlns:c16="http://schemas.microsoft.com/office/drawing/2014/chart" uri="{C3380CC4-5D6E-409C-BE32-E72D297353CC}">
                <c16:uniqueId val="{00000030-D699-4E95-9B79-3AE156B1FEE7}"/>
              </c:ext>
            </c:extLst>
          </c:dPt>
          <c:dPt>
            <c:idx val="68"/>
            <c:marker>
              <c:spPr>
                <a:solidFill>
                  <a:srgbClr val="53565A"/>
                </a:solidFill>
                <a:ln>
                  <a:solidFill>
                    <a:srgbClr val="53565A"/>
                  </a:solidFill>
                </a:ln>
              </c:spPr>
            </c:marker>
            <c:bubble3D val="0"/>
            <c:extLst>
              <c:ext xmlns:c16="http://schemas.microsoft.com/office/drawing/2014/chart" uri="{C3380CC4-5D6E-409C-BE32-E72D297353CC}">
                <c16:uniqueId val="{00000031-D699-4E95-9B79-3AE156B1FEE7}"/>
              </c:ext>
            </c:extLst>
          </c:dPt>
          <c:cat>
            <c:strRef>
              <c:f>'Comp to Prev_All FOEs (18-20)'!$BX$6:$EN$6</c:f>
              <c:strCache>
                <c:ptCount val="69"/>
                <c:pt idx="0">
                  <c:v>MathSci (n=32)</c:v>
                </c:pt>
                <c:pt idx="1">
                  <c:v> (n=32)</c:v>
                </c:pt>
                <c:pt idx="2">
                  <c:v> (n=32)</c:v>
                </c:pt>
                <c:pt idx="3">
                  <c:v>MedicalSci (n=28)</c:v>
                </c:pt>
                <c:pt idx="4">
                  <c:v> (n=27)</c:v>
                </c:pt>
                <c:pt idx="5">
                  <c:v> (n=27)</c:v>
                </c:pt>
                <c:pt idx="6">
                  <c:v>OthNat-PhysSci (n=32)</c:v>
                </c:pt>
                <c:pt idx="7">
                  <c:v> (n=32)</c:v>
                </c:pt>
                <c:pt idx="8">
                  <c:v> (n=32)</c:v>
                </c:pt>
                <c:pt idx="9">
                  <c:v>InfoTech (n=32)</c:v>
                </c:pt>
                <c:pt idx="10">
                  <c:v> (n=32)</c:v>
                </c:pt>
                <c:pt idx="11">
                  <c:v> (n=32)</c:v>
                </c:pt>
                <c:pt idx="12">
                  <c:v>Eng&amp;Related (n=32)</c:v>
                </c:pt>
                <c:pt idx="13">
                  <c:v> (n=32)</c:v>
                </c:pt>
                <c:pt idx="14">
                  <c:v> (n=32)</c:v>
                </c:pt>
                <c:pt idx="15">
                  <c:v>Archi&amp;Build (n=26)</c:v>
                </c:pt>
                <c:pt idx="16">
                  <c:v> (n=26)</c:v>
                </c:pt>
                <c:pt idx="17">
                  <c:v> (n=26)</c:v>
                </c:pt>
                <c:pt idx="18">
                  <c:v>Environment (n=31)</c:v>
                </c:pt>
                <c:pt idx="19">
                  <c:v> (n=31)</c:v>
                </c:pt>
                <c:pt idx="20">
                  <c:v> (n=31)</c:v>
                </c:pt>
                <c:pt idx="21">
                  <c:v>OthAg&amp;Enviro (n=18)</c:v>
                </c:pt>
                <c:pt idx="22">
                  <c:v> (n=18)</c:v>
                </c:pt>
                <c:pt idx="23">
                  <c:v> (n=17)</c:v>
                </c:pt>
                <c:pt idx="24">
                  <c:v>MedicalStudies (n=24)</c:v>
                </c:pt>
                <c:pt idx="25">
                  <c:v> (n=24)</c:v>
                </c:pt>
                <c:pt idx="26">
                  <c:v> (n=24)</c:v>
                </c:pt>
                <c:pt idx="27">
                  <c:v>Nursing (n=29)</c:v>
                </c:pt>
                <c:pt idx="28">
                  <c:v> (n=29)</c:v>
                </c:pt>
                <c:pt idx="29">
                  <c:v> (n=29)</c:v>
                </c:pt>
                <c:pt idx="30">
                  <c:v>Dental (n=10)</c:v>
                </c:pt>
                <c:pt idx="31">
                  <c:v> (n=10)</c:v>
                </c:pt>
                <c:pt idx="32">
                  <c:v> (n=10)</c:v>
                </c:pt>
                <c:pt idx="33">
                  <c:v>Veterinary (n=8)</c:v>
                </c:pt>
                <c:pt idx="34">
                  <c:v> (n=8)</c:v>
                </c:pt>
                <c:pt idx="35">
                  <c:v> (n=8)</c:v>
                </c:pt>
                <c:pt idx="36">
                  <c:v>OthHealth (n=32)</c:v>
                </c:pt>
                <c:pt idx="37">
                  <c:v> (n=32)</c:v>
                </c:pt>
                <c:pt idx="38">
                  <c:v> (n=32)</c:v>
                </c:pt>
                <c:pt idx="39">
                  <c:v>Education (n=31)</c:v>
                </c:pt>
                <c:pt idx="40">
                  <c:v> (n=31)</c:v>
                </c:pt>
                <c:pt idx="41">
                  <c:v> (n=32)</c:v>
                </c:pt>
                <c:pt idx="42">
                  <c:v>Mgmt&amp;Comm (n=32)</c:v>
                </c:pt>
                <c:pt idx="43">
                  <c:v> (n=32)</c:v>
                </c:pt>
                <c:pt idx="44">
                  <c:v> (n=32)</c:v>
                </c:pt>
                <c:pt idx="45">
                  <c:v>ForeignLang (n=26)</c:v>
                </c:pt>
                <c:pt idx="46">
                  <c:v> (n=24)</c:v>
                </c:pt>
                <c:pt idx="47">
                  <c:v> (n=24)</c:v>
                </c:pt>
                <c:pt idx="48">
                  <c:v>Psych (n=32)</c:v>
                </c:pt>
                <c:pt idx="49">
                  <c:v> (n=32)</c:v>
                </c:pt>
                <c:pt idx="50">
                  <c:v> (n=32)</c:v>
                </c:pt>
                <c:pt idx="51">
                  <c:v>OtherSoc&amp;Cult (n=32)</c:v>
                </c:pt>
                <c:pt idx="52">
                  <c:v> (n=32)</c:v>
                </c:pt>
                <c:pt idx="53">
                  <c:v> (n=32)</c:v>
                </c:pt>
                <c:pt idx="54">
                  <c:v>Comms&amp;Media (n=32)</c:v>
                </c:pt>
                <c:pt idx="55">
                  <c:v> (n=32)</c:v>
                </c:pt>
                <c:pt idx="56">
                  <c:v> (n=32)</c:v>
                </c:pt>
                <c:pt idx="57">
                  <c:v>OthCreative (n=32)</c:v>
                </c:pt>
                <c:pt idx="58">
                  <c:v> (n=32)</c:v>
                </c:pt>
                <c:pt idx="59">
                  <c:v> (n=32)</c:v>
                </c:pt>
                <c:pt idx="60">
                  <c:v>FoodHosp&amp;Person (n=4)</c:v>
                </c:pt>
                <c:pt idx="61">
                  <c:v> (n=2)</c:v>
                </c:pt>
                <c:pt idx="62">
                  <c:v> (n=1)</c:v>
                </c:pt>
                <c:pt idx="63">
                  <c:v>MixedField (n=6)</c:v>
                </c:pt>
                <c:pt idx="64">
                  <c:v> (n=6)</c:v>
                </c:pt>
                <c:pt idx="65">
                  <c:v> (n=7)</c:v>
                </c:pt>
                <c:pt idx="66">
                  <c:v>Total (n=32)</c:v>
                </c:pt>
                <c:pt idx="67">
                  <c:v> (n=32)</c:v>
                </c:pt>
                <c:pt idx="68">
                  <c:v> (n=32)</c:v>
                </c:pt>
              </c:strCache>
            </c:strRef>
          </c:cat>
          <c:val>
            <c:numRef>
              <c:f>'Comp to Prev_All FOEs (18-20)'!$BX$25:$EN$25</c:f>
              <c:numCache>
                <c:formatCode>"$"#,##0</c:formatCode>
                <c:ptCount val="69"/>
                <c:pt idx="0">
                  <c:v>15730.790046548473</c:v>
                </c:pt>
                <c:pt idx="1">
                  <c:v>15709.339360307522</c:v>
                </c:pt>
                <c:pt idx="2">
                  <c:v>15805.049396824495</c:v>
                </c:pt>
                <c:pt idx="3">
                  <c:v>22046.093962685842</c:v>
                </c:pt>
                <c:pt idx="4">
                  <c:v>23246.302593312677</c:v>
                </c:pt>
                <c:pt idx="5">
                  <c:v>22574.875274149446</c:v>
                </c:pt>
                <c:pt idx="6">
                  <c:v>21205.265375827796</c:v>
                </c:pt>
                <c:pt idx="7">
                  <c:v>21207.052886055393</c:v>
                </c:pt>
                <c:pt idx="8">
                  <c:v>20611.203209222487</c:v>
                </c:pt>
                <c:pt idx="9">
                  <c:v>16650.052854273046</c:v>
                </c:pt>
                <c:pt idx="10">
                  <c:v>16636.508293883486</c:v>
                </c:pt>
                <c:pt idx="11">
                  <c:v>16901.004123900533</c:v>
                </c:pt>
                <c:pt idx="12">
                  <c:v>20765.610460393462</c:v>
                </c:pt>
                <c:pt idx="13">
                  <c:v>21416.558624338028</c:v>
                </c:pt>
                <c:pt idx="14">
                  <c:v>21433.633585843858</c:v>
                </c:pt>
                <c:pt idx="15">
                  <c:v>17879.82925584065</c:v>
                </c:pt>
                <c:pt idx="16">
                  <c:v>18459.744550915671</c:v>
                </c:pt>
                <c:pt idx="17">
                  <c:v>18464.389399807598</c:v>
                </c:pt>
                <c:pt idx="18">
                  <c:v>23558.603737490426</c:v>
                </c:pt>
                <c:pt idx="19">
                  <c:v>22445.041293110717</c:v>
                </c:pt>
                <c:pt idx="20">
                  <c:v>21534.385466703585</c:v>
                </c:pt>
                <c:pt idx="21">
                  <c:v>29919.898423775972</c:v>
                </c:pt>
                <c:pt idx="22">
                  <c:v>30370.016943868977</c:v>
                </c:pt>
                <c:pt idx="23">
                  <c:v>29666.031317034998</c:v>
                </c:pt>
                <c:pt idx="24">
                  <c:v>29839.182725970801</c:v>
                </c:pt>
                <c:pt idx="25">
                  <c:v>28983.59159151054</c:v>
                </c:pt>
                <c:pt idx="26">
                  <c:v>27523.659392224912</c:v>
                </c:pt>
                <c:pt idx="27">
                  <c:v>17106.565220538574</c:v>
                </c:pt>
                <c:pt idx="28">
                  <c:v>17644.46170933489</c:v>
                </c:pt>
                <c:pt idx="29">
                  <c:v>17717.435239852148</c:v>
                </c:pt>
                <c:pt idx="30">
                  <c:v>37472.55096361442</c:v>
                </c:pt>
                <c:pt idx="31">
                  <c:v>38178.017996312046</c:v>
                </c:pt>
                <c:pt idx="32">
                  <c:v>37909.636876800752</c:v>
                </c:pt>
                <c:pt idx="33">
                  <c:v>50165.52034019211</c:v>
                </c:pt>
                <c:pt idx="34">
                  <c:v>47883.678981902653</c:v>
                </c:pt>
                <c:pt idx="35">
                  <c:v>46728.018934822248</c:v>
                </c:pt>
                <c:pt idx="36">
                  <c:v>19366.013917298096</c:v>
                </c:pt>
                <c:pt idx="37">
                  <c:v>19620.081196153064</c:v>
                </c:pt>
                <c:pt idx="38">
                  <c:v>19708.36900336287</c:v>
                </c:pt>
                <c:pt idx="39">
                  <c:v>15276.2971513553</c:v>
                </c:pt>
                <c:pt idx="40">
                  <c:v>15412.616716453649</c:v>
                </c:pt>
                <c:pt idx="41">
                  <c:v>15048.22317238896</c:v>
                </c:pt>
                <c:pt idx="42">
                  <c:v>14904.651799672889</c:v>
                </c:pt>
                <c:pt idx="43">
                  <c:v>15233.519070281383</c:v>
                </c:pt>
                <c:pt idx="44">
                  <c:v>15585.220165246616</c:v>
                </c:pt>
                <c:pt idx="45">
                  <c:v>16990.425855192043</c:v>
                </c:pt>
                <c:pt idx="46">
                  <c:v>16877.616608839173</c:v>
                </c:pt>
                <c:pt idx="47">
                  <c:v>17758.195899915143</c:v>
                </c:pt>
                <c:pt idx="48">
                  <c:v>15000.550794838431</c:v>
                </c:pt>
                <c:pt idx="49">
                  <c:v>15402.782355810739</c:v>
                </c:pt>
                <c:pt idx="50">
                  <c:v>14863.504268906387</c:v>
                </c:pt>
                <c:pt idx="51">
                  <c:v>14343.523723942306</c:v>
                </c:pt>
                <c:pt idx="52">
                  <c:v>14502.151760117877</c:v>
                </c:pt>
                <c:pt idx="53">
                  <c:v>14669.617390725925</c:v>
                </c:pt>
                <c:pt idx="54">
                  <c:v>15903.730034962902</c:v>
                </c:pt>
                <c:pt idx="55">
                  <c:v>15939.706817538485</c:v>
                </c:pt>
                <c:pt idx="56">
                  <c:v>16332.600874056885</c:v>
                </c:pt>
                <c:pt idx="57">
                  <c:v>20244.950442919508</c:v>
                </c:pt>
                <c:pt idx="58">
                  <c:v>20743.721128097724</c:v>
                </c:pt>
                <c:pt idx="59">
                  <c:v>21305.044931635541</c:v>
                </c:pt>
                <c:pt idx="60">
                  <c:v>26765.823845911855</c:v>
                </c:pt>
                <c:pt idx="61">
                  <c:v>15637.29654871759</c:v>
                </c:pt>
                <c:pt idx="62">
                  <c:v>12623.692486033304</c:v>
                </c:pt>
                <c:pt idx="63">
                  <c:v>19056.073874741567</c:v>
                </c:pt>
                <c:pt idx="64">
                  <c:v>14497.042021307949</c:v>
                </c:pt>
                <c:pt idx="65">
                  <c:v>18053.193492180151</c:v>
                </c:pt>
                <c:pt idx="66">
                  <c:v>17563.916055529859</c:v>
                </c:pt>
                <c:pt idx="67">
                  <c:v>17763.305102745326</c:v>
                </c:pt>
                <c:pt idx="68">
                  <c:v>17788.287254299659</c:v>
                </c:pt>
              </c:numCache>
            </c:numRef>
          </c:val>
          <c:smooth val="0"/>
          <c:extLst>
            <c:ext xmlns:c16="http://schemas.microsoft.com/office/drawing/2014/chart" uri="{C3380CC4-5D6E-409C-BE32-E72D297353CC}">
              <c16:uniqueId val="{00000032-D699-4E95-9B79-3AE156B1FEE7}"/>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3"/>
        <c:noMultiLvlLbl val="0"/>
      </c:catAx>
      <c:valAx>
        <c:axId val="932351327"/>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2948381452318"/>
          <c:y val="4.8006241138324732E-2"/>
          <c:w val="0.85181496062992124"/>
          <c:h val="0.72069365760898185"/>
        </c:manualLayout>
      </c:layout>
      <c:stockChart>
        <c:ser>
          <c:idx val="3"/>
          <c:order val="0"/>
          <c:tx>
            <c:strRef>
              <c:f>'Comp to Prev_All FOEs (18-20)'!$BW$30</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1428-49DD-956F-89F876924B4D}"/>
              </c:ext>
            </c:extLst>
          </c:dPt>
          <c:cat>
            <c:strRef>
              <c:f>'Comp to Prev_All FOEs (18-20)'!$BX$7:$EN$7</c:f>
              <c:strCache>
                <c:ptCount val="69"/>
                <c:pt idx="0">
                  <c:v>MathSci (n=29)</c:v>
                </c:pt>
                <c:pt idx="1">
                  <c:v> (n=28)</c:v>
                </c:pt>
                <c:pt idx="2">
                  <c:v> (n=30)</c:v>
                </c:pt>
                <c:pt idx="3">
                  <c:v>MedicalSci (n=12)</c:v>
                </c:pt>
                <c:pt idx="4">
                  <c:v> (n=12)</c:v>
                </c:pt>
                <c:pt idx="5">
                  <c:v> (n=13)</c:v>
                </c:pt>
                <c:pt idx="6">
                  <c:v>OthNat-PhysSci (n=28)</c:v>
                </c:pt>
                <c:pt idx="7">
                  <c:v> (n=28)</c:v>
                </c:pt>
                <c:pt idx="8">
                  <c:v> (n=27)</c:v>
                </c:pt>
                <c:pt idx="9">
                  <c:v>InfoTech (n=32)</c:v>
                </c:pt>
                <c:pt idx="10">
                  <c:v> (n=32)</c:v>
                </c:pt>
                <c:pt idx="11">
                  <c:v> (n=32)</c:v>
                </c:pt>
                <c:pt idx="12">
                  <c:v>Eng&amp;Related (n=30)</c:v>
                </c:pt>
                <c:pt idx="13">
                  <c:v> (n=29)</c:v>
                </c:pt>
                <c:pt idx="14">
                  <c:v> (n=30)</c:v>
                </c:pt>
                <c:pt idx="15">
                  <c:v>Archi&amp;Build (n=18)</c:v>
                </c:pt>
                <c:pt idx="16">
                  <c:v> (n=19)</c:v>
                </c:pt>
                <c:pt idx="17">
                  <c:v> (n=19)</c:v>
                </c:pt>
                <c:pt idx="18">
                  <c:v>Environment (n=23)</c:v>
                </c:pt>
                <c:pt idx="19">
                  <c:v> (n=23)</c:v>
                </c:pt>
                <c:pt idx="20">
                  <c:v> (n=25)</c:v>
                </c:pt>
                <c:pt idx="21">
                  <c:v>OthAg&amp;Enviro (n=13)</c:v>
                </c:pt>
                <c:pt idx="22">
                  <c:v> (n=12)</c:v>
                </c:pt>
                <c:pt idx="23">
                  <c:v> (n=13)</c:v>
                </c:pt>
                <c:pt idx="24">
                  <c:v>MedicalStudies (n=17)</c:v>
                </c:pt>
                <c:pt idx="25">
                  <c:v> (n=18)</c:v>
                </c:pt>
                <c:pt idx="26">
                  <c:v> (n=17)</c:v>
                </c:pt>
                <c:pt idx="27">
                  <c:v>Nursing (n=28)</c:v>
                </c:pt>
                <c:pt idx="28">
                  <c:v> (n=28)</c:v>
                </c:pt>
                <c:pt idx="29">
                  <c:v> (n=29)</c:v>
                </c:pt>
                <c:pt idx="30">
                  <c:v>Dental (n=8)</c:v>
                </c:pt>
                <c:pt idx="31">
                  <c:v> (n=7)</c:v>
                </c:pt>
                <c:pt idx="32">
                  <c:v> (n=8)</c:v>
                </c:pt>
                <c:pt idx="33">
                  <c:v>Veterinary (n=5)</c:v>
                </c:pt>
                <c:pt idx="34">
                  <c:v> (n=4)</c:v>
                </c:pt>
                <c:pt idx="35">
                  <c:v> (n=4)</c:v>
                </c:pt>
                <c:pt idx="36">
                  <c:v>OthHealth (n=32)</c:v>
                </c:pt>
                <c:pt idx="37">
                  <c:v> (n=32)</c:v>
                </c:pt>
                <c:pt idx="38">
                  <c:v> (n=32)</c:v>
                </c:pt>
                <c:pt idx="39">
                  <c:v>Education (n=31)</c:v>
                </c:pt>
                <c:pt idx="40">
                  <c:v> (n=31)</c:v>
                </c:pt>
                <c:pt idx="41">
                  <c:v> (n=31)</c:v>
                </c:pt>
                <c:pt idx="42">
                  <c:v>Mgmt&amp;Comm (n=32)</c:v>
                </c:pt>
                <c:pt idx="43">
                  <c:v> (n=32)</c:v>
                </c:pt>
                <c:pt idx="44">
                  <c:v> (n=32)</c:v>
                </c:pt>
                <c:pt idx="45">
                  <c:v>ForeignLang (n=11)</c:v>
                </c:pt>
                <c:pt idx="46">
                  <c:v> (n=11)</c:v>
                </c:pt>
                <c:pt idx="47">
                  <c:v> (n=10)</c:v>
                </c:pt>
                <c:pt idx="48">
                  <c:v>Psych (n=31)</c:v>
                </c:pt>
                <c:pt idx="49">
                  <c:v> (n=31)</c:v>
                </c:pt>
                <c:pt idx="50">
                  <c:v> (n=31)</c:v>
                </c:pt>
                <c:pt idx="51">
                  <c:v>OtherSoc&amp;Cult (n=32)</c:v>
                </c:pt>
                <c:pt idx="52">
                  <c:v> (n=32)</c:v>
                </c:pt>
                <c:pt idx="53">
                  <c:v> (n=32)</c:v>
                </c:pt>
                <c:pt idx="54">
                  <c:v>Comms&amp;Media (n=23)</c:v>
                </c:pt>
                <c:pt idx="55">
                  <c:v> (n=23)</c:v>
                </c:pt>
                <c:pt idx="56">
                  <c:v> (n=23)</c:v>
                </c:pt>
                <c:pt idx="57">
                  <c:v>OthCreative (n=21)</c:v>
                </c:pt>
                <c:pt idx="58">
                  <c:v> (n=17)</c:v>
                </c:pt>
                <c:pt idx="59">
                  <c:v> (n=18)</c:v>
                </c:pt>
                <c:pt idx="60">
                  <c:v>FoodHosp&amp;Person (n=1)</c:v>
                </c:pt>
                <c:pt idx="61">
                  <c:v> (n=0)</c:v>
                </c:pt>
                <c:pt idx="62">
                  <c:v> (n=0)</c:v>
                </c:pt>
                <c:pt idx="63">
                  <c:v>MixedField (n=4)</c:v>
                </c:pt>
                <c:pt idx="64">
                  <c:v> (n=5)</c:v>
                </c:pt>
                <c:pt idx="65">
                  <c:v> (n=6)</c:v>
                </c:pt>
                <c:pt idx="66">
                  <c:v>Total (n=32)</c:v>
                </c:pt>
                <c:pt idx="67">
                  <c:v> (n=32)</c:v>
                </c:pt>
                <c:pt idx="68">
                  <c:v> (n=32)</c:v>
                </c:pt>
              </c:strCache>
            </c:strRef>
          </c:cat>
          <c:val>
            <c:numRef>
              <c:f>'Comp to Prev_All FOEs (18-20)'!$BX$30:$EN$30</c:f>
              <c:numCache>
                <c:formatCode>"$"#,##0</c:formatCode>
                <c:ptCount val="69"/>
                <c:pt idx="0">
                  <c:v>30077.016848949374</c:v>
                </c:pt>
                <c:pt idx="1">
                  <c:v>36784.876519227451</c:v>
                </c:pt>
                <c:pt idx="2">
                  <c:v>38971.750368267552</c:v>
                </c:pt>
                <c:pt idx="3">
                  <c:v>34160.572492427993</c:v>
                </c:pt>
                <c:pt idx="4">
                  <c:v>46826.597031659265</c:v>
                </c:pt>
                <c:pt idx="5">
                  <c:v>71510.261765981413</c:v>
                </c:pt>
                <c:pt idx="6">
                  <c:v>95162.539032098401</c:v>
                </c:pt>
                <c:pt idx="7">
                  <c:v>54671.086593879438</c:v>
                </c:pt>
                <c:pt idx="8">
                  <c:v>57051.806422409529</c:v>
                </c:pt>
                <c:pt idx="9">
                  <c:v>27518.367619411561</c:v>
                </c:pt>
                <c:pt idx="10">
                  <c:v>28848.319960299661</c:v>
                </c:pt>
                <c:pt idx="11">
                  <c:v>33177.993545770274</c:v>
                </c:pt>
                <c:pt idx="12">
                  <c:v>60755.292526708748</c:v>
                </c:pt>
                <c:pt idx="13">
                  <c:v>44873.200128105069</c:v>
                </c:pt>
                <c:pt idx="14">
                  <c:v>44509.618392341406</c:v>
                </c:pt>
                <c:pt idx="15">
                  <c:v>27475.80867310975</c:v>
                </c:pt>
                <c:pt idx="16">
                  <c:v>40500.403744221905</c:v>
                </c:pt>
                <c:pt idx="17">
                  <c:v>26678.702907407289</c:v>
                </c:pt>
                <c:pt idx="18">
                  <c:v>87346.033385497329</c:v>
                </c:pt>
                <c:pt idx="19">
                  <c:v>65927.415058823535</c:v>
                </c:pt>
                <c:pt idx="20">
                  <c:v>60493.906829268286</c:v>
                </c:pt>
                <c:pt idx="21">
                  <c:v>72583.722360278218</c:v>
                </c:pt>
                <c:pt idx="22">
                  <c:v>70147.927555786315</c:v>
                </c:pt>
                <c:pt idx="23">
                  <c:v>77161.83366565613</c:v>
                </c:pt>
                <c:pt idx="24">
                  <c:v>51056.717810619179</c:v>
                </c:pt>
                <c:pt idx="25">
                  <c:v>44546.816961352619</c:v>
                </c:pt>
                <c:pt idx="26">
                  <c:v>53672.733283714944</c:v>
                </c:pt>
                <c:pt idx="27">
                  <c:v>44633.828481965233</c:v>
                </c:pt>
                <c:pt idx="28">
                  <c:v>36752.742784658214</c:v>
                </c:pt>
                <c:pt idx="29">
                  <c:v>91891.070152403467</c:v>
                </c:pt>
                <c:pt idx="30">
                  <c:v>74676.814814814803</c:v>
                </c:pt>
                <c:pt idx="31">
                  <c:v>93152.777777777781</c:v>
                </c:pt>
                <c:pt idx="32">
                  <c:v>63832.595041322311</c:v>
                </c:pt>
                <c:pt idx="33">
                  <c:v>64802.035391180652</c:v>
                </c:pt>
                <c:pt idx="34">
                  <c:v>70662.345624372916</c:v>
                </c:pt>
                <c:pt idx="35">
                  <c:v>70383.964584545829</c:v>
                </c:pt>
                <c:pt idx="36">
                  <c:v>39532.900633052908</c:v>
                </c:pt>
                <c:pt idx="37">
                  <c:v>55976.682135892275</c:v>
                </c:pt>
                <c:pt idx="38">
                  <c:v>79474.307689493988</c:v>
                </c:pt>
                <c:pt idx="39">
                  <c:v>22782.081690317031</c:v>
                </c:pt>
                <c:pt idx="40">
                  <c:v>29209.654788690023</c:v>
                </c:pt>
                <c:pt idx="41">
                  <c:v>29889.101553952292</c:v>
                </c:pt>
                <c:pt idx="42">
                  <c:v>27358.071583041994</c:v>
                </c:pt>
                <c:pt idx="43">
                  <c:v>28660.426056222444</c:v>
                </c:pt>
                <c:pt idx="44">
                  <c:v>27327.28148153815</c:v>
                </c:pt>
                <c:pt idx="45">
                  <c:v>51547.284218749781</c:v>
                </c:pt>
                <c:pt idx="46">
                  <c:v>35192.435078291601</c:v>
                </c:pt>
                <c:pt idx="47">
                  <c:v>45597.430698013064</c:v>
                </c:pt>
                <c:pt idx="48">
                  <c:v>51017.446512770359</c:v>
                </c:pt>
                <c:pt idx="49">
                  <c:v>58923.215506299559</c:v>
                </c:pt>
                <c:pt idx="50">
                  <c:v>66769.436101229119</c:v>
                </c:pt>
                <c:pt idx="51">
                  <c:v>28005.316061809623</c:v>
                </c:pt>
                <c:pt idx="52">
                  <c:v>39273.693817063824</c:v>
                </c:pt>
                <c:pt idx="53">
                  <c:v>37394.862922003791</c:v>
                </c:pt>
                <c:pt idx="54">
                  <c:v>27323.463028810405</c:v>
                </c:pt>
                <c:pt idx="55">
                  <c:v>50588.83076636598</c:v>
                </c:pt>
                <c:pt idx="56">
                  <c:v>47414.762878430025</c:v>
                </c:pt>
                <c:pt idx="57">
                  <c:v>43232.153436942281</c:v>
                </c:pt>
                <c:pt idx="58">
                  <c:v>38286.43278484475</c:v>
                </c:pt>
                <c:pt idx="59">
                  <c:v>58442.355736682824</c:v>
                </c:pt>
                <c:pt idx="60">
                  <c:v>30480.522028614407</c:v>
                </c:pt>
                <c:pt idx="61">
                  <c:v>#N/A</c:v>
                </c:pt>
                <c:pt idx="62">
                  <c:v>#N/A</c:v>
                </c:pt>
                <c:pt idx="63">
                  <c:v>25881.821976456642</c:v>
                </c:pt>
                <c:pt idx="64">
                  <c:v>29683.025249396138</c:v>
                </c:pt>
                <c:pt idx="65">
                  <c:v>43249.031066379102</c:v>
                </c:pt>
                <c:pt idx="66">
                  <c:v>28109.144786763925</c:v>
                </c:pt>
                <c:pt idx="67">
                  <c:v>28336.849176028067</c:v>
                </c:pt>
                <c:pt idx="68">
                  <c:v>28804.383114121469</c:v>
                </c:pt>
              </c:numCache>
            </c:numRef>
          </c:val>
          <c:smooth val="0"/>
          <c:extLst>
            <c:ext xmlns:c16="http://schemas.microsoft.com/office/drawing/2014/chart" uri="{C3380CC4-5D6E-409C-BE32-E72D297353CC}">
              <c16:uniqueId val="{00000001-1428-49DD-956F-89F876924B4D}"/>
            </c:ext>
          </c:extLst>
        </c:ser>
        <c:ser>
          <c:idx val="4"/>
          <c:order val="1"/>
          <c:tx>
            <c:strRef>
              <c:f>'Comp to Prev_All FOEs (18-20)'!$BW$31</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1428-49DD-956F-89F876924B4D}"/>
              </c:ext>
            </c:extLst>
          </c:dPt>
          <c:cat>
            <c:strRef>
              <c:f>'Comp to Prev_All FOEs (18-20)'!$BX$7:$EN$7</c:f>
              <c:strCache>
                <c:ptCount val="69"/>
                <c:pt idx="0">
                  <c:v>MathSci (n=29)</c:v>
                </c:pt>
                <c:pt idx="1">
                  <c:v> (n=28)</c:v>
                </c:pt>
                <c:pt idx="2">
                  <c:v> (n=30)</c:v>
                </c:pt>
                <c:pt idx="3">
                  <c:v>MedicalSci (n=12)</c:v>
                </c:pt>
                <c:pt idx="4">
                  <c:v> (n=12)</c:v>
                </c:pt>
                <c:pt idx="5">
                  <c:v> (n=13)</c:v>
                </c:pt>
                <c:pt idx="6">
                  <c:v>OthNat-PhysSci (n=28)</c:v>
                </c:pt>
                <c:pt idx="7">
                  <c:v> (n=28)</c:v>
                </c:pt>
                <c:pt idx="8">
                  <c:v> (n=27)</c:v>
                </c:pt>
                <c:pt idx="9">
                  <c:v>InfoTech (n=32)</c:v>
                </c:pt>
                <c:pt idx="10">
                  <c:v> (n=32)</c:v>
                </c:pt>
                <c:pt idx="11">
                  <c:v> (n=32)</c:v>
                </c:pt>
                <c:pt idx="12">
                  <c:v>Eng&amp;Related (n=30)</c:v>
                </c:pt>
                <c:pt idx="13">
                  <c:v> (n=29)</c:v>
                </c:pt>
                <c:pt idx="14">
                  <c:v> (n=30)</c:v>
                </c:pt>
                <c:pt idx="15">
                  <c:v>Archi&amp;Build (n=18)</c:v>
                </c:pt>
                <c:pt idx="16">
                  <c:v> (n=19)</c:v>
                </c:pt>
                <c:pt idx="17">
                  <c:v> (n=19)</c:v>
                </c:pt>
                <c:pt idx="18">
                  <c:v>Environment (n=23)</c:v>
                </c:pt>
                <c:pt idx="19">
                  <c:v> (n=23)</c:v>
                </c:pt>
                <c:pt idx="20">
                  <c:v> (n=25)</c:v>
                </c:pt>
                <c:pt idx="21">
                  <c:v>OthAg&amp;Enviro (n=13)</c:v>
                </c:pt>
                <c:pt idx="22">
                  <c:v> (n=12)</c:v>
                </c:pt>
                <c:pt idx="23">
                  <c:v> (n=13)</c:v>
                </c:pt>
                <c:pt idx="24">
                  <c:v>MedicalStudies (n=17)</c:v>
                </c:pt>
                <c:pt idx="25">
                  <c:v> (n=18)</c:v>
                </c:pt>
                <c:pt idx="26">
                  <c:v> (n=17)</c:v>
                </c:pt>
                <c:pt idx="27">
                  <c:v>Nursing (n=28)</c:v>
                </c:pt>
                <c:pt idx="28">
                  <c:v> (n=28)</c:v>
                </c:pt>
                <c:pt idx="29">
                  <c:v> (n=29)</c:v>
                </c:pt>
                <c:pt idx="30">
                  <c:v>Dental (n=8)</c:v>
                </c:pt>
                <c:pt idx="31">
                  <c:v> (n=7)</c:v>
                </c:pt>
                <c:pt idx="32">
                  <c:v> (n=8)</c:v>
                </c:pt>
                <c:pt idx="33">
                  <c:v>Veterinary (n=5)</c:v>
                </c:pt>
                <c:pt idx="34">
                  <c:v> (n=4)</c:v>
                </c:pt>
                <c:pt idx="35">
                  <c:v> (n=4)</c:v>
                </c:pt>
                <c:pt idx="36">
                  <c:v>OthHealth (n=32)</c:v>
                </c:pt>
                <c:pt idx="37">
                  <c:v> (n=32)</c:v>
                </c:pt>
                <c:pt idx="38">
                  <c:v> (n=32)</c:v>
                </c:pt>
                <c:pt idx="39">
                  <c:v>Education (n=31)</c:v>
                </c:pt>
                <c:pt idx="40">
                  <c:v> (n=31)</c:v>
                </c:pt>
                <c:pt idx="41">
                  <c:v> (n=31)</c:v>
                </c:pt>
                <c:pt idx="42">
                  <c:v>Mgmt&amp;Comm (n=32)</c:v>
                </c:pt>
                <c:pt idx="43">
                  <c:v> (n=32)</c:v>
                </c:pt>
                <c:pt idx="44">
                  <c:v> (n=32)</c:v>
                </c:pt>
                <c:pt idx="45">
                  <c:v>ForeignLang (n=11)</c:v>
                </c:pt>
                <c:pt idx="46">
                  <c:v> (n=11)</c:v>
                </c:pt>
                <c:pt idx="47">
                  <c:v> (n=10)</c:v>
                </c:pt>
                <c:pt idx="48">
                  <c:v>Psych (n=31)</c:v>
                </c:pt>
                <c:pt idx="49">
                  <c:v> (n=31)</c:v>
                </c:pt>
                <c:pt idx="50">
                  <c:v> (n=31)</c:v>
                </c:pt>
                <c:pt idx="51">
                  <c:v>OtherSoc&amp;Cult (n=32)</c:v>
                </c:pt>
                <c:pt idx="52">
                  <c:v> (n=32)</c:v>
                </c:pt>
                <c:pt idx="53">
                  <c:v> (n=32)</c:v>
                </c:pt>
                <c:pt idx="54">
                  <c:v>Comms&amp;Media (n=23)</c:v>
                </c:pt>
                <c:pt idx="55">
                  <c:v> (n=23)</c:v>
                </c:pt>
                <c:pt idx="56">
                  <c:v> (n=23)</c:v>
                </c:pt>
                <c:pt idx="57">
                  <c:v>OthCreative (n=21)</c:v>
                </c:pt>
                <c:pt idx="58">
                  <c:v> (n=17)</c:v>
                </c:pt>
                <c:pt idx="59">
                  <c:v> (n=18)</c:v>
                </c:pt>
                <c:pt idx="60">
                  <c:v>FoodHosp&amp;Person (n=1)</c:v>
                </c:pt>
                <c:pt idx="61">
                  <c:v> (n=0)</c:v>
                </c:pt>
                <c:pt idx="62">
                  <c:v> (n=0)</c:v>
                </c:pt>
                <c:pt idx="63">
                  <c:v>MixedField (n=4)</c:v>
                </c:pt>
                <c:pt idx="64">
                  <c:v> (n=5)</c:v>
                </c:pt>
                <c:pt idx="65">
                  <c:v> (n=6)</c:v>
                </c:pt>
                <c:pt idx="66">
                  <c:v>Total (n=32)</c:v>
                </c:pt>
                <c:pt idx="67">
                  <c:v> (n=32)</c:v>
                </c:pt>
                <c:pt idx="68">
                  <c:v> (n=32)</c:v>
                </c:pt>
              </c:strCache>
            </c:strRef>
          </c:cat>
          <c:val>
            <c:numRef>
              <c:f>'Comp to Prev_All FOEs (18-20)'!$BX$31:$EN$31</c:f>
              <c:numCache>
                <c:formatCode>"$"#,##0</c:formatCode>
                <c:ptCount val="69"/>
                <c:pt idx="0">
                  <c:v>13039.115074397703</c:v>
                </c:pt>
                <c:pt idx="1">
                  <c:v>12809.058910542526</c:v>
                </c:pt>
                <c:pt idx="2">
                  <c:v>14125.045829999908</c:v>
                </c:pt>
                <c:pt idx="3">
                  <c:v>17460.772116961372</c:v>
                </c:pt>
                <c:pt idx="4">
                  <c:v>21218.974136283177</c:v>
                </c:pt>
                <c:pt idx="5">
                  <c:v>11091.676084887795</c:v>
                </c:pt>
                <c:pt idx="6">
                  <c:v>15343.604768145236</c:v>
                </c:pt>
                <c:pt idx="7">
                  <c:v>14352.755636334676</c:v>
                </c:pt>
                <c:pt idx="8">
                  <c:v>14294.929257028109</c:v>
                </c:pt>
                <c:pt idx="9">
                  <c:v>3375.4369024478169</c:v>
                </c:pt>
                <c:pt idx="10">
                  <c:v>4633.4913560596096</c:v>
                </c:pt>
                <c:pt idx="11">
                  <c:v>5363.3552635461865</c:v>
                </c:pt>
                <c:pt idx="12">
                  <c:v>14923.316848637591</c:v>
                </c:pt>
                <c:pt idx="13">
                  <c:v>16614.303664044568</c:v>
                </c:pt>
                <c:pt idx="14">
                  <c:v>16007.956913428334</c:v>
                </c:pt>
                <c:pt idx="15">
                  <c:v>14241.515324263377</c:v>
                </c:pt>
                <c:pt idx="16">
                  <c:v>10556.769356694733</c:v>
                </c:pt>
                <c:pt idx="17">
                  <c:v>11245.074295273456</c:v>
                </c:pt>
                <c:pt idx="18">
                  <c:v>15567.310559006211</c:v>
                </c:pt>
                <c:pt idx="19">
                  <c:v>15513.346321705041</c:v>
                </c:pt>
                <c:pt idx="20">
                  <c:v>14125.814529589368</c:v>
                </c:pt>
                <c:pt idx="21">
                  <c:v>25631.560144253152</c:v>
                </c:pt>
                <c:pt idx="22">
                  <c:v>18470.544483650869</c:v>
                </c:pt>
                <c:pt idx="23">
                  <c:v>19265.485793338517</c:v>
                </c:pt>
                <c:pt idx="24">
                  <c:v>19333.833476224903</c:v>
                </c:pt>
                <c:pt idx="25">
                  <c:v>12657.46682816411</c:v>
                </c:pt>
                <c:pt idx="26">
                  <c:v>11506.899265294396</c:v>
                </c:pt>
                <c:pt idx="27">
                  <c:v>13623.969656293006</c:v>
                </c:pt>
                <c:pt idx="28">
                  <c:v>13864.666625295347</c:v>
                </c:pt>
                <c:pt idx="29">
                  <c:v>15110.937815164922</c:v>
                </c:pt>
                <c:pt idx="30">
                  <c:v>21855.900073105531</c:v>
                </c:pt>
                <c:pt idx="31">
                  <c:v>34979.188071824108</c:v>
                </c:pt>
                <c:pt idx="32">
                  <c:v>11494.038265699932</c:v>
                </c:pt>
                <c:pt idx="33">
                  <c:v>30325.294137509056</c:v>
                </c:pt>
                <c:pt idx="34">
                  <c:v>36126.897005700921</c:v>
                </c:pt>
                <c:pt idx="35">
                  <c:v>30263.187465948344</c:v>
                </c:pt>
                <c:pt idx="36">
                  <c:v>15282.659168518097</c:v>
                </c:pt>
                <c:pt idx="37">
                  <c:v>12207.705722729113</c:v>
                </c:pt>
                <c:pt idx="38">
                  <c:v>12583.444997174907</c:v>
                </c:pt>
                <c:pt idx="39">
                  <c:v>12272.8491229295</c:v>
                </c:pt>
                <c:pt idx="40">
                  <c:v>11998.739697523759</c:v>
                </c:pt>
                <c:pt idx="41">
                  <c:v>10563.30728646539</c:v>
                </c:pt>
                <c:pt idx="42">
                  <c:v>9155.9698755967602</c:v>
                </c:pt>
                <c:pt idx="43">
                  <c:v>10188.876142737015</c:v>
                </c:pt>
                <c:pt idx="44">
                  <c:v>13528.905725239485</c:v>
                </c:pt>
                <c:pt idx="45">
                  <c:v>14674.721573957362</c:v>
                </c:pt>
                <c:pt idx="46">
                  <c:v>15341.963988218828</c:v>
                </c:pt>
                <c:pt idx="47">
                  <c:v>7797.4996205188418</c:v>
                </c:pt>
                <c:pt idx="48">
                  <c:v>11749.942202786275</c:v>
                </c:pt>
                <c:pt idx="49">
                  <c:v>12234.669920813047</c:v>
                </c:pt>
                <c:pt idx="50">
                  <c:v>12241.52270364821</c:v>
                </c:pt>
                <c:pt idx="51">
                  <c:v>14094.679458284771</c:v>
                </c:pt>
                <c:pt idx="52">
                  <c:v>14003.378095127324</c:v>
                </c:pt>
                <c:pt idx="53">
                  <c:v>15139.782716203097</c:v>
                </c:pt>
                <c:pt idx="54">
                  <c:v>13338.433913054847</c:v>
                </c:pt>
                <c:pt idx="55">
                  <c:v>11942.608353110316</c:v>
                </c:pt>
                <c:pt idx="56">
                  <c:v>12992.247563772182</c:v>
                </c:pt>
                <c:pt idx="57">
                  <c:v>13788.828010359017</c:v>
                </c:pt>
                <c:pt idx="58">
                  <c:v>16156.849827710832</c:v>
                </c:pt>
                <c:pt idx="59">
                  <c:v>14554.923477923032</c:v>
                </c:pt>
                <c:pt idx="60">
                  <c:v>30480.522028614407</c:v>
                </c:pt>
                <c:pt idx="61">
                  <c:v>#N/A</c:v>
                </c:pt>
                <c:pt idx="62">
                  <c:v>#N/A</c:v>
                </c:pt>
                <c:pt idx="63">
                  <c:v>18816.712004939527</c:v>
                </c:pt>
                <c:pt idx="64">
                  <c:v>21022.663776446785</c:v>
                </c:pt>
                <c:pt idx="65">
                  <c:v>13248.598159891739</c:v>
                </c:pt>
                <c:pt idx="66">
                  <c:v>11082.968047814051</c:v>
                </c:pt>
                <c:pt idx="67">
                  <c:v>12068.482955244708</c:v>
                </c:pt>
                <c:pt idx="68">
                  <c:v>13913.488624280824</c:v>
                </c:pt>
              </c:numCache>
            </c:numRef>
          </c:val>
          <c:smooth val="0"/>
          <c:extLst>
            <c:ext xmlns:c16="http://schemas.microsoft.com/office/drawing/2014/chart" uri="{C3380CC4-5D6E-409C-BE32-E72D297353CC}">
              <c16:uniqueId val="{00000003-1428-49DD-956F-89F876924B4D}"/>
            </c:ext>
          </c:extLst>
        </c:ser>
        <c:ser>
          <c:idx val="5"/>
          <c:order val="2"/>
          <c:tx>
            <c:strRef>
              <c:f>'Comp to Prev_All FOEs (18-20)'!$BW$32</c:f>
              <c:strCache>
                <c:ptCount val="1"/>
                <c:pt idx="0">
                  <c:v>Mean</c:v>
                </c:pt>
              </c:strCache>
            </c:strRef>
          </c:tx>
          <c:spPr>
            <a:ln w="28575" cap="rnd">
              <a:noFill/>
              <a:round/>
            </a:ln>
            <a:effectLst/>
          </c:spPr>
          <c:marker>
            <c:symbol val="diamond"/>
            <c:size val="7"/>
            <c:spPr>
              <a:solidFill>
                <a:srgbClr val="BFBFBF"/>
              </a:solidFill>
              <a:ln>
                <a:solidFill>
                  <a:srgbClr val="BFBFBF"/>
                </a:solidFill>
              </a:ln>
            </c:spPr>
          </c:marker>
          <c:dPt>
            <c:idx val="1"/>
            <c:marker>
              <c:spPr>
                <a:solidFill>
                  <a:srgbClr val="002776"/>
                </a:solidFill>
                <a:ln>
                  <a:solidFill>
                    <a:srgbClr val="002776"/>
                  </a:solidFill>
                </a:ln>
              </c:spPr>
            </c:marker>
            <c:bubble3D val="0"/>
            <c:extLst>
              <c:ext xmlns:c16="http://schemas.microsoft.com/office/drawing/2014/chart" uri="{C3380CC4-5D6E-409C-BE32-E72D297353CC}">
                <c16:uniqueId val="{00000004-1428-49DD-956F-89F876924B4D}"/>
              </c:ext>
            </c:extLst>
          </c:dPt>
          <c:dPt>
            <c:idx val="2"/>
            <c:marker>
              <c:spPr>
                <a:solidFill>
                  <a:srgbClr val="53565A"/>
                </a:solidFill>
                <a:ln>
                  <a:solidFill>
                    <a:srgbClr val="53565A"/>
                  </a:solidFill>
                </a:ln>
              </c:spPr>
            </c:marker>
            <c:bubble3D val="0"/>
            <c:extLst>
              <c:ext xmlns:c16="http://schemas.microsoft.com/office/drawing/2014/chart" uri="{C3380CC4-5D6E-409C-BE32-E72D297353CC}">
                <c16:uniqueId val="{00000005-1428-49DD-956F-89F876924B4D}"/>
              </c:ext>
            </c:extLst>
          </c:dPt>
          <c:dPt>
            <c:idx val="4"/>
            <c:marker>
              <c:spPr>
                <a:solidFill>
                  <a:srgbClr val="002776"/>
                </a:solidFill>
                <a:ln>
                  <a:solidFill>
                    <a:srgbClr val="002776"/>
                  </a:solidFill>
                </a:ln>
              </c:spPr>
            </c:marker>
            <c:bubble3D val="0"/>
            <c:extLst>
              <c:ext xmlns:c16="http://schemas.microsoft.com/office/drawing/2014/chart" uri="{C3380CC4-5D6E-409C-BE32-E72D297353CC}">
                <c16:uniqueId val="{00000006-1428-49DD-956F-89F876924B4D}"/>
              </c:ext>
            </c:extLst>
          </c:dPt>
          <c:dPt>
            <c:idx val="5"/>
            <c:marker>
              <c:spPr>
                <a:solidFill>
                  <a:srgbClr val="53565A"/>
                </a:solidFill>
                <a:ln>
                  <a:solidFill>
                    <a:srgbClr val="53565A"/>
                  </a:solidFill>
                </a:ln>
              </c:spPr>
            </c:marker>
            <c:bubble3D val="0"/>
            <c:extLst>
              <c:ext xmlns:c16="http://schemas.microsoft.com/office/drawing/2014/chart" uri="{C3380CC4-5D6E-409C-BE32-E72D297353CC}">
                <c16:uniqueId val="{00000007-1428-49DD-956F-89F876924B4D}"/>
              </c:ext>
            </c:extLst>
          </c:dPt>
          <c:dPt>
            <c:idx val="7"/>
            <c:marker>
              <c:spPr>
                <a:solidFill>
                  <a:schemeClr val="tx2"/>
                </a:solidFill>
                <a:ln>
                  <a:solidFill>
                    <a:schemeClr val="tx2"/>
                  </a:solidFill>
                </a:ln>
              </c:spPr>
            </c:marker>
            <c:bubble3D val="0"/>
            <c:extLst>
              <c:ext xmlns:c16="http://schemas.microsoft.com/office/drawing/2014/chart" uri="{C3380CC4-5D6E-409C-BE32-E72D297353CC}">
                <c16:uniqueId val="{00000008-1428-49DD-956F-89F876924B4D}"/>
              </c:ext>
            </c:extLst>
          </c:dPt>
          <c:dPt>
            <c:idx val="8"/>
            <c:marker>
              <c:spPr>
                <a:solidFill>
                  <a:srgbClr val="53565A"/>
                </a:solidFill>
                <a:ln>
                  <a:solidFill>
                    <a:srgbClr val="53565A"/>
                  </a:solidFill>
                </a:ln>
              </c:spPr>
            </c:marker>
            <c:bubble3D val="0"/>
            <c:extLst>
              <c:ext xmlns:c16="http://schemas.microsoft.com/office/drawing/2014/chart" uri="{C3380CC4-5D6E-409C-BE32-E72D297353CC}">
                <c16:uniqueId val="{00000009-1428-49DD-956F-89F876924B4D}"/>
              </c:ext>
            </c:extLst>
          </c:dPt>
          <c:dPt>
            <c:idx val="10"/>
            <c:marker>
              <c:spPr>
                <a:solidFill>
                  <a:schemeClr val="tx2"/>
                </a:solidFill>
                <a:ln>
                  <a:solidFill>
                    <a:schemeClr val="tx2"/>
                  </a:solidFill>
                </a:ln>
              </c:spPr>
            </c:marker>
            <c:bubble3D val="0"/>
            <c:extLst>
              <c:ext xmlns:c16="http://schemas.microsoft.com/office/drawing/2014/chart" uri="{C3380CC4-5D6E-409C-BE32-E72D297353CC}">
                <c16:uniqueId val="{0000000A-1428-49DD-956F-89F876924B4D}"/>
              </c:ext>
            </c:extLst>
          </c:dPt>
          <c:dPt>
            <c:idx val="11"/>
            <c:marker>
              <c:spPr>
                <a:solidFill>
                  <a:srgbClr val="53565A"/>
                </a:solidFill>
                <a:ln>
                  <a:solidFill>
                    <a:srgbClr val="53565A"/>
                  </a:solidFill>
                </a:ln>
              </c:spPr>
            </c:marker>
            <c:bubble3D val="0"/>
            <c:extLst>
              <c:ext xmlns:c16="http://schemas.microsoft.com/office/drawing/2014/chart" uri="{C3380CC4-5D6E-409C-BE32-E72D297353CC}">
                <c16:uniqueId val="{0000000B-1428-49DD-956F-89F876924B4D}"/>
              </c:ext>
            </c:extLst>
          </c:dPt>
          <c:dPt>
            <c:idx val="13"/>
            <c:marker>
              <c:spPr>
                <a:solidFill>
                  <a:schemeClr val="tx2"/>
                </a:solidFill>
                <a:ln>
                  <a:solidFill>
                    <a:schemeClr val="tx2"/>
                  </a:solidFill>
                </a:ln>
              </c:spPr>
            </c:marker>
            <c:bubble3D val="0"/>
            <c:extLst>
              <c:ext xmlns:c16="http://schemas.microsoft.com/office/drawing/2014/chart" uri="{C3380CC4-5D6E-409C-BE32-E72D297353CC}">
                <c16:uniqueId val="{0000000C-1428-49DD-956F-89F876924B4D}"/>
              </c:ext>
            </c:extLst>
          </c:dPt>
          <c:dPt>
            <c:idx val="14"/>
            <c:marker>
              <c:spPr>
                <a:solidFill>
                  <a:srgbClr val="53565A"/>
                </a:solidFill>
                <a:ln>
                  <a:solidFill>
                    <a:srgbClr val="53565A"/>
                  </a:solidFill>
                </a:ln>
              </c:spPr>
            </c:marker>
            <c:bubble3D val="0"/>
            <c:extLst>
              <c:ext xmlns:c16="http://schemas.microsoft.com/office/drawing/2014/chart" uri="{C3380CC4-5D6E-409C-BE32-E72D297353CC}">
                <c16:uniqueId val="{0000000D-1428-49DD-956F-89F876924B4D}"/>
              </c:ext>
            </c:extLst>
          </c:dPt>
          <c:dPt>
            <c:idx val="16"/>
            <c:marker>
              <c:spPr>
                <a:solidFill>
                  <a:schemeClr val="tx2"/>
                </a:solidFill>
                <a:ln>
                  <a:solidFill>
                    <a:schemeClr val="tx2"/>
                  </a:solidFill>
                </a:ln>
              </c:spPr>
            </c:marker>
            <c:bubble3D val="0"/>
            <c:extLst>
              <c:ext xmlns:c16="http://schemas.microsoft.com/office/drawing/2014/chart" uri="{C3380CC4-5D6E-409C-BE32-E72D297353CC}">
                <c16:uniqueId val="{0000000E-1428-49DD-956F-89F876924B4D}"/>
              </c:ext>
            </c:extLst>
          </c:dPt>
          <c:dPt>
            <c:idx val="17"/>
            <c:marker>
              <c:spPr>
                <a:solidFill>
                  <a:srgbClr val="53565A"/>
                </a:solidFill>
                <a:ln>
                  <a:solidFill>
                    <a:srgbClr val="53565A"/>
                  </a:solidFill>
                </a:ln>
              </c:spPr>
            </c:marker>
            <c:bubble3D val="0"/>
            <c:extLst>
              <c:ext xmlns:c16="http://schemas.microsoft.com/office/drawing/2014/chart" uri="{C3380CC4-5D6E-409C-BE32-E72D297353CC}">
                <c16:uniqueId val="{0000000F-1428-49DD-956F-89F876924B4D}"/>
              </c:ext>
            </c:extLst>
          </c:dPt>
          <c:dPt>
            <c:idx val="19"/>
            <c:marker>
              <c:spPr>
                <a:solidFill>
                  <a:schemeClr val="tx2"/>
                </a:solidFill>
                <a:ln>
                  <a:solidFill>
                    <a:schemeClr val="tx2"/>
                  </a:solidFill>
                </a:ln>
              </c:spPr>
            </c:marker>
            <c:bubble3D val="0"/>
            <c:extLst>
              <c:ext xmlns:c16="http://schemas.microsoft.com/office/drawing/2014/chart" uri="{C3380CC4-5D6E-409C-BE32-E72D297353CC}">
                <c16:uniqueId val="{00000010-1428-49DD-956F-89F876924B4D}"/>
              </c:ext>
            </c:extLst>
          </c:dPt>
          <c:dPt>
            <c:idx val="20"/>
            <c:marker>
              <c:spPr>
                <a:solidFill>
                  <a:srgbClr val="53565A"/>
                </a:solidFill>
                <a:ln>
                  <a:solidFill>
                    <a:srgbClr val="53565A"/>
                  </a:solidFill>
                </a:ln>
              </c:spPr>
            </c:marker>
            <c:bubble3D val="0"/>
            <c:extLst>
              <c:ext xmlns:c16="http://schemas.microsoft.com/office/drawing/2014/chart" uri="{C3380CC4-5D6E-409C-BE32-E72D297353CC}">
                <c16:uniqueId val="{00000011-1428-49DD-956F-89F876924B4D}"/>
              </c:ext>
            </c:extLst>
          </c:dPt>
          <c:dPt>
            <c:idx val="22"/>
            <c:marker>
              <c:spPr>
                <a:solidFill>
                  <a:schemeClr val="tx2"/>
                </a:solidFill>
                <a:ln>
                  <a:solidFill>
                    <a:schemeClr val="tx2"/>
                  </a:solidFill>
                </a:ln>
              </c:spPr>
            </c:marker>
            <c:bubble3D val="0"/>
            <c:extLst>
              <c:ext xmlns:c16="http://schemas.microsoft.com/office/drawing/2014/chart" uri="{C3380CC4-5D6E-409C-BE32-E72D297353CC}">
                <c16:uniqueId val="{00000012-1428-49DD-956F-89F876924B4D}"/>
              </c:ext>
            </c:extLst>
          </c:dPt>
          <c:dPt>
            <c:idx val="23"/>
            <c:marker>
              <c:spPr>
                <a:solidFill>
                  <a:srgbClr val="53565A"/>
                </a:solidFill>
                <a:ln>
                  <a:solidFill>
                    <a:srgbClr val="53565A"/>
                  </a:solidFill>
                </a:ln>
              </c:spPr>
            </c:marker>
            <c:bubble3D val="0"/>
            <c:extLst>
              <c:ext xmlns:c16="http://schemas.microsoft.com/office/drawing/2014/chart" uri="{C3380CC4-5D6E-409C-BE32-E72D297353CC}">
                <c16:uniqueId val="{00000013-1428-49DD-956F-89F876924B4D}"/>
              </c:ext>
            </c:extLst>
          </c:dPt>
          <c:dPt>
            <c:idx val="25"/>
            <c:marker>
              <c:spPr>
                <a:solidFill>
                  <a:schemeClr val="tx2"/>
                </a:solidFill>
                <a:ln>
                  <a:solidFill>
                    <a:schemeClr val="tx2"/>
                  </a:solidFill>
                </a:ln>
              </c:spPr>
            </c:marker>
            <c:bubble3D val="0"/>
            <c:extLst>
              <c:ext xmlns:c16="http://schemas.microsoft.com/office/drawing/2014/chart" uri="{C3380CC4-5D6E-409C-BE32-E72D297353CC}">
                <c16:uniqueId val="{00000014-1428-49DD-956F-89F876924B4D}"/>
              </c:ext>
            </c:extLst>
          </c:dPt>
          <c:dPt>
            <c:idx val="26"/>
            <c:marker>
              <c:spPr>
                <a:solidFill>
                  <a:srgbClr val="53565A"/>
                </a:solidFill>
                <a:ln>
                  <a:solidFill>
                    <a:srgbClr val="53565A"/>
                  </a:solidFill>
                </a:ln>
              </c:spPr>
            </c:marker>
            <c:bubble3D val="0"/>
            <c:extLst>
              <c:ext xmlns:c16="http://schemas.microsoft.com/office/drawing/2014/chart" uri="{C3380CC4-5D6E-409C-BE32-E72D297353CC}">
                <c16:uniqueId val="{00000015-1428-49DD-956F-89F876924B4D}"/>
              </c:ext>
            </c:extLst>
          </c:dPt>
          <c:dPt>
            <c:idx val="28"/>
            <c:marker>
              <c:spPr>
                <a:solidFill>
                  <a:schemeClr val="tx2"/>
                </a:solidFill>
                <a:ln>
                  <a:solidFill>
                    <a:schemeClr val="tx2"/>
                  </a:solidFill>
                </a:ln>
              </c:spPr>
            </c:marker>
            <c:bubble3D val="0"/>
            <c:extLst>
              <c:ext xmlns:c16="http://schemas.microsoft.com/office/drawing/2014/chart" uri="{C3380CC4-5D6E-409C-BE32-E72D297353CC}">
                <c16:uniqueId val="{00000016-1428-49DD-956F-89F876924B4D}"/>
              </c:ext>
            </c:extLst>
          </c:dPt>
          <c:dPt>
            <c:idx val="29"/>
            <c:marker>
              <c:spPr>
                <a:solidFill>
                  <a:srgbClr val="53565A"/>
                </a:solidFill>
                <a:ln>
                  <a:solidFill>
                    <a:srgbClr val="53565A"/>
                  </a:solidFill>
                </a:ln>
              </c:spPr>
            </c:marker>
            <c:bubble3D val="0"/>
            <c:extLst>
              <c:ext xmlns:c16="http://schemas.microsoft.com/office/drawing/2014/chart" uri="{C3380CC4-5D6E-409C-BE32-E72D297353CC}">
                <c16:uniqueId val="{00000017-1428-49DD-956F-89F876924B4D}"/>
              </c:ext>
            </c:extLst>
          </c:dPt>
          <c:dPt>
            <c:idx val="31"/>
            <c:marker>
              <c:spPr>
                <a:solidFill>
                  <a:schemeClr val="tx2"/>
                </a:solidFill>
                <a:ln>
                  <a:solidFill>
                    <a:schemeClr val="tx2"/>
                  </a:solidFill>
                </a:ln>
              </c:spPr>
            </c:marker>
            <c:bubble3D val="0"/>
            <c:extLst>
              <c:ext xmlns:c16="http://schemas.microsoft.com/office/drawing/2014/chart" uri="{C3380CC4-5D6E-409C-BE32-E72D297353CC}">
                <c16:uniqueId val="{00000018-1428-49DD-956F-89F876924B4D}"/>
              </c:ext>
            </c:extLst>
          </c:dPt>
          <c:dPt>
            <c:idx val="32"/>
            <c:marker>
              <c:spPr>
                <a:solidFill>
                  <a:srgbClr val="53565A"/>
                </a:solidFill>
                <a:ln>
                  <a:solidFill>
                    <a:srgbClr val="53565A"/>
                  </a:solidFill>
                </a:ln>
              </c:spPr>
            </c:marker>
            <c:bubble3D val="0"/>
            <c:extLst>
              <c:ext xmlns:c16="http://schemas.microsoft.com/office/drawing/2014/chart" uri="{C3380CC4-5D6E-409C-BE32-E72D297353CC}">
                <c16:uniqueId val="{00000019-1428-49DD-956F-89F876924B4D}"/>
              </c:ext>
            </c:extLst>
          </c:dPt>
          <c:dPt>
            <c:idx val="34"/>
            <c:marker>
              <c:spPr>
                <a:solidFill>
                  <a:schemeClr val="tx2"/>
                </a:solidFill>
                <a:ln>
                  <a:solidFill>
                    <a:schemeClr val="tx2"/>
                  </a:solidFill>
                </a:ln>
              </c:spPr>
            </c:marker>
            <c:bubble3D val="0"/>
            <c:extLst>
              <c:ext xmlns:c16="http://schemas.microsoft.com/office/drawing/2014/chart" uri="{C3380CC4-5D6E-409C-BE32-E72D297353CC}">
                <c16:uniqueId val="{0000001A-1428-49DD-956F-89F876924B4D}"/>
              </c:ext>
            </c:extLst>
          </c:dPt>
          <c:dPt>
            <c:idx val="35"/>
            <c:marker>
              <c:spPr>
                <a:solidFill>
                  <a:srgbClr val="53565A"/>
                </a:solidFill>
                <a:ln>
                  <a:solidFill>
                    <a:srgbClr val="53565A"/>
                  </a:solidFill>
                </a:ln>
              </c:spPr>
            </c:marker>
            <c:bubble3D val="0"/>
            <c:extLst>
              <c:ext xmlns:c16="http://schemas.microsoft.com/office/drawing/2014/chart" uri="{C3380CC4-5D6E-409C-BE32-E72D297353CC}">
                <c16:uniqueId val="{0000001B-1428-49DD-956F-89F876924B4D}"/>
              </c:ext>
            </c:extLst>
          </c:dPt>
          <c:dPt>
            <c:idx val="37"/>
            <c:marker>
              <c:spPr>
                <a:solidFill>
                  <a:schemeClr val="tx2"/>
                </a:solidFill>
                <a:ln>
                  <a:solidFill>
                    <a:schemeClr val="tx2"/>
                  </a:solidFill>
                </a:ln>
              </c:spPr>
            </c:marker>
            <c:bubble3D val="0"/>
            <c:extLst>
              <c:ext xmlns:c16="http://schemas.microsoft.com/office/drawing/2014/chart" uri="{C3380CC4-5D6E-409C-BE32-E72D297353CC}">
                <c16:uniqueId val="{0000001C-1428-49DD-956F-89F876924B4D}"/>
              </c:ext>
            </c:extLst>
          </c:dPt>
          <c:dPt>
            <c:idx val="38"/>
            <c:marker>
              <c:spPr>
                <a:solidFill>
                  <a:srgbClr val="53565A"/>
                </a:solidFill>
                <a:ln>
                  <a:solidFill>
                    <a:srgbClr val="53565A"/>
                  </a:solidFill>
                </a:ln>
              </c:spPr>
            </c:marker>
            <c:bubble3D val="0"/>
            <c:extLst>
              <c:ext xmlns:c16="http://schemas.microsoft.com/office/drawing/2014/chart" uri="{C3380CC4-5D6E-409C-BE32-E72D297353CC}">
                <c16:uniqueId val="{0000001D-1428-49DD-956F-89F876924B4D}"/>
              </c:ext>
            </c:extLst>
          </c:dPt>
          <c:dPt>
            <c:idx val="40"/>
            <c:marker>
              <c:spPr>
                <a:solidFill>
                  <a:schemeClr val="tx2"/>
                </a:solidFill>
                <a:ln>
                  <a:solidFill>
                    <a:schemeClr val="tx2"/>
                  </a:solidFill>
                </a:ln>
              </c:spPr>
            </c:marker>
            <c:bubble3D val="0"/>
            <c:extLst>
              <c:ext xmlns:c16="http://schemas.microsoft.com/office/drawing/2014/chart" uri="{C3380CC4-5D6E-409C-BE32-E72D297353CC}">
                <c16:uniqueId val="{0000001E-1428-49DD-956F-89F876924B4D}"/>
              </c:ext>
            </c:extLst>
          </c:dPt>
          <c:dPt>
            <c:idx val="41"/>
            <c:marker>
              <c:spPr>
                <a:solidFill>
                  <a:srgbClr val="53565A"/>
                </a:solidFill>
                <a:ln>
                  <a:solidFill>
                    <a:srgbClr val="53565A"/>
                  </a:solidFill>
                </a:ln>
              </c:spPr>
            </c:marker>
            <c:bubble3D val="0"/>
            <c:extLst>
              <c:ext xmlns:c16="http://schemas.microsoft.com/office/drawing/2014/chart" uri="{C3380CC4-5D6E-409C-BE32-E72D297353CC}">
                <c16:uniqueId val="{0000001F-1428-49DD-956F-89F876924B4D}"/>
              </c:ext>
            </c:extLst>
          </c:dPt>
          <c:dPt>
            <c:idx val="43"/>
            <c:marker>
              <c:spPr>
                <a:solidFill>
                  <a:schemeClr val="tx2"/>
                </a:solidFill>
                <a:ln>
                  <a:solidFill>
                    <a:schemeClr val="tx2"/>
                  </a:solidFill>
                </a:ln>
              </c:spPr>
            </c:marker>
            <c:bubble3D val="0"/>
            <c:extLst>
              <c:ext xmlns:c16="http://schemas.microsoft.com/office/drawing/2014/chart" uri="{C3380CC4-5D6E-409C-BE32-E72D297353CC}">
                <c16:uniqueId val="{00000020-1428-49DD-956F-89F876924B4D}"/>
              </c:ext>
            </c:extLst>
          </c:dPt>
          <c:dPt>
            <c:idx val="44"/>
            <c:marker>
              <c:spPr>
                <a:solidFill>
                  <a:srgbClr val="53565A"/>
                </a:solidFill>
                <a:ln>
                  <a:solidFill>
                    <a:srgbClr val="53565A"/>
                  </a:solidFill>
                </a:ln>
              </c:spPr>
            </c:marker>
            <c:bubble3D val="0"/>
            <c:extLst>
              <c:ext xmlns:c16="http://schemas.microsoft.com/office/drawing/2014/chart" uri="{C3380CC4-5D6E-409C-BE32-E72D297353CC}">
                <c16:uniqueId val="{00000021-1428-49DD-956F-89F876924B4D}"/>
              </c:ext>
            </c:extLst>
          </c:dPt>
          <c:dPt>
            <c:idx val="46"/>
            <c:marker>
              <c:spPr>
                <a:solidFill>
                  <a:schemeClr val="tx2"/>
                </a:solidFill>
                <a:ln>
                  <a:solidFill>
                    <a:schemeClr val="tx2"/>
                  </a:solidFill>
                </a:ln>
              </c:spPr>
            </c:marker>
            <c:bubble3D val="0"/>
            <c:extLst>
              <c:ext xmlns:c16="http://schemas.microsoft.com/office/drawing/2014/chart" uri="{C3380CC4-5D6E-409C-BE32-E72D297353CC}">
                <c16:uniqueId val="{00000022-1428-49DD-956F-89F876924B4D}"/>
              </c:ext>
            </c:extLst>
          </c:dPt>
          <c:dPt>
            <c:idx val="47"/>
            <c:marker>
              <c:spPr>
                <a:solidFill>
                  <a:srgbClr val="53565A"/>
                </a:solidFill>
                <a:ln>
                  <a:solidFill>
                    <a:srgbClr val="53565A"/>
                  </a:solidFill>
                </a:ln>
              </c:spPr>
            </c:marker>
            <c:bubble3D val="0"/>
            <c:extLst>
              <c:ext xmlns:c16="http://schemas.microsoft.com/office/drawing/2014/chart" uri="{C3380CC4-5D6E-409C-BE32-E72D297353CC}">
                <c16:uniqueId val="{00000023-1428-49DD-956F-89F876924B4D}"/>
              </c:ext>
            </c:extLst>
          </c:dPt>
          <c:dPt>
            <c:idx val="49"/>
            <c:marker>
              <c:spPr>
                <a:solidFill>
                  <a:schemeClr val="tx2"/>
                </a:solidFill>
                <a:ln>
                  <a:solidFill>
                    <a:schemeClr val="tx2"/>
                  </a:solidFill>
                </a:ln>
              </c:spPr>
            </c:marker>
            <c:bubble3D val="0"/>
            <c:extLst>
              <c:ext xmlns:c16="http://schemas.microsoft.com/office/drawing/2014/chart" uri="{C3380CC4-5D6E-409C-BE32-E72D297353CC}">
                <c16:uniqueId val="{00000024-1428-49DD-956F-89F876924B4D}"/>
              </c:ext>
            </c:extLst>
          </c:dPt>
          <c:dPt>
            <c:idx val="50"/>
            <c:marker>
              <c:spPr>
                <a:solidFill>
                  <a:srgbClr val="53565A"/>
                </a:solidFill>
                <a:ln>
                  <a:solidFill>
                    <a:srgbClr val="53565A"/>
                  </a:solidFill>
                </a:ln>
              </c:spPr>
            </c:marker>
            <c:bubble3D val="0"/>
            <c:extLst>
              <c:ext xmlns:c16="http://schemas.microsoft.com/office/drawing/2014/chart" uri="{C3380CC4-5D6E-409C-BE32-E72D297353CC}">
                <c16:uniqueId val="{00000025-1428-49DD-956F-89F876924B4D}"/>
              </c:ext>
            </c:extLst>
          </c:dPt>
          <c:dPt>
            <c:idx val="52"/>
            <c:marker>
              <c:spPr>
                <a:solidFill>
                  <a:schemeClr val="tx2"/>
                </a:solidFill>
                <a:ln>
                  <a:solidFill>
                    <a:schemeClr val="tx2"/>
                  </a:solidFill>
                </a:ln>
              </c:spPr>
            </c:marker>
            <c:bubble3D val="0"/>
            <c:extLst>
              <c:ext xmlns:c16="http://schemas.microsoft.com/office/drawing/2014/chart" uri="{C3380CC4-5D6E-409C-BE32-E72D297353CC}">
                <c16:uniqueId val="{00000026-1428-49DD-956F-89F876924B4D}"/>
              </c:ext>
            </c:extLst>
          </c:dPt>
          <c:dPt>
            <c:idx val="53"/>
            <c:marker>
              <c:spPr>
                <a:solidFill>
                  <a:srgbClr val="53565A"/>
                </a:solidFill>
                <a:ln>
                  <a:solidFill>
                    <a:srgbClr val="53565A"/>
                  </a:solidFill>
                </a:ln>
              </c:spPr>
            </c:marker>
            <c:bubble3D val="0"/>
            <c:extLst>
              <c:ext xmlns:c16="http://schemas.microsoft.com/office/drawing/2014/chart" uri="{C3380CC4-5D6E-409C-BE32-E72D297353CC}">
                <c16:uniqueId val="{00000027-1428-49DD-956F-89F876924B4D}"/>
              </c:ext>
            </c:extLst>
          </c:dPt>
          <c:dPt>
            <c:idx val="55"/>
            <c:marker>
              <c:spPr>
                <a:solidFill>
                  <a:schemeClr val="tx2"/>
                </a:solidFill>
                <a:ln>
                  <a:solidFill>
                    <a:schemeClr val="tx2"/>
                  </a:solidFill>
                </a:ln>
              </c:spPr>
            </c:marker>
            <c:bubble3D val="0"/>
            <c:extLst>
              <c:ext xmlns:c16="http://schemas.microsoft.com/office/drawing/2014/chart" uri="{C3380CC4-5D6E-409C-BE32-E72D297353CC}">
                <c16:uniqueId val="{00000028-1428-49DD-956F-89F876924B4D}"/>
              </c:ext>
            </c:extLst>
          </c:dPt>
          <c:dPt>
            <c:idx val="56"/>
            <c:marker>
              <c:spPr>
                <a:solidFill>
                  <a:srgbClr val="53565A"/>
                </a:solidFill>
                <a:ln>
                  <a:solidFill>
                    <a:srgbClr val="53565A"/>
                  </a:solidFill>
                </a:ln>
              </c:spPr>
            </c:marker>
            <c:bubble3D val="0"/>
            <c:extLst>
              <c:ext xmlns:c16="http://schemas.microsoft.com/office/drawing/2014/chart" uri="{C3380CC4-5D6E-409C-BE32-E72D297353CC}">
                <c16:uniqueId val="{00000029-1428-49DD-956F-89F876924B4D}"/>
              </c:ext>
            </c:extLst>
          </c:dPt>
          <c:dPt>
            <c:idx val="58"/>
            <c:marker>
              <c:spPr>
                <a:solidFill>
                  <a:schemeClr val="tx2"/>
                </a:solidFill>
                <a:ln>
                  <a:solidFill>
                    <a:schemeClr val="tx2"/>
                  </a:solidFill>
                </a:ln>
              </c:spPr>
            </c:marker>
            <c:bubble3D val="0"/>
            <c:extLst>
              <c:ext xmlns:c16="http://schemas.microsoft.com/office/drawing/2014/chart" uri="{C3380CC4-5D6E-409C-BE32-E72D297353CC}">
                <c16:uniqueId val="{0000002A-1428-49DD-956F-89F876924B4D}"/>
              </c:ext>
            </c:extLst>
          </c:dPt>
          <c:dPt>
            <c:idx val="59"/>
            <c:marker>
              <c:spPr>
                <a:solidFill>
                  <a:srgbClr val="53565A"/>
                </a:solidFill>
                <a:ln>
                  <a:solidFill>
                    <a:srgbClr val="53565A"/>
                  </a:solidFill>
                </a:ln>
              </c:spPr>
            </c:marker>
            <c:bubble3D val="0"/>
            <c:extLst>
              <c:ext xmlns:c16="http://schemas.microsoft.com/office/drawing/2014/chart" uri="{C3380CC4-5D6E-409C-BE32-E72D297353CC}">
                <c16:uniqueId val="{0000002B-1428-49DD-956F-89F876924B4D}"/>
              </c:ext>
            </c:extLst>
          </c:dPt>
          <c:dPt>
            <c:idx val="61"/>
            <c:marker>
              <c:spPr>
                <a:solidFill>
                  <a:schemeClr val="tx2"/>
                </a:solidFill>
                <a:ln>
                  <a:solidFill>
                    <a:schemeClr val="tx2"/>
                  </a:solidFill>
                </a:ln>
              </c:spPr>
            </c:marker>
            <c:bubble3D val="0"/>
            <c:extLst>
              <c:ext xmlns:c16="http://schemas.microsoft.com/office/drawing/2014/chart" uri="{C3380CC4-5D6E-409C-BE32-E72D297353CC}">
                <c16:uniqueId val="{0000002C-1428-49DD-956F-89F876924B4D}"/>
              </c:ext>
            </c:extLst>
          </c:dPt>
          <c:dPt>
            <c:idx val="62"/>
            <c:marker>
              <c:spPr>
                <a:solidFill>
                  <a:srgbClr val="53565A"/>
                </a:solidFill>
                <a:ln>
                  <a:solidFill>
                    <a:srgbClr val="53565A"/>
                  </a:solidFill>
                </a:ln>
              </c:spPr>
            </c:marker>
            <c:bubble3D val="0"/>
            <c:extLst>
              <c:ext xmlns:c16="http://schemas.microsoft.com/office/drawing/2014/chart" uri="{C3380CC4-5D6E-409C-BE32-E72D297353CC}">
                <c16:uniqueId val="{0000002D-1428-49DD-956F-89F876924B4D}"/>
              </c:ext>
            </c:extLst>
          </c:dPt>
          <c:dPt>
            <c:idx val="64"/>
            <c:marker>
              <c:spPr>
                <a:solidFill>
                  <a:schemeClr val="tx2"/>
                </a:solidFill>
                <a:ln>
                  <a:solidFill>
                    <a:schemeClr val="tx2"/>
                  </a:solidFill>
                </a:ln>
              </c:spPr>
            </c:marker>
            <c:bubble3D val="0"/>
            <c:extLst>
              <c:ext xmlns:c16="http://schemas.microsoft.com/office/drawing/2014/chart" uri="{C3380CC4-5D6E-409C-BE32-E72D297353CC}">
                <c16:uniqueId val="{0000002E-1428-49DD-956F-89F876924B4D}"/>
              </c:ext>
            </c:extLst>
          </c:dPt>
          <c:dPt>
            <c:idx val="65"/>
            <c:marker>
              <c:spPr>
                <a:solidFill>
                  <a:srgbClr val="53565A"/>
                </a:solidFill>
                <a:ln>
                  <a:solidFill>
                    <a:srgbClr val="53565A"/>
                  </a:solidFill>
                </a:ln>
              </c:spPr>
            </c:marker>
            <c:bubble3D val="0"/>
            <c:extLst>
              <c:ext xmlns:c16="http://schemas.microsoft.com/office/drawing/2014/chart" uri="{C3380CC4-5D6E-409C-BE32-E72D297353CC}">
                <c16:uniqueId val="{0000002F-1428-49DD-956F-89F876924B4D}"/>
              </c:ext>
            </c:extLst>
          </c:dPt>
          <c:dPt>
            <c:idx val="67"/>
            <c:marker>
              <c:spPr>
                <a:solidFill>
                  <a:schemeClr val="tx2"/>
                </a:solidFill>
                <a:ln>
                  <a:solidFill>
                    <a:schemeClr val="tx2"/>
                  </a:solidFill>
                </a:ln>
              </c:spPr>
            </c:marker>
            <c:bubble3D val="0"/>
            <c:extLst>
              <c:ext xmlns:c16="http://schemas.microsoft.com/office/drawing/2014/chart" uri="{C3380CC4-5D6E-409C-BE32-E72D297353CC}">
                <c16:uniqueId val="{00000030-1428-49DD-956F-89F876924B4D}"/>
              </c:ext>
            </c:extLst>
          </c:dPt>
          <c:dPt>
            <c:idx val="68"/>
            <c:marker>
              <c:spPr>
                <a:solidFill>
                  <a:srgbClr val="53565A"/>
                </a:solidFill>
                <a:ln>
                  <a:solidFill>
                    <a:srgbClr val="53565A"/>
                  </a:solidFill>
                </a:ln>
              </c:spPr>
            </c:marker>
            <c:bubble3D val="0"/>
            <c:extLst>
              <c:ext xmlns:c16="http://schemas.microsoft.com/office/drawing/2014/chart" uri="{C3380CC4-5D6E-409C-BE32-E72D297353CC}">
                <c16:uniqueId val="{00000031-1428-49DD-956F-89F876924B4D}"/>
              </c:ext>
            </c:extLst>
          </c:dPt>
          <c:cat>
            <c:strRef>
              <c:f>'Comp to Prev_All FOEs (18-20)'!$BX$7:$EN$7</c:f>
              <c:strCache>
                <c:ptCount val="69"/>
                <c:pt idx="0">
                  <c:v>MathSci (n=29)</c:v>
                </c:pt>
                <c:pt idx="1">
                  <c:v> (n=28)</c:v>
                </c:pt>
                <c:pt idx="2">
                  <c:v> (n=30)</c:v>
                </c:pt>
                <c:pt idx="3">
                  <c:v>MedicalSci (n=12)</c:v>
                </c:pt>
                <c:pt idx="4">
                  <c:v> (n=12)</c:v>
                </c:pt>
                <c:pt idx="5">
                  <c:v> (n=13)</c:v>
                </c:pt>
                <c:pt idx="6">
                  <c:v>OthNat-PhysSci (n=28)</c:v>
                </c:pt>
                <c:pt idx="7">
                  <c:v> (n=28)</c:v>
                </c:pt>
                <c:pt idx="8">
                  <c:v> (n=27)</c:v>
                </c:pt>
                <c:pt idx="9">
                  <c:v>InfoTech (n=32)</c:v>
                </c:pt>
                <c:pt idx="10">
                  <c:v> (n=32)</c:v>
                </c:pt>
                <c:pt idx="11">
                  <c:v> (n=32)</c:v>
                </c:pt>
                <c:pt idx="12">
                  <c:v>Eng&amp;Related (n=30)</c:v>
                </c:pt>
                <c:pt idx="13">
                  <c:v> (n=29)</c:v>
                </c:pt>
                <c:pt idx="14">
                  <c:v> (n=30)</c:v>
                </c:pt>
                <c:pt idx="15">
                  <c:v>Archi&amp;Build (n=18)</c:v>
                </c:pt>
                <c:pt idx="16">
                  <c:v> (n=19)</c:v>
                </c:pt>
                <c:pt idx="17">
                  <c:v> (n=19)</c:v>
                </c:pt>
                <c:pt idx="18">
                  <c:v>Environment (n=23)</c:v>
                </c:pt>
                <c:pt idx="19">
                  <c:v> (n=23)</c:v>
                </c:pt>
                <c:pt idx="20">
                  <c:v> (n=25)</c:v>
                </c:pt>
                <c:pt idx="21">
                  <c:v>OthAg&amp;Enviro (n=13)</c:v>
                </c:pt>
                <c:pt idx="22">
                  <c:v> (n=12)</c:v>
                </c:pt>
                <c:pt idx="23">
                  <c:v> (n=13)</c:v>
                </c:pt>
                <c:pt idx="24">
                  <c:v>MedicalStudies (n=17)</c:v>
                </c:pt>
                <c:pt idx="25">
                  <c:v> (n=18)</c:v>
                </c:pt>
                <c:pt idx="26">
                  <c:v> (n=17)</c:v>
                </c:pt>
                <c:pt idx="27">
                  <c:v>Nursing (n=28)</c:v>
                </c:pt>
                <c:pt idx="28">
                  <c:v> (n=28)</c:v>
                </c:pt>
                <c:pt idx="29">
                  <c:v> (n=29)</c:v>
                </c:pt>
                <c:pt idx="30">
                  <c:v>Dental (n=8)</c:v>
                </c:pt>
                <c:pt idx="31">
                  <c:v> (n=7)</c:v>
                </c:pt>
                <c:pt idx="32">
                  <c:v> (n=8)</c:v>
                </c:pt>
                <c:pt idx="33">
                  <c:v>Veterinary (n=5)</c:v>
                </c:pt>
                <c:pt idx="34">
                  <c:v> (n=4)</c:v>
                </c:pt>
                <c:pt idx="35">
                  <c:v> (n=4)</c:v>
                </c:pt>
                <c:pt idx="36">
                  <c:v>OthHealth (n=32)</c:v>
                </c:pt>
                <c:pt idx="37">
                  <c:v> (n=32)</c:v>
                </c:pt>
                <c:pt idx="38">
                  <c:v> (n=32)</c:v>
                </c:pt>
                <c:pt idx="39">
                  <c:v>Education (n=31)</c:v>
                </c:pt>
                <c:pt idx="40">
                  <c:v> (n=31)</c:v>
                </c:pt>
                <c:pt idx="41">
                  <c:v> (n=31)</c:v>
                </c:pt>
                <c:pt idx="42">
                  <c:v>Mgmt&amp;Comm (n=32)</c:v>
                </c:pt>
                <c:pt idx="43">
                  <c:v> (n=32)</c:v>
                </c:pt>
                <c:pt idx="44">
                  <c:v> (n=32)</c:v>
                </c:pt>
                <c:pt idx="45">
                  <c:v>ForeignLang (n=11)</c:v>
                </c:pt>
                <c:pt idx="46">
                  <c:v> (n=11)</c:v>
                </c:pt>
                <c:pt idx="47">
                  <c:v> (n=10)</c:v>
                </c:pt>
                <c:pt idx="48">
                  <c:v>Psych (n=31)</c:v>
                </c:pt>
                <c:pt idx="49">
                  <c:v> (n=31)</c:v>
                </c:pt>
                <c:pt idx="50">
                  <c:v> (n=31)</c:v>
                </c:pt>
                <c:pt idx="51">
                  <c:v>OtherSoc&amp;Cult (n=32)</c:v>
                </c:pt>
                <c:pt idx="52">
                  <c:v> (n=32)</c:v>
                </c:pt>
                <c:pt idx="53">
                  <c:v> (n=32)</c:v>
                </c:pt>
                <c:pt idx="54">
                  <c:v>Comms&amp;Media (n=23)</c:v>
                </c:pt>
                <c:pt idx="55">
                  <c:v> (n=23)</c:v>
                </c:pt>
                <c:pt idx="56">
                  <c:v> (n=23)</c:v>
                </c:pt>
                <c:pt idx="57">
                  <c:v>OthCreative (n=21)</c:v>
                </c:pt>
                <c:pt idx="58">
                  <c:v> (n=17)</c:v>
                </c:pt>
                <c:pt idx="59">
                  <c:v> (n=18)</c:v>
                </c:pt>
                <c:pt idx="60">
                  <c:v>FoodHosp&amp;Person (n=1)</c:v>
                </c:pt>
                <c:pt idx="61">
                  <c:v> (n=0)</c:v>
                </c:pt>
                <c:pt idx="62">
                  <c:v> (n=0)</c:v>
                </c:pt>
                <c:pt idx="63">
                  <c:v>MixedField (n=4)</c:v>
                </c:pt>
                <c:pt idx="64">
                  <c:v> (n=5)</c:v>
                </c:pt>
                <c:pt idx="65">
                  <c:v> (n=6)</c:v>
                </c:pt>
                <c:pt idx="66">
                  <c:v>Total (n=32)</c:v>
                </c:pt>
                <c:pt idx="67">
                  <c:v> (n=32)</c:v>
                </c:pt>
                <c:pt idx="68">
                  <c:v> (n=32)</c:v>
                </c:pt>
              </c:strCache>
            </c:strRef>
          </c:cat>
          <c:val>
            <c:numRef>
              <c:f>'Comp to Prev_All FOEs (18-20)'!$BX$32:$EN$32</c:f>
              <c:numCache>
                <c:formatCode>"$"#,##0</c:formatCode>
                <c:ptCount val="69"/>
                <c:pt idx="0">
                  <c:v>19363.842822708317</c:v>
                </c:pt>
                <c:pt idx="1">
                  <c:v>19963.796868442936</c:v>
                </c:pt>
                <c:pt idx="2">
                  <c:v>22286.77360176999</c:v>
                </c:pt>
                <c:pt idx="3">
                  <c:v>25468.648783758763</c:v>
                </c:pt>
                <c:pt idx="4">
                  <c:v>30358.242066702915</c:v>
                </c:pt>
                <c:pt idx="5">
                  <c:v>33247.616828241982</c:v>
                </c:pt>
                <c:pt idx="6">
                  <c:v>31701.827189994765</c:v>
                </c:pt>
                <c:pt idx="7">
                  <c:v>30712.652234885529</c:v>
                </c:pt>
                <c:pt idx="8">
                  <c:v>31034.219223815624</c:v>
                </c:pt>
                <c:pt idx="9">
                  <c:v>19100.136158018428</c:v>
                </c:pt>
                <c:pt idx="10">
                  <c:v>19396.450120931971</c:v>
                </c:pt>
                <c:pt idx="11">
                  <c:v>18850.597434863015</c:v>
                </c:pt>
                <c:pt idx="12">
                  <c:v>23729.328025260922</c:v>
                </c:pt>
                <c:pt idx="13">
                  <c:v>24159.984507659196</c:v>
                </c:pt>
                <c:pt idx="14">
                  <c:v>24696.15063366988</c:v>
                </c:pt>
                <c:pt idx="15">
                  <c:v>22043.491899151901</c:v>
                </c:pt>
                <c:pt idx="16">
                  <c:v>22462.407423679062</c:v>
                </c:pt>
                <c:pt idx="17">
                  <c:v>22481.538083113672</c:v>
                </c:pt>
                <c:pt idx="18">
                  <c:v>25804.53312376442</c:v>
                </c:pt>
                <c:pt idx="19">
                  <c:v>26276.297588237972</c:v>
                </c:pt>
                <c:pt idx="20">
                  <c:v>24490.761563255473</c:v>
                </c:pt>
                <c:pt idx="21">
                  <c:v>42399.32027823809</c:v>
                </c:pt>
                <c:pt idx="22">
                  <c:v>40303.736089095881</c:v>
                </c:pt>
                <c:pt idx="23">
                  <c:v>42822.069643152572</c:v>
                </c:pt>
                <c:pt idx="24">
                  <c:v>34367.244275668883</c:v>
                </c:pt>
                <c:pt idx="25">
                  <c:v>35355.046335491948</c:v>
                </c:pt>
                <c:pt idx="26">
                  <c:v>34982.072246081181</c:v>
                </c:pt>
                <c:pt idx="27">
                  <c:v>21906.903616741562</c:v>
                </c:pt>
                <c:pt idx="28">
                  <c:v>20478.400441338974</c:v>
                </c:pt>
                <c:pt idx="29">
                  <c:v>20670.99164301324</c:v>
                </c:pt>
                <c:pt idx="30">
                  <c:v>47121.072053504831</c:v>
                </c:pt>
                <c:pt idx="31">
                  <c:v>50391.373415300652</c:v>
                </c:pt>
                <c:pt idx="32">
                  <c:v>48405.155856988946</c:v>
                </c:pt>
                <c:pt idx="33">
                  <c:v>61930.862628375486</c:v>
                </c:pt>
                <c:pt idx="34">
                  <c:v>63413.617595346972</c:v>
                </c:pt>
                <c:pt idx="35">
                  <c:v>60822.694603407079</c:v>
                </c:pt>
                <c:pt idx="36">
                  <c:v>25409.889199367397</c:v>
                </c:pt>
                <c:pt idx="37">
                  <c:v>25177.820895432869</c:v>
                </c:pt>
                <c:pt idx="38">
                  <c:v>24489.658308130074</c:v>
                </c:pt>
                <c:pt idx="39">
                  <c:v>17684.940362485358</c:v>
                </c:pt>
                <c:pt idx="40">
                  <c:v>18596.040179709853</c:v>
                </c:pt>
                <c:pt idx="41">
                  <c:v>18620.01965805982</c:v>
                </c:pt>
                <c:pt idx="42">
                  <c:v>18437.615411502669</c:v>
                </c:pt>
                <c:pt idx="43">
                  <c:v>18815.82422693554</c:v>
                </c:pt>
                <c:pt idx="44">
                  <c:v>19000.321877023522</c:v>
                </c:pt>
                <c:pt idx="45">
                  <c:v>24650.121039723253</c:v>
                </c:pt>
                <c:pt idx="46">
                  <c:v>24254.177124386817</c:v>
                </c:pt>
                <c:pt idx="47">
                  <c:v>29900.436349290027</c:v>
                </c:pt>
                <c:pt idx="48">
                  <c:v>22245.042728911325</c:v>
                </c:pt>
                <c:pt idx="49">
                  <c:v>23280.685404346528</c:v>
                </c:pt>
                <c:pt idx="50">
                  <c:v>22808.904744250391</c:v>
                </c:pt>
                <c:pt idx="51">
                  <c:v>19681.533385497816</c:v>
                </c:pt>
                <c:pt idx="52">
                  <c:v>19331.750908365877</c:v>
                </c:pt>
                <c:pt idx="53">
                  <c:v>19511.285174517863</c:v>
                </c:pt>
                <c:pt idx="54">
                  <c:v>17236.352780383986</c:v>
                </c:pt>
                <c:pt idx="55">
                  <c:v>18982.029084472542</c:v>
                </c:pt>
                <c:pt idx="56">
                  <c:v>19782.599920111013</c:v>
                </c:pt>
                <c:pt idx="57">
                  <c:v>24127.180214513493</c:v>
                </c:pt>
                <c:pt idx="58">
                  <c:v>26460.407845508129</c:v>
                </c:pt>
                <c:pt idx="59">
                  <c:v>27662.88738957396</c:v>
                </c:pt>
                <c:pt idx="60">
                  <c:v>30480.522028614407</c:v>
                </c:pt>
                <c:pt idx="61">
                  <c:v>#N/A</c:v>
                </c:pt>
                <c:pt idx="62">
                  <c:v>#N/A</c:v>
                </c:pt>
                <c:pt idx="63">
                  <c:v>22883.425704529374</c:v>
                </c:pt>
                <c:pt idx="64">
                  <c:v>22631.55665596986</c:v>
                </c:pt>
                <c:pt idx="65">
                  <c:v>25554.291108129953</c:v>
                </c:pt>
                <c:pt idx="66">
                  <c:v>21455.536618103346</c:v>
                </c:pt>
                <c:pt idx="67">
                  <c:v>21745.641930259768</c:v>
                </c:pt>
                <c:pt idx="68">
                  <c:v>21913.776358270075</c:v>
                </c:pt>
              </c:numCache>
            </c:numRef>
          </c:val>
          <c:smooth val="0"/>
          <c:extLst>
            <c:ext xmlns:c16="http://schemas.microsoft.com/office/drawing/2014/chart" uri="{C3380CC4-5D6E-409C-BE32-E72D297353CC}">
              <c16:uniqueId val="{00000032-1428-49DD-956F-89F876924B4D}"/>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3"/>
        <c:noMultiLvlLbl val="0"/>
      </c:catAx>
      <c:valAx>
        <c:axId val="932351327"/>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no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solidFill>
                <a:srgbClr val="00ABAB"/>
              </a:solidFill>
            </a:ln>
            <a:effectLst/>
          </c:spPr>
          <c:invertIfNegative val="0"/>
          <c:dPt>
            <c:idx val="8"/>
            <c:invertIfNegative val="0"/>
            <c:bubble3D val="0"/>
            <c:spPr>
              <a:solidFill>
                <a:srgbClr val="00ABAB"/>
              </a:solidFill>
              <a:ln>
                <a:solidFill>
                  <a:srgbClr val="00ABAB"/>
                </a:solidFill>
              </a:ln>
              <a:effectLst/>
            </c:spPr>
            <c:extLst>
              <c:ext xmlns:c16="http://schemas.microsoft.com/office/drawing/2014/chart" uri="{C3380CC4-5D6E-409C-BE32-E72D297353CC}">
                <c16:uniqueId val="{00000001-D6CF-456C-9286-A2F010B601DA}"/>
              </c:ext>
            </c:extLst>
          </c:dPt>
          <c:dPt>
            <c:idx val="9"/>
            <c:invertIfNegative val="0"/>
            <c:bubble3D val="0"/>
            <c:spPr>
              <a:solidFill>
                <a:srgbClr val="00ABAB"/>
              </a:solidFill>
              <a:ln>
                <a:solidFill>
                  <a:srgbClr val="00ABAB"/>
                </a:solidFill>
              </a:ln>
              <a:effectLst/>
            </c:spPr>
            <c:extLst>
              <c:ext xmlns:c16="http://schemas.microsoft.com/office/drawing/2014/chart" uri="{C3380CC4-5D6E-409C-BE32-E72D297353CC}">
                <c16:uniqueId val="{00000003-D6CF-456C-9286-A2F010B601DA}"/>
              </c:ext>
            </c:extLst>
          </c:dPt>
          <c:dPt>
            <c:idx val="10"/>
            <c:invertIfNegative val="0"/>
            <c:bubble3D val="0"/>
            <c:spPr>
              <a:solidFill>
                <a:schemeClr val="bg1">
                  <a:lumMod val="75000"/>
                </a:schemeClr>
              </a:solidFill>
              <a:ln>
                <a:solidFill>
                  <a:schemeClr val="bg1">
                    <a:lumMod val="75000"/>
                  </a:schemeClr>
                </a:solidFill>
              </a:ln>
              <a:effectLst/>
            </c:spPr>
            <c:extLst>
              <c:ext xmlns:c16="http://schemas.microsoft.com/office/drawing/2014/chart" uri="{C3380CC4-5D6E-409C-BE32-E72D297353CC}">
                <c16:uniqueId val="{00000005-D6CF-456C-9286-A2F010B601DA}"/>
              </c:ext>
            </c:extLst>
          </c:dPt>
          <c:dPt>
            <c:idx val="11"/>
            <c:invertIfNegative val="0"/>
            <c:bubble3D val="0"/>
            <c:spPr>
              <a:solidFill>
                <a:srgbClr val="00ABAB"/>
              </a:solidFill>
              <a:ln>
                <a:solidFill>
                  <a:srgbClr val="00ABAB"/>
                </a:solidFill>
              </a:ln>
              <a:effectLst/>
            </c:spPr>
            <c:extLst>
              <c:ext xmlns:c16="http://schemas.microsoft.com/office/drawing/2014/chart" uri="{C3380CC4-5D6E-409C-BE32-E72D297353CC}">
                <c16:uniqueId val="{00000007-D6CF-456C-9286-A2F010B601DA}"/>
              </c:ext>
            </c:extLst>
          </c:dPt>
          <c:dPt>
            <c:idx val="12"/>
            <c:invertIfNegative val="0"/>
            <c:bubble3D val="0"/>
            <c:spPr>
              <a:solidFill>
                <a:srgbClr val="00ABAB"/>
              </a:solidFill>
              <a:ln>
                <a:solidFill>
                  <a:srgbClr val="00ABAB"/>
                </a:solidFill>
              </a:ln>
              <a:effectLst/>
            </c:spPr>
            <c:extLst>
              <c:ext xmlns:c16="http://schemas.microsoft.com/office/drawing/2014/chart" uri="{C3380CC4-5D6E-409C-BE32-E72D297353CC}">
                <c16:uniqueId val="{00000009-D6CF-456C-9286-A2F010B601DA}"/>
              </c:ext>
            </c:extLst>
          </c:dPt>
          <c:cat>
            <c:strRef>
              <c:f>'Comp to Prev_All FOEs (17-20)'!$GM$13:$HG$13</c:f>
              <c:strCache>
                <c:ptCount val="21"/>
                <c:pt idx="0">
                  <c:v>InfoTech</c:v>
                </c:pt>
                <c:pt idx="1">
                  <c:v>Environment</c:v>
                </c:pt>
                <c:pt idx="2">
                  <c:v>Veterinary</c:v>
                </c:pt>
                <c:pt idx="3">
                  <c:v>MedicalStudies</c:v>
                </c:pt>
                <c:pt idx="4">
                  <c:v>OthNat-PhysSci</c:v>
                </c:pt>
                <c:pt idx="5">
                  <c:v>ForeignLang</c:v>
                </c:pt>
                <c:pt idx="6">
                  <c:v>Archi&amp;Build</c:v>
                </c:pt>
                <c:pt idx="7">
                  <c:v>OthHealth</c:v>
                </c:pt>
                <c:pt idx="8">
                  <c:v>OtherSoc&amp;Cult</c:v>
                </c:pt>
                <c:pt idx="9">
                  <c:v>Psych</c:v>
                </c:pt>
                <c:pt idx="10">
                  <c:v>Total</c:v>
                </c:pt>
                <c:pt idx="11">
                  <c:v>Eng&amp;Related</c:v>
                </c:pt>
                <c:pt idx="12">
                  <c:v>Mgmt&amp;Comm</c:v>
                </c:pt>
                <c:pt idx="13">
                  <c:v>MathSci</c:v>
                </c:pt>
                <c:pt idx="14">
                  <c:v>OthAg&amp;Enviro</c:v>
                </c:pt>
                <c:pt idx="15">
                  <c:v>Education</c:v>
                </c:pt>
                <c:pt idx="16">
                  <c:v>OthCreative</c:v>
                </c:pt>
                <c:pt idx="17">
                  <c:v>Dental</c:v>
                </c:pt>
                <c:pt idx="18">
                  <c:v>Nursing</c:v>
                </c:pt>
                <c:pt idx="19">
                  <c:v>Comms&amp;Media</c:v>
                </c:pt>
                <c:pt idx="20">
                  <c:v>MedicalSci</c:v>
                </c:pt>
              </c:strCache>
              <c:extLst/>
            </c:strRef>
          </c:cat>
          <c:val>
            <c:numRef>
              <c:f>'Comp to Prev_All FOEs (17-20)'!$GM$14:$HG$14</c:f>
              <c:numCache>
                <c:formatCode>0.0%</c:formatCode>
                <c:ptCount val="21"/>
                <c:pt idx="0">
                  <c:v>-2.2555462832896667E-2</c:v>
                </c:pt>
                <c:pt idx="1">
                  <c:v>-2.1268134413265805E-2</c:v>
                </c:pt>
                <c:pt idx="2">
                  <c:v>-1.7826675183776675E-2</c:v>
                </c:pt>
                <c:pt idx="3">
                  <c:v>-1.0495531786920198E-2</c:v>
                </c:pt>
                <c:pt idx="4">
                  <c:v>-7.1192879194518222E-3</c:v>
                </c:pt>
                <c:pt idx="5">
                  <c:v>-9.8777871542987672E-4</c:v>
                </c:pt>
                <c:pt idx="6">
                  <c:v>7.4085292167547223E-4</c:v>
                </c:pt>
                <c:pt idx="7">
                  <c:v>4.4378141896666001E-3</c:v>
                </c:pt>
                <c:pt idx="8">
                  <c:v>5.0912480010401051E-3</c:v>
                </c:pt>
                <c:pt idx="9">
                  <c:v>5.7546652402353793E-3</c:v>
                </c:pt>
                <c:pt idx="10">
                  <c:v>6.1080793122816335E-3</c:v>
                </c:pt>
                <c:pt idx="11">
                  <c:v>7.5637721814181269E-3</c:v>
                </c:pt>
                <c:pt idx="12">
                  <c:v>1.2613685477554926E-2</c:v>
                </c:pt>
                <c:pt idx="13">
                  <c:v>1.4434658624089769E-2</c:v>
                </c:pt>
                <c:pt idx="14">
                  <c:v>1.4712582113318495E-2</c:v>
                </c:pt>
                <c:pt idx="15">
                  <c:v>1.6244603646811351E-2</c:v>
                </c:pt>
                <c:pt idx="16">
                  <c:v>1.7062912423264187E-2</c:v>
                </c:pt>
                <c:pt idx="17">
                  <c:v>2.4368501308909662E-2</c:v>
                </c:pt>
                <c:pt idx="18">
                  <c:v>2.710791476348362E-2</c:v>
                </c:pt>
                <c:pt idx="19">
                  <c:v>2.8589281427490176E-2</c:v>
                </c:pt>
                <c:pt idx="20">
                  <c:v>4.0289157351168559E-2</c:v>
                </c:pt>
              </c:numCache>
              <c:extLst/>
            </c:numRef>
          </c:val>
          <c:extLst>
            <c:ext xmlns:c16="http://schemas.microsoft.com/office/drawing/2014/chart" uri="{C3380CC4-5D6E-409C-BE32-E72D297353CC}">
              <c16:uniqueId val="{0000000A-D6CF-456C-9286-A2F010B601DA}"/>
            </c:ext>
          </c:extLst>
        </c:ser>
        <c:dLbls>
          <c:showLegendKey val="0"/>
          <c:showVal val="0"/>
          <c:showCatName val="0"/>
          <c:showSerName val="0"/>
          <c:showPercent val="0"/>
          <c:showBubbleSize val="0"/>
        </c:dLbls>
        <c:gapWidth val="100"/>
        <c:axId val="915693023"/>
        <c:axId val="915691775"/>
      </c:barChart>
      <c:catAx>
        <c:axId val="9156930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1775"/>
        <c:crosses val="autoZero"/>
        <c:auto val="1"/>
        <c:lblAlgn val="ctr"/>
        <c:lblOffset val="100"/>
        <c:noMultiLvlLbl val="0"/>
      </c:catAx>
      <c:valAx>
        <c:axId val="915691775"/>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3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noFill/>
            </a:ln>
            <a:effectLst/>
          </c:spPr>
          <c:invertIfNegative val="0"/>
          <c:dPt>
            <c:idx val="10"/>
            <c:invertIfNegative val="0"/>
            <c:bubble3D val="0"/>
            <c:spPr>
              <a:solidFill>
                <a:srgbClr val="00ABAB"/>
              </a:solidFill>
              <a:ln>
                <a:noFill/>
              </a:ln>
              <a:effectLst/>
            </c:spPr>
            <c:extLst>
              <c:ext xmlns:c16="http://schemas.microsoft.com/office/drawing/2014/chart" uri="{C3380CC4-5D6E-409C-BE32-E72D297353CC}">
                <c16:uniqueId val="{00000001-596B-45F1-8AB7-6026BDC55298}"/>
              </c:ext>
            </c:extLst>
          </c:dPt>
          <c:dPt>
            <c:idx val="11"/>
            <c:invertIfNegative val="0"/>
            <c:bubble3D val="0"/>
            <c:spPr>
              <a:solidFill>
                <a:srgbClr val="00ABAB"/>
              </a:solidFill>
              <a:ln>
                <a:noFill/>
              </a:ln>
              <a:effectLst/>
            </c:spPr>
            <c:extLst>
              <c:ext xmlns:c16="http://schemas.microsoft.com/office/drawing/2014/chart" uri="{C3380CC4-5D6E-409C-BE32-E72D297353CC}">
                <c16:uniqueId val="{00000003-596B-45F1-8AB7-6026BDC55298}"/>
              </c:ext>
            </c:extLst>
          </c:dPt>
          <c:dPt>
            <c:idx val="12"/>
            <c:invertIfNegative val="0"/>
            <c:bubble3D val="0"/>
            <c:spPr>
              <a:solidFill>
                <a:schemeClr val="bg1">
                  <a:lumMod val="75000"/>
                </a:schemeClr>
              </a:solidFill>
              <a:ln>
                <a:noFill/>
              </a:ln>
              <a:effectLst/>
            </c:spPr>
            <c:extLst>
              <c:ext xmlns:c16="http://schemas.microsoft.com/office/drawing/2014/chart" uri="{C3380CC4-5D6E-409C-BE32-E72D297353CC}">
                <c16:uniqueId val="{00000005-596B-45F1-8AB7-6026BDC55298}"/>
              </c:ext>
            </c:extLst>
          </c:dPt>
          <c:dPt>
            <c:idx val="13"/>
            <c:invertIfNegative val="0"/>
            <c:bubble3D val="0"/>
            <c:spPr>
              <a:solidFill>
                <a:srgbClr val="00ABAB"/>
              </a:solidFill>
              <a:ln>
                <a:noFill/>
              </a:ln>
              <a:effectLst/>
            </c:spPr>
            <c:extLst>
              <c:ext xmlns:c16="http://schemas.microsoft.com/office/drawing/2014/chart" uri="{C3380CC4-5D6E-409C-BE32-E72D297353CC}">
                <c16:uniqueId val="{00000007-596B-45F1-8AB7-6026BDC55298}"/>
              </c:ext>
            </c:extLst>
          </c:dPt>
          <c:dPt>
            <c:idx val="14"/>
            <c:invertIfNegative val="0"/>
            <c:bubble3D val="0"/>
            <c:spPr>
              <a:solidFill>
                <a:srgbClr val="00ABAB"/>
              </a:solidFill>
              <a:ln>
                <a:noFill/>
              </a:ln>
              <a:effectLst/>
            </c:spPr>
            <c:extLst>
              <c:ext xmlns:c16="http://schemas.microsoft.com/office/drawing/2014/chart" uri="{C3380CC4-5D6E-409C-BE32-E72D297353CC}">
                <c16:uniqueId val="{00000009-596B-45F1-8AB7-6026BDC55298}"/>
              </c:ext>
            </c:extLst>
          </c:dPt>
          <c:cat>
            <c:strRef>
              <c:f>'Comp to Prev_All FOEs (15-20)'!$HD$16:$HW$16</c:f>
              <c:strCache>
                <c:ptCount val="20"/>
                <c:pt idx="0">
                  <c:v>OthAg&amp;Enviro</c:v>
                </c:pt>
                <c:pt idx="1">
                  <c:v>InfoTech</c:v>
                </c:pt>
                <c:pt idx="2">
                  <c:v>Dental</c:v>
                </c:pt>
                <c:pt idx="3">
                  <c:v>Environment</c:v>
                </c:pt>
                <c:pt idx="4">
                  <c:v>OthNat-PhysSci</c:v>
                </c:pt>
                <c:pt idx="5">
                  <c:v>MedicalStudies</c:v>
                </c:pt>
                <c:pt idx="6">
                  <c:v>Veterinary</c:v>
                </c:pt>
                <c:pt idx="7">
                  <c:v>Archi&amp;Build</c:v>
                </c:pt>
                <c:pt idx="8">
                  <c:v>Psych</c:v>
                </c:pt>
                <c:pt idx="9">
                  <c:v>OthHealth</c:v>
                </c:pt>
                <c:pt idx="10">
                  <c:v>OthCreative</c:v>
                </c:pt>
                <c:pt idx="11">
                  <c:v>MathSci</c:v>
                </c:pt>
                <c:pt idx="12">
                  <c:v>Total</c:v>
                </c:pt>
                <c:pt idx="13">
                  <c:v>Eng&amp;Related</c:v>
                </c:pt>
                <c:pt idx="14">
                  <c:v>MedicalSci</c:v>
                </c:pt>
                <c:pt idx="15">
                  <c:v>Education</c:v>
                </c:pt>
                <c:pt idx="16">
                  <c:v>ForeignLang</c:v>
                </c:pt>
                <c:pt idx="17">
                  <c:v>OtherSoc&amp;Cult</c:v>
                </c:pt>
                <c:pt idx="18">
                  <c:v>Mgmt&amp;Comm</c:v>
                </c:pt>
                <c:pt idx="19">
                  <c:v>Comms&amp;Media</c:v>
                </c:pt>
              </c:strCache>
            </c:strRef>
          </c:cat>
          <c:val>
            <c:numRef>
              <c:f>'Comp to Prev_All FOEs (15-20)'!$HD$17:$HW$17</c:f>
              <c:numCache>
                <c:formatCode>0%</c:formatCode>
                <c:ptCount val="20"/>
                <c:pt idx="0">
                  <c:v>-2.1181431006548901E-2</c:v>
                </c:pt>
                <c:pt idx="1">
                  <c:v>-5.8927011515821359E-3</c:v>
                </c:pt>
                <c:pt idx="2">
                  <c:v>-5.4969654581056293E-3</c:v>
                </c:pt>
                <c:pt idx="3">
                  <c:v>-2.6867557949721288E-3</c:v>
                </c:pt>
                <c:pt idx="4">
                  <c:v>-9.2514385753206252E-4</c:v>
                </c:pt>
                <c:pt idx="5">
                  <c:v>1.8593746283046553E-3</c:v>
                </c:pt>
                <c:pt idx="6">
                  <c:v>1.9995524062277337E-3</c:v>
                </c:pt>
                <c:pt idx="7">
                  <c:v>6.7772242618096001E-3</c:v>
                </c:pt>
                <c:pt idx="8">
                  <c:v>1.5597673316944505E-2</c:v>
                </c:pt>
                <c:pt idx="9">
                  <c:v>1.6333274406156173E-2</c:v>
                </c:pt>
                <c:pt idx="10">
                  <c:v>1.6692830203947961E-2</c:v>
                </c:pt>
                <c:pt idx="11">
                  <c:v>1.7222813768970502E-2</c:v>
                </c:pt>
                <c:pt idx="12">
                  <c:v>1.7846541532785976E-2</c:v>
                </c:pt>
                <c:pt idx="13">
                  <c:v>1.8280324201983555E-2</c:v>
                </c:pt>
                <c:pt idx="14">
                  <c:v>1.8685478659703492E-2</c:v>
                </c:pt>
                <c:pt idx="15">
                  <c:v>2.2748550578749249E-2</c:v>
                </c:pt>
                <c:pt idx="16">
                  <c:v>2.5864029848199133E-2</c:v>
                </c:pt>
                <c:pt idx="17">
                  <c:v>2.6506859836333163E-2</c:v>
                </c:pt>
                <c:pt idx="18">
                  <c:v>3.9389410085860943E-2</c:v>
                </c:pt>
                <c:pt idx="19">
                  <c:v>3.9707462736430665E-2</c:v>
                </c:pt>
              </c:numCache>
            </c:numRef>
          </c:val>
          <c:extLst>
            <c:ext xmlns:c16="http://schemas.microsoft.com/office/drawing/2014/chart" uri="{C3380CC4-5D6E-409C-BE32-E72D297353CC}">
              <c16:uniqueId val="{0000000A-596B-45F1-8AB7-6026BDC55298}"/>
            </c:ext>
          </c:extLst>
        </c:ser>
        <c:dLbls>
          <c:showLegendKey val="0"/>
          <c:showVal val="0"/>
          <c:showCatName val="0"/>
          <c:showSerName val="0"/>
          <c:showPercent val="0"/>
          <c:showBubbleSize val="0"/>
        </c:dLbls>
        <c:gapWidth val="100"/>
        <c:axId val="915693023"/>
        <c:axId val="915691775"/>
      </c:barChart>
      <c:catAx>
        <c:axId val="9156930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1775"/>
        <c:crosses val="autoZero"/>
        <c:auto val="1"/>
        <c:lblAlgn val="ctr"/>
        <c:lblOffset val="100"/>
        <c:noMultiLvlLbl val="0"/>
      </c:catAx>
      <c:valAx>
        <c:axId val="915691775"/>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3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1153054221002"/>
          <c:y val="4.8689530182629302E-2"/>
          <c:w val="0.87075459467703809"/>
          <c:h val="0.74674334309215107"/>
        </c:manualLayout>
      </c:layout>
      <c:barChart>
        <c:barDir val="col"/>
        <c:grouping val="stacked"/>
        <c:varyColors val="0"/>
        <c:ser>
          <c:idx val="1"/>
          <c:order val="0"/>
          <c:tx>
            <c:strRef>
              <c:f>'2.5_charts'!$C$2</c:f>
              <c:strCache>
                <c:ptCount val="1"/>
                <c:pt idx="0">
                  <c:v>Above the line capital costs</c:v>
                </c:pt>
              </c:strCache>
            </c:strRef>
          </c:tx>
          <c:spPr>
            <a:solidFill>
              <a:srgbClr val="00ABAB"/>
            </a:solidFill>
            <a:ln>
              <a:noFill/>
            </a:ln>
            <a:effectLst/>
          </c:spPr>
          <c:invertIfNegative val="0"/>
          <c:cat>
            <c:numRef>
              <c:f>'2.5_charts'!$L$3:$L$39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'2.5_charts'!$M$3:$M$39</c:f>
              <c:numCache>
                <c:formatCode>"$"#,##0</c:formatCode>
                <c:ptCount val="37"/>
                <c:pt idx="0">
                  <c:v>267.8900406411251</c:v>
                </c:pt>
                <c:pt idx="1">
                  <c:v>853.61853645160363</c:v>
                </c:pt>
                <c:pt idx="2">
                  <c:v>896.88107665889913</c:v>
                </c:pt>
                <c:pt idx="3">
                  <c:v>1127.4772098770911</c:v>
                </c:pt>
                <c:pt idx="4">
                  <c:v>1187.0430483262267</c:v>
                </c:pt>
                <c:pt idx="5">
                  <c:v>1200.7004321523457</c:v>
                </c:pt>
                <c:pt idx="6">
                  <c:v>1245.5340109575989</c:v>
                </c:pt>
                <c:pt idx="7">
                  <c:v>1342.3484868591197</c:v>
                </c:pt>
                <c:pt idx="8">
                  <c:v>157.43361325072959</c:v>
                </c:pt>
                <c:pt idx="9">
                  <c:v>1651.1786357715835</c:v>
                </c:pt>
                <c:pt idx="10">
                  <c:v>1674.1834279757779</c:v>
                </c:pt>
                <c:pt idx="11">
                  <c:v>1810.8205026016101</c:v>
                </c:pt>
                <c:pt idx="12">
                  <c:v>1821.5520672024256</c:v>
                </c:pt>
                <c:pt idx="13">
                  <c:v>1640.7154332432369</c:v>
                </c:pt>
                <c:pt idx="14">
                  <c:v>1836.8662298520924</c:v>
                </c:pt>
                <c:pt idx="15">
                  <c:v>1848.1425549353621</c:v>
                </c:pt>
                <c:pt idx="16">
                  <c:v>1884.4952329406881</c:v>
                </c:pt>
                <c:pt idx="17">
                  <c:v>2024.201959504491</c:v>
                </c:pt>
                <c:pt idx="18">
                  <c:v>2035.8814662137897</c:v>
                </c:pt>
                <c:pt idx="19">
                  <c:v>2223.1376193069932</c:v>
                </c:pt>
                <c:pt idx="20">
                  <c:v>1784.6340176400654</c:v>
                </c:pt>
                <c:pt idx="21">
                  <c:v>2249.8973133527138</c:v>
                </c:pt>
                <c:pt idx="22">
                  <c:v>2255.4958937917922</c:v>
                </c:pt>
                <c:pt idx="23">
                  <c:v>2308.3316473834197</c:v>
                </c:pt>
                <c:pt idx="24">
                  <c:v>2308.6026816169779</c:v>
                </c:pt>
                <c:pt idx="25">
                  <c:v>2317.3973593345295</c:v>
                </c:pt>
                <c:pt idx="26">
                  <c:v>2461.5895482686474</c:v>
                </c:pt>
                <c:pt idx="27">
                  <c:v>2514.5597324330265</c:v>
                </c:pt>
                <c:pt idx="28">
                  <c:v>2589.3644134792712</c:v>
                </c:pt>
                <c:pt idx="29">
                  <c:v>2603.2291857628611</c:v>
                </c:pt>
                <c:pt idx="30">
                  <c:v>2645.1645661745897</c:v>
                </c:pt>
                <c:pt idx="31">
                  <c:v>2691.7497141762865</c:v>
                </c:pt>
                <c:pt idx="32">
                  <c:v>2830.5534671211622</c:v>
                </c:pt>
                <c:pt idx="33">
                  <c:v>1445.814043966009</c:v>
                </c:pt>
                <c:pt idx="34">
                  <c:v>3150.5573594185025</c:v>
                </c:pt>
                <c:pt idx="35">
                  <c:v>3401.7623312218693</c:v>
                </c:pt>
                <c:pt idx="36">
                  <c:v>3876.6769921916853</c:v>
                </c:pt>
              </c:numCache>
            </c:numRef>
          </c:val>
          <c:extLst>
            <c:ext xmlns:c16="http://schemas.microsoft.com/office/drawing/2014/chart" uri="{C3380CC4-5D6E-409C-BE32-E72D297353CC}">
              <c16:uniqueId val="{00000000-BCFB-45FF-9B1D-633F02E68E33}"/>
            </c:ext>
          </c:extLst>
        </c:ser>
        <c:ser>
          <c:idx val="2"/>
          <c:order val="1"/>
          <c:tx>
            <c:strRef>
              <c:f>'2.5_charts'!$D$2</c:f>
              <c:strCache>
                <c:ptCount val="1"/>
                <c:pt idx="0">
                  <c:v>Optional depreciation adjustment</c:v>
                </c:pt>
              </c:strCache>
            </c:strRef>
          </c:tx>
          <c:spPr>
            <a:solidFill>
              <a:schemeClr val="bg1">
                <a:lumMod val="75000"/>
              </a:schemeClr>
            </a:solidFill>
            <a:ln>
              <a:noFill/>
            </a:ln>
            <a:effectLst/>
          </c:spPr>
          <c:invertIfNegative val="0"/>
          <c:cat>
            <c:numRef>
              <c:f>'2.5_charts'!$L$3:$L$39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'2.5_charts'!$N$3:$N$39</c:f>
              <c:numCache>
                <c:formatCode>"$"#,##0</c:formatCode>
                <c:ptCount val="37"/>
                <c:pt idx="0">
                  <c:v>0</c:v>
                </c:pt>
                <c:pt idx="1">
                  <c:v>0</c:v>
                </c:pt>
                <c:pt idx="2">
                  <c:v>0</c:v>
                </c:pt>
                <c:pt idx="3">
                  <c:v>0</c:v>
                </c:pt>
                <c:pt idx="4">
                  <c:v>0</c:v>
                </c:pt>
                <c:pt idx="5">
                  <c:v>0</c:v>
                </c:pt>
                <c:pt idx="6">
                  <c:v>0</c:v>
                </c:pt>
                <c:pt idx="7">
                  <c:v>0</c:v>
                </c:pt>
                <c:pt idx="8">
                  <c:v>1274.2840354950024</c:v>
                </c:pt>
                <c:pt idx="9">
                  <c:v>0</c:v>
                </c:pt>
                <c:pt idx="10">
                  <c:v>0</c:v>
                </c:pt>
                <c:pt idx="11">
                  <c:v>0</c:v>
                </c:pt>
                <c:pt idx="12">
                  <c:v>0</c:v>
                </c:pt>
                <c:pt idx="13">
                  <c:v>184.39174062526041</c:v>
                </c:pt>
                <c:pt idx="14">
                  <c:v>0</c:v>
                </c:pt>
                <c:pt idx="15">
                  <c:v>0</c:v>
                </c:pt>
                <c:pt idx="16">
                  <c:v>0</c:v>
                </c:pt>
                <c:pt idx="17">
                  <c:v>0</c:v>
                </c:pt>
                <c:pt idx="18">
                  <c:v>0</c:v>
                </c:pt>
                <c:pt idx="19">
                  <c:v>0</c:v>
                </c:pt>
                <c:pt idx="20">
                  <c:v>464.49829591143362</c:v>
                </c:pt>
                <c:pt idx="21">
                  <c:v>0</c:v>
                </c:pt>
                <c:pt idx="22">
                  <c:v>0</c:v>
                </c:pt>
                <c:pt idx="23">
                  <c:v>0</c:v>
                </c:pt>
                <c:pt idx="24">
                  <c:v>0</c:v>
                </c:pt>
                <c:pt idx="25">
                  <c:v>0</c:v>
                </c:pt>
                <c:pt idx="26">
                  <c:v>0</c:v>
                </c:pt>
                <c:pt idx="27">
                  <c:v>0</c:v>
                </c:pt>
                <c:pt idx="28">
                  <c:v>0</c:v>
                </c:pt>
                <c:pt idx="29">
                  <c:v>0</c:v>
                </c:pt>
                <c:pt idx="30">
                  <c:v>0</c:v>
                </c:pt>
                <c:pt idx="31">
                  <c:v>0</c:v>
                </c:pt>
                <c:pt idx="32">
                  <c:v>0</c:v>
                </c:pt>
                <c:pt idx="33">
                  <c:v>1537.4968344179147</c:v>
                </c:pt>
                <c:pt idx="34">
                  <c:v>0</c:v>
                </c:pt>
                <c:pt idx="35">
                  <c:v>355.0472623686066</c:v>
                </c:pt>
                <c:pt idx="36">
                  <c:v>416.3649515580961</c:v>
                </c:pt>
              </c:numCache>
            </c:numRef>
          </c:val>
          <c:extLst>
            <c:ext xmlns:c16="http://schemas.microsoft.com/office/drawing/2014/chart" uri="{C3380CC4-5D6E-409C-BE32-E72D297353CC}">
              <c16:uniqueId val="{00000001-BCFB-45FF-9B1D-633F02E68E33}"/>
            </c:ext>
          </c:extLst>
        </c:ser>
        <c:dLbls>
          <c:showLegendKey val="0"/>
          <c:showVal val="0"/>
          <c:showCatName val="0"/>
          <c:showSerName val="0"/>
          <c:showPercent val="0"/>
          <c:showBubbleSize val="0"/>
        </c:dLbls>
        <c:gapWidth val="150"/>
        <c:overlap val="100"/>
        <c:axId val="1375286992"/>
        <c:axId val="1375267856"/>
      </c:barChart>
      <c:lineChart>
        <c:grouping val="standard"/>
        <c:varyColors val="0"/>
        <c:ser>
          <c:idx val="0"/>
          <c:order val="2"/>
          <c:tx>
            <c:strRef>
              <c:f>'2.5_charts'!$P$2</c:f>
              <c:strCache>
                <c:ptCount val="1"/>
                <c:pt idx="0">
                  <c:v>Average above the line capital costs</c:v>
                </c:pt>
              </c:strCache>
            </c:strRef>
          </c:tx>
          <c:spPr>
            <a:ln w="28575" cap="rnd">
              <a:solidFill>
                <a:schemeClr val="tx2"/>
              </a:solidFill>
              <a:prstDash val="sysDash"/>
              <a:round/>
            </a:ln>
            <a:effectLst/>
          </c:spPr>
          <c:marker>
            <c:symbol val="none"/>
          </c:marker>
          <c:val>
            <c:numRef>
              <c:f>'2.5_charts'!$P$3:$P$39</c:f>
              <c:numCache>
                <c:formatCode>"$"#,##0</c:formatCode>
                <c:ptCount val="37"/>
                <c:pt idx="0">
                  <c:v>1950.4184284339512</c:v>
                </c:pt>
                <c:pt idx="1">
                  <c:v>1950.4184284339512</c:v>
                </c:pt>
                <c:pt idx="2">
                  <c:v>1950.4184284339512</c:v>
                </c:pt>
                <c:pt idx="3">
                  <c:v>1950.4184284339512</c:v>
                </c:pt>
                <c:pt idx="4">
                  <c:v>1950.4184284339512</c:v>
                </c:pt>
                <c:pt idx="5">
                  <c:v>1950.4184284339512</c:v>
                </c:pt>
                <c:pt idx="6">
                  <c:v>1950.4184284339512</c:v>
                </c:pt>
                <c:pt idx="7">
                  <c:v>1950.4184284339512</c:v>
                </c:pt>
                <c:pt idx="8">
                  <c:v>1950.4184284339512</c:v>
                </c:pt>
                <c:pt idx="9">
                  <c:v>1950.4184284339512</c:v>
                </c:pt>
                <c:pt idx="10">
                  <c:v>1950.4184284339512</c:v>
                </c:pt>
                <c:pt idx="11">
                  <c:v>1950.4184284339512</c:v>
                </c:pt>
                <c:pt idx="12">
                  <c:v>1950.4184284339512</c:v>
                </c:pt>
                <c:pt idx="13">
                  <c:v>1950.4184284339512</c:v>
                </c:pt>
                <c:pt idx="14">
                  <c:v>1950.4184284339512</c:v>
                </c:pt>
                <c:pt idx="15">
                  <c:v>1950.4184284339512</c:v>
                </c:pt>
                <c:pt idx="16">
                  <c:v>1950.4184284339512</c:v>
                </c:pt>
                <c:pt idx="17">
                  <c:v>1950.4184284339512</c:v>
                </c:pt>
                <c:pt idx="18">
                  <c:v>1950.4184284339512</c:v>
                </c:pt>
                <c:pt idx="19">
                  <c:v>1950.4184284339512</c:v>
                </c:pt>
                <c:pt idx="20">
                  <c:v>1950.4184284339512</c:v>
                </c:pt>
                <c:pt idx="21">
                  <c:v>1950.4184284339512</c:v>
                </c:pt>
                <c:pt idx="22">
                  <c:v>1950.4184284339512</c:v>
                </c:pt>
                <c:pt idx="23">
                  <c:v>1950.4184284339512</c:v>
                </c:pt>
                <c:pt idx="24">
                  <c:v>1950.4184284339512</c:v>
                </c:pt>
                <c:pt idx="25">
                  <c:v>1950.4184284339512</c:v>
                </c:pt>
                <c:pt idx="26">
                  <c:v>1950.4184284339512</c:v>
                </c:pt>
                <c:pt idx="27">
                  <c:v>1950.4184284339512</c:v>
                </c:pt>
                <c:pt idx="28">
                  <c:v>1950.4184284339512</c:v>
                </c:pt>
                <c:pt idx="29">
                  <c:v>1950.4184284339512</c:v>
                </c:pt>
                <c:pt idx="30">
                  <c:v>1950.4184284339512</c:v>
                </c:pt>
                <c:pt idx="31">
                  <c:v>1950.4184284339512</c:v>
                </c:pt>
                <c:pt idx="32">
                  <c:v>1950.4184284339512</c:v>
                </c:pt>
                <c:pt idx="33">
                  <c:v>1950.4184284339512</c:v>
                </c:pt>
                <c:pt idx="34">
                  <c:v>1950.4184284339512</c:v>
                </c:pt>
                <c:pt idx="35">
                  <c:v>1950.4184284339512</c:v>
                </c:pt>
                <c:pt idx="36">
                  <c:v>1950.4184284339512</c:v>
                </c:pt>
              </c:numCache>
            </c:numRef>
          </c:val>
          <c:smooth val="0"/>
          <c:extLst>
            <c:ext xmlns:c16="http://schemas.microsoft.com/office/drawing/2014/chart" uri="{C3380CC4-5D6E-409C-BE32-E72D297353CC}">
              <c16:uniqueId val="{00000002-BCFB-45FF-9B1D-633F02E68E33}"/>
            </c:ext>
          </c:extLst>
        </c:ser>
        <c:dLbls>
          <c:showLegendKey val="0"/>
          <c:showVal val="0"/>
          <c:showCatName val="0"/>
          <c:showSerName val="0"/>
          <c:showPercent val="0"/>
          <c:showBubbleSize val="0"/>
        </c:dLbls>
        <c:marker val="1"/>
        <c:smooth val="0"/>
        <c:axId val="1375286992"/>
        <c:axId val="1375267856"/>
      </c:lineChart>
      <c:catAx>
        <c:axId val="137528699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67856"/>
        <c:crosses val="autoZero"/>
        <c:auto val="1"/>
        <c:lblAlgn val="ctr"/>
        <c:lblOffset val="100"/>
        <c:noMultiLvlLbl val="0"/>
      </c:catAx>
      <c:valAx>
        <c:axId val="1375267856"/>
        <c:scaling>
          <c:orientation val="minMax"/>
          <c:max val="5000"/>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8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47454463458019E-2"/>
          <c:y val="4.7655119557351508E-2"/>
          <c:w val="0.94307619071480486"/>
          <c:h val="0.71481090567460959"/>
        </c:manualLayout>
      </c:layout>
      <c:stockChart>
        <c:ser>
          <c:idx val="0"/>
          <c:order val="0"/>
          <c:tx>
            <c:strRef>
              <c:f>'2.2_data'!$B$84</c:f>
              <c:strCache>
                <c:ptCount val="1"/>
                <c:pt idx="0">
                  <c:v>25th percentile</c:v>
                </c:pt>
              </c:strCache>
            </c:strRef>
          </c:tx>
          <c:spPr>
            <a:ln w="25400">
              <a:noFill/>
            </a:ln>
          </c:spPr>
          <c:marker>
            <c:symbol val="none"/>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'2.2_data'!$C$84:$AV$84</c:f>
              <c:numCache>
                <c:formatCode>0</c:formatCode>
                <c:ptCount val="46"/>
                <c:pt idx="0">
                  <c:v>13385.557371755742</c:v>
                </c:pt>
                <c:pt idx="1">
                  <c:v>13875.339333448057</c:v>
                </c:pt>
                <c:pt idx="2">
                  <c:v>#N/A</c:v>
                </c:pt>
                <c:pt idx="3">
                  <c:v>#N/A</c:v>
                </c:pt>
                <c:pt idx="4">
                  <c:v>15751.315367853391</c:v>
                </c:pt>
                <c:pt idx="5">
                  <c:v>16196.74371517669</c:v>
                </c:pt>
                <c:pt idx="6">
                  <c:v>13936.977813476751</c:v>
                </c:pt>
                <c:pt idx="7">
                  <c:v>14199.355910405848</c:v>
                </c:pt>
                <c:pt idx="8">
                  <c:v>18018.708587537905</c:v>
                </c:pt>
                <c:pt idx="9">
                  <c:v>16147.80423396279</c:v>
                </c:pt>
                <c:pt idx="10">
                  <c:v>12828.094689817581</c:v>
                </c:pt>
                <c:pt idx="11">
                  <c:v>13165.081779125734</c:v>
                </c:pt>
                <c:pt idx="12">
                  <c:v>16520.068345705724</c:v>
                </c:pt>
                <c:pt idx="13">
                  <c:v>16444.718737778578</c:v>
                </c:pt>
                <c:pt idx="14">
                  <c:v>24895.689900603778</c:v>
                </c:pt>
                <c:pt idx="15">
                  <c:v>25467.918269876274</c:v>
                </c:pt>
                <c:pt idx="16">
                  <c:v>#N/A</c:v>
                </c:pt>
                <c:pt idx="17">
                  <c:v>#N/A</c:v>
                </c:pt>
                <c:pt idx="18">
                  <c:v>14311.79609988154</c:v>
                </c:pt>
                <c:pt idx="19">
                  <c:v>15601.072858713635</c:v>
                </c:pt>
                <c:pt idx="20">
                  <c:v>#N/A</c:v>
                </c:pt>
                <c:pt idx="21">
                  <c:v>#N/A</c:v>
                </c:pt>
                <c:pt idx="22">
                  <c:v>#N/A</c:v>
                </c:pt>
                <c:pt idx="23">
                  <c:v>#N/A</c:v>
                </c:pt>
                <c:pt idx="24">
                  <c:v>13760.823903940971</c:v>
                </c:pt>
                <c:pt idx="25">
                  <c:v>13457.287917612148</c:v>
                </c:pt>
                <c:pt idx="26">
                  <c:v>13045.360330376525</c:v>
                </c:pt>
                <c:pt idx="27">
                  <c:v>12404.907920282028</c:v>
                </c:pt>
                <c:pt idx="28">
                  <c:v>11694.444686128596</c:v>
                </c:pt>
                <c:pt idx="29">
                  <c:v>13403.573546827956</c:v>
                </c:pt>
                <c:pt idx="30">
                  <c:v>15341.963988218848</c:v>
                </c:pt>
                <c:pt idx="31">
                  <c:v>15030.645778117268</c:v>
                </c:pt>
                <c:pt idx="32">
                  <c:v>11194.486749924645</c:v>
                </c:pt>
                <c:pt idx="33">
                  <c:v>11279.200050875092</c:v>
                </c:pt>
                <c:pt idx="34">
                  <c:v>12961.612581364208</c:v>
                </c:pt>
                <c:pt idx="35">
                  <c:v>12577.935540146907</c:v>
                </c:pt>
                <c:pt idx="36">
                  <c:v>11783.500975048082</c:v>
                </c:pt>
                <c:pt idx="37">
                  <c:v>13395.881618108873</c:v>
                </c:pt>
                <c:pt idx="38">
                  <c:v>15334.474354134532</c:v>
                </c:pt>
                <c:pt idx="39">
                  <c:v>14689.266852435952</c:v>
                </c:pt>
                <c:pt idx="40">
                  <c:v>#N/A</c:v>
                </c:pt>
                <c:pt idx="41">
                  <c:v>#N/A</c:v>
                </c:pt>
                <c:pt idx="42">
                  <c:v>#N/A</c:v>
                </c:pt>
                <c:pt idx="43">
                  <c:v>#N/A</c:v>
                </c:pt>
                <c:pt idx="44">
                  <c:v>14966.468229326725</c:v>
                </c:pt>
                <c:pt idx="45">
                  <c:v>14005.352383507334</c:v>
                </c:pt>
              </c:numCache>
            </c:numRef>
          </c:val>
          <c:smooth val="0"/>
          <c:extLst>
            <c:ext xmlns:c16="http://schemas.microsoft.com/office/drawing/2014/chart" uri="{C3380CC4-5D6E-409C-BE32-E72D297353CC}">
              <c16:uniqueId val="{00000000-7B94-484D-89E6-908E635314A6}"/>
            </c:ext>
          </c:extLst>
        </c:ser>
        <c:ser>
          <c:idx val="3"/>
          <c:order val="1"/>
          <c:tx>
            <c:strRef>
              <c:f>'2.2_data'!$B$90</c:f>
              <c:strCache>
                <c:ptCount val="1"/>
                <c:pt idx="0">
                  <c:v>Maximum</c:v>
                </c:pt>
              </c:strCache>
            </c:strRef>
          </c:tx>
          <c:spPr>
            <a:ln w="25400">
              <a:noFill/>
            </a:ln>
          </c:spPr>
          <c:marker>
            <c:symbol val="dash"/>
            <c:size val="5"/>
            <c:spPr>
              <a:solidFill>
                <a:srgbClr val="00ABAB"/>
              </a:solidFill>
              <a:ln>
                <a:solidFill>
                  <a:srgbClr val="00ABAB"/>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'2.2_data'!$C$90:$AV$90</c:f>
              <c:numCache>
                <c:formatCode>0</c:formatCode>
                <c:ptCount val="46"/>
                <c:pt idx="0">
                  <c:v>23962.997224883973</c:v>
                </c:pt>
                <c:pt idx="1">
                  <c:v>28666.373868945266</c:v>
                </c:pt>
                <c:pt idx="2">
                  <c:v>#N/A</c:v>
                </c:pt>
                <c:pt idx="3">
                  <c:v>#N/A</c:v>
                </c:pt>
                <c:pt idx="4">
                  <c:v>48776.273047036993</c:v>
                </c:pt>
                <c:pt idx="5">
                  <c:v>45027.485388653717</c:v>
                </c:pt>
                <c:pt idx="6">
                  <c:v>39696.646240768823</c:v>
                </c:pt>
                <c:pt idx="7">
                  <c:v>33980.601959184962</c:v>
                </c:pt>
                <c:pt idx="8">
                  <c:v>47510.182011175144</c:v>
                </c:pt>
                <c:pt idx="9">
                  <c:v>52265.70456351641</c:v>
                </c:pt>
                <c:pt idx="10">
                  <c:v>31338.124434353133</c:v>
                </c:pt>
                <c:pt idx="11">
                  <c:v>28066.722381332373</c:v>
                </c:pt>
                <c:pt idx="12">
                  <c:v>51868.934031916528</c:v>
                </c:pt>
                <c:pt idx="13">
                  <c:v>24817.126669609603</c:v>
                </c:pt>
                <c:pt idx="14">
                  <c:v>68998.231232082471</c:v>
                </c:pt>
                <c:pt idx="15">
                  <c:v>50696.673968685944</c:v>
                </c:pt>
                <c:pt idx="16">
                  <c:v>#N/A</c:v>
                </c:pt>
                <c:pt idx="17">
                  <c:v>#N/A</c:v>
                </c:pt>
                <c:pt idx="18">
                  <c:v>17518.014939872723</c:v>
                </c:pt>
                <c:pt idx="19">
                  <c:v>19084.359445366415</c:v>
                </c:pt>
                <c:pt idx="20">
                  <c:v>#N/A</c:v>
                </c:pt>
                <c:pt idx="21">
                  <c:v>#N/A</c:v>
                </c:pt>
                <c:pt idx="22">
                  <c:v>#N/A</c:v>
                </c:pt>
                <c:pt idx="23">
                  <c:v>#N/A</c:v>
                </c:pt>
                <c:pt idx="24">
                  <c:v>24399.339805507345</c:v>
                </c:pt>
                <c:pt idx="25">
                  <c:v>28666.373868945266</c:v>
                </c:pt>
                <c:pt idx="26">
                  <c:v>24677.743416136382</c:v>
                </c:pt>
                <c:pt idx="27">
                  <c:v>30836.030310094637</c:v>
                </c:pt>
                <c:pt idx="28">
                  <c:v>32996.542709610861</c:v>
                </c:pt>
                <c:pt idx="29">
                  <c:v>29920.545894899475</c:v>
                </c:pt>
                <c:pt idx="30">
                  <c:v>27636.269275055674</c:v>
                </c:pt>
                <c:pt idx="31">
                  <c:v>27145.474165047646</c:v>
                </c:pt>
                <c:pt idx="32">
                  <c:v>23301.045135688735</c:v>
                </c:pt>
                <c:pt idx="33">
                  <c:v>28666.373868945266</c:v>
                </c:pt>
                <c:pt idx="34">
                  <c:v>26276.291252050287</c:v>
                </c:pt>
                <c:pt idx="35">
                  <c:v>28666.373868945266</c:v>
                </c:pt>
                <c:pt idx="36">
                  <c:v>22934.578153927945</c:v>
                </c:pt>
                <c:pt idx="37">
                  <c:v>34238.085339692494</c:v>
                </c:pt>
                <c:pt idx="38">
                  <c:v>25902.757054045582</c:v>
                </c:pt>
                <c:pt idx="39">
                  <c:v>34632.819174934732</c:v>
                </c:pt>
                <c:pt idx="40">
                  <c:v>#N/A</c:v>
                </c:pt>
                <c:pt idx="41">
                  <c:v>#N/A</c:v>
                </c:pt>
                <c:pt idx="42">
                  <c:v>#N/A</c:v>
                </c:pt>
                <c:pt idx="43">
                  <c:v>9812.2234776741279</c:v>
                </c:pt>
                <c:pt idx="44">
                  <c:v>27856.501991215442</c:v>
                </c:pt>
                <c:pt idx="45">
                  <c:v>29624.774261838094</c:v>
                </c:pt>
              </c:numCache>
            </c:numRef>
          </c:val>
          <c:smooth val="0"/>
          <c:extLst>
            <c:ext xmlns:c16="http://schemas.microsoft.com/office/drawing/2014/chart" uri="{C3380CC4-5D6E-409C-BE32-E72D297353CC}">
              <c16:uniqueId val="{00000001-7B94-484D-89E6-908E635314A6}"/>
            </c:ext>
          </c:extLst>
        </c:ser>
        <c:ser>
          <c:idx val="2"/>
          <c:order val="3"/>
          <c:tx>
            <c:strRef>
              <c:f>'2.2_data'!$B$89</c:f>
              <c:strCache>
                <c:ptCount val="1"/>
                <c:pt idx="0">
                  <c:v>Minimum</c:v>
                </c:pt>
              </c:strCache>
            </c:strRef>
          </c:tx>
          <c:spPr>
            <a:ln w="25400">
              <a:noFill/>
            </a:ln>
          </c:spPr>
          <c:marker>
            <c:symbol val="dash"/>
            <c:size val="5"/>
            <c:spPr>
              <a:solidFill>
                <a:srgbClr val="00ABAB"/>
              </a:solidFill>
              <a:ln>
                <a:solidFill>
                  <a:srgbClr val="00ABAB"/>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'2.2_data'!$C$89:$AV$89</c:f>
              <c:numCache>
                <c:formatCode>0</c:formatCode>
                <c:ptCount val="46"/>
                <c:pt idx="0">
                  <c:v>11613.785764328712</c:v>
                </c:pt>
                <c:pt idx="1">
                  <c:v>8388.2397072285894</c:v>
                </c:pt>
                <c:pt idx="2">
                  <c:v>#N/A</c:v>
                </c:pt>
                <c:pt idx="3">
                  <c:v>#N/A</c:v>
                </c:pt>
                <c:pt idx="4">
                  <c:v>6999.4262093455809</c:v>
                </c:pt>
                <c:pt idx="5">
                  <c:v>8288.9159959157751</c:v>
                </c:pt>
                <c:pt idx="6">
                  <c:v>6619.5731852393492</c:v>
                </c:pt>
                <c:pt idx="7">
                  <c:v>3131.7040504824308</c:v>
                </c:pt>
                <c:pt idx="8">
                  <c:v>11323.845818385693</c:v>
                </c:pt>
                <c:pt idx="9">
                  <c:v>8486.1984876155657</c:v>
                </c:pt>
                <c:pt idx="10">
                  <c:v>7773.2277474048606</c:v>
                </c:pt>
                <c:pt idx="11">
                  <c:v>6702.6279723200105</c:v>
                </c:pt>
                <c:pt idx="12">
                  <c:v>16419.526299849069</c:v>
                </c:pt>
                <c:pt idx="13">
                  <c:v>16365.12072025632</c:v>
                </c:pt>
                <c:pt idx="14">
                  <c:v>24895.689900603778</c:v>
                </c:pt>
                <c:pt idx="15">
                  <c:v>25091.719740971035</c:v>
                </c:pt>
                <c:pt idx="16">
                  <c:v>#N/A</c:v>
                </c:pt>
                <c:pt idx="17">
                  <c:v>#N/A</c:v>
                </c:pt>
                <c:pt idx="18">
                  <c:v>13864.666625295349</c:v>
                </c:pt>
                <c:pt idx="19">
                  <c:v>15491.24449152912</c:v>
                </c:pt>
                <c:pt idx="20">
                  <c:v>#N/A</c:v>
                </c:pt>
                <c:pt idx="21">
                  <c:v>#N/A</c:v>
                </c:pt>
                <c:pt idx="22">
                  <c:v>#N/A</c:v>
                </c:pt>
                <c:pt idx="23">
                  <c:v>#N/A</c:v>
                </c:pt>
                <c:pt idx="24">
                  <c:v>7684.4619008657901</c:v>
                </c:pt>
                <c:pt idx="25">
                  <c:v>9744.5956376285503</c:v>
                </c:pt>
                <c:pt idx="26">
                  <c:v>8971.0947979808061</c:v>
                </c:pt>
                <c:pt idx="27">
                  <c:v>2362.4252607832777</c:v>
                </c:pt>
                <c:pt idx="28">
                  <c:v>8748.9965022039833</c:v>
                </c:pt>
                <c:pt idx="29">
                  <c:v>8351.4346833690033</c:v>
                </c:pt>
                <c:pt idx="30">
                  <c:v>7599.6810615312506</c:v>
                </c:pt>
                <c:pt idx="31">
                  <c:v>7736.8640050865433</c:v>
                </c:pt>
                <c:pt idx="32">
                  <c:v>7387.3744353376342</c:v>
                </c:pt>
                <c:pt idx="33">
                  <c:v>5296.8164360144638</c:v>
                </c:pt>
                <c:pt idx="34">
                  <c:v>9116.2453870666777</c:v>
                </c:pt>
                <c:pt idx="35">
                  <c:v>5317.2091131574325</c:v>
                </c:pt>
                <c:pt idx="36">
                  <c:v>7161.4614855719692</c:v>
                </c:pt>
                <c:pt idx="37">
                  <c:v>8885.6795644919366</c:v>
                </c:pt>
                <c:pt idx="38">
                  <c:v>7643.5795292311359</c:v>
                </c:pt>
                <c:pt idx="39">
                  <c:v>9122.1052501447684</c:v>
                </c:pt>
                <c:pt idx="40">
                  <c:v>#N/A</c:v>
                </c:pt>
                <c:pt idx="41">
                  <c:v>#N/A</c:v>
                </c:pt>
                <c:pt idx="42">
                  <c:v>#N/A</c:v>
                </c:pt>
                <c:pt idx="43">
                  <c:v>4225.3287552675502</c:v>
                </c:pt>
                <c:pt idx="44">
                  <c:v>8513.5462637247547</c:v>
                </c:pt>
                <c:pt idx="45">
                  <c:v>6000.0222389127484</c:v>
                </c:pt>
              </c:numCache>
            </c:numRef>
          </c:val>
          <c:smooth val="0"/>
          <c:extLst>
            <c:ext xmlns:c16="http://schemas.microsoft.com/office/drawing/2014/chart" uri="{C3380CC4-5D6E-409C-BE32-E72D297353CC}">
              <c16:uniqueId val="{00000002-7B94-484D-89E6-908E635314A6}"/>
            </c:ext>
          </c:extLst>
        </c:ser>
        <c:ser>
          <c:idx val="1"/>
          <c:order val="4"/>
          <c:tx>
            <c:strRef>
              <c:f>'2.2_data'!$B$85</c:f>
              <c:strCache>
                <c:ptCount val="1"/>
                <c:pt idx="0">
                  <c:v>75th percentile</c:v>
                </c:pt>
              </c:strCache>
            </c:strRef>
          </c:tx>
          <c:spPr>
            <a:ln w="25400">
              <a:noFill/>
            </a:ln>
          </c:spPr>
          <c:marker>
            <c:symbol val="none"/>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'2.2_data'!$C$85:$AV$85</c:f>
              <c:numCache>
                <c:formatCode>0</c:formatCode>
                <c:ptCount val="46"/>
                <c:pt idx="0">
                  <c:v>19356.939239554675</c:v>
                </c:pt>
                <c:pt idx="1">
                  <c:v>20581.932127144773</c:v>
                </c:pt>
                <c:pt idx="2">
                  <c:v>#N/A</c:v>
                </c:pt>
                <c:pt idx="3">
                  <c:v>#N/A</c:v>
                </c:pt>
                <c:pt idx="4">
                  <c:v>23709.510050910176</c:v>
                </c:pt>
                <c:pt idx="5">
                  <c:v>25188.832350614335</c:v>
                </c:pt>
                <c:pt idx="6">
                  <c:v>20864.790019883108</c:v>
                </c:pt>
                <c:pt idx="7">
                  <c:v>20368.413620422412</c:v>
                </c:pt>
                <c:pt idx="8">
                  <c:v>30813.071193449236</c:v>
                </c:pt>
                <c:pt idx="9">
                  <c:v>36313.465056816975</c:v>
                </c:pt>
                <c:pt idx="10">
                  <c:v>25225.474862900257</c:v>
                </c:pt>
                <c:pt idx="11">
                  <c:v>20747.969120214853</c:v>
                </c:pt>
                <c:pt idx="12">
                  <c:v>45708.771416561227</c:v>
                </c:pt>
                <c:pt idx="13">
                  <c:v>24015.252661116428</c:v>
                </c:pt>
                <c:pt idx="14">
                  <c:v>68998.231232082471</c:v>
                </c:pt>
                <c:pt idx="15">
                  <c:v>45706.739121507926</c:v>
                </c:pt>
                <c:pt idx="16">
                  <c:v>#N/A</c:v>
                </c:pt>
                <c:pt idx="17">
                  <c:v>#N/A</c:v>
                </c:pt>
                <c:pt idx="18">
                  <c:v>17324.43288345277</c:v>
                </c:pt>
                <c:pt idx="19">
                  <c:v>18676.433035336689</c:v>
                </c:pt>
                <c:pt idx="20">
                  <c:v>#N/A</c:v>
                </c:pt>
                <c:pt idx="21">
                  <c:v>#N/A</c:v>
                </c:pt>
                <c:pt idx="22">
                  <c:v>#N/A</c:v>
                </c:pt>
                <c:pt idx="23">
                  <c:v>#N/A</c:v>
                </c:pt>
                <c:pt idx="24">
                  <c:v>18657.795336210911</c:v>
                </c:pt>
                <c:pt idx="25">
                  <c:v>19558.077782431159</c:v>
                </c:pt>
                <c:pt idx="26">
                  <c:v>21233.758299101246</c:v>
                </c:pt>
                <c:pt idx="27">
                  <c:v>27512.024187719428</c:v>
                </c:pt>
                <c:pt idx="28">
                  <c:v>17414.124348938516</c:v>
                </c:pt>
                <c:pt idx="29">
                  <c:v>18150.682167478233</c:v>
                </c:pt>
                <c:pt idx="30">
                  <c:v>21396.273922194843</c:v>
                </c:pt>
                <c:pt idx="31">
                  <c:v>23118.377951251612</c:v>
                </c:pt>
                <c:pt idx="32">
                  <c:v>17419.198253859347</c:v>
                </c:pt>
                <c:pt idx="33">
                  <c:v>19085.075783524993</c:v>
                </c:pt>
                <c:pt idx="34">
                  <c:v>18599.03569227918</c:v>
                </c:pt>
                <c:pt idx="35">
                  <c:v>19823.985138880806</c:v>
                </c:pt>
                <c:pt idx="36">
                  <c:v>18745.666240049381</c:v>
                </c:pt>
                <c:pt idx="37">
                  <c:v>20912.195092566424</c:v>
                </c:pt>
                <c:pt idx="38">
                  <c:v>21883.765280671756</c:v>
                </c:pt>
                <c:pt idx="39">
                  <c:v>23877.630418861714</c:v>
                </c:pt>
                <c:pt idx="40">
                  <c:v>#N/A</c:v>
                </c:pt>
                <c:pt idx="41">
                  <c:v>#N/A</c:v>
                </c:pt>
                <c:pt idx="42">
                  <c:v>#N/A</c:v>
                </c:pt>
                <c:pt idx="43">
                  <c:v>#N/A</c:v>
                </c:pt>
                <c:pt idx="44">
                  <c:v>20829.221837595083</c:v>
                </c:pt>
                <c:pt idx="45">
                  <c:v>21056.328601079167</c:v>
                </c:pt>
              </c:numCache>
            </c:numRef>
          </c:val>
          <c:smooth val="0"/>
          <c:extLst>
            <c:ext xmlns:c16="http://schemas.microsoft.com/office/drawing/2014/chart" uri="{C3380CC4-5D6E-409C-BE32-E72D297353CC}">
              <c16:uniqueId val="{00000003-7B94-484D-89E6-908E635314A6}"/>
            </c:ext>
          </c:extLst>
        </c:ser>
        <c:dLbls>
          <c:showLegendKey val="0"/>
          <c:showVal val="0"/>
          <c:showCatName val="0"/>
          <c:showSerName val="0"/>
          <c:showPercent val="0"/>
          <c:showBubbleSize val="0"/>
        </c:dLbls>
        <c:hiLowLines>
          <c:spPr>
            <a:ln>
              <a:solidFill>
                <a:srgbClr val="00ABAB"/>
              </a:solidFill>
            </a:ln>
          </c:spPr>
        </c:hiLowLines>
        <c:upDownBars>
          <c:gapWidth val="150"/>
          <c:upBars>
            <c:spPr>
              <a:solidFill>
                <a:srgbClr val="00ABAB"/>
              </a:solidFill>
              <a:ln>
                <a:solidFill>
                  <a:srgbClr val="00ABAB"/>
                </a:solidFill>
              </a:ln>
            </c:spPr>
          </c:upBars>
          <c:downBars/>
        </c:upDownBars>
        <c:axId val="1627822991"/>
        <c:axId val="1627805103"/>
      </c:stockChart>
      <c:stockChart>
        <c:ser>
          <c:idx val="4"/>
          <c:order val="2"/>
          <c:tx>
            <c:v>Mean</c:v>
          </c:tx>
          <c:spPr>
            <a:ln w="25400">
              <a:noFill/>
            </a:ln>
          </c:spPr>
          <c:marker>
            <c:symbol val="diamond"/>
            <c:size val="5"/>
            <c:spPr>
              <a:solidFill>
                <a:schemeClr val="tx2"/>
              </a:solidFill>
              <a:ln>
                <a:solidFill>
                  <a:schemeClr val="tx2"/>
                </a:solidFill>
              </a:ln>
            </c:spPr>
          </c:marker>
          <c:cat>
            <c:strRef>
              <c:f>'2.2_data'!$C$136:$AV$136</c:f>
              <c:strCache>
                <c:ptCount val="46"/>
                <c:pt idx="0">
                  <c:v>2019 MathSci (1,082)</c:v>
                </c:pt>
                <c:pt idx="1">
                  <c:v>2020 MathSci (1,196)</c:v>
                </c:pt>
                <c:pt idx="2">
                  <c:v>2019 MedicalSci (18)</c:v>
                </c:pt>
                <c:pt idx="3">
                  <c:v>2020 MedicalSci (16)</c:v>
                </c:pt>
                <c:pt idx="4">
                  <c:v>2019 OthNat-PhysSci (1,026)</c:v>
                </c:pt>
                <c:pt idx="5">
                  <c:v>2020 OthNat-PhysSci (1,546)</c:v>
                </c:pt>
                <c:pt idx="6">
                  <c:v>2019 InfoTech (1,453)</c:v>
                </c:pt>
                <c:pt idx="7">
                  <c:v>2020 InfoTech (1,452)</c:v>
                </c:pt>
                <c:pt idx="8">
                  <c:v>2019 Eng&amp;Related (1,471)</c:v>
                </c:pt>
                <c:pt idx="9">
                  <c:v>2020 Eng&amp;Related (1,651)</c:v>
                </c:pt>
                <c:pt idx="10">
                  <c:v>2019 Archi&amp;Build (257)</c:v>
                </c:pt>
                <c:pt idx="11">
                  <c:v>2020 Archi&amp;Build (402)</c:v>
                </c:pt>
                <c:pt idx="12">
                  <c:v>2019 Environment (103)</c:v>
                </c:pt>
                <c:pt idx="13">
                  <c:v>2020 Environment (375)</c:v>
                </c:pt>
                <c:pt idx="14">
                  <c:v>2019 OthAg&amp;Enviro (55)</c:v>
                </c:pt>
                <c:pt idx="15">
                  <c:v>2020 OthAg&amp;Enviro (77)</c:v>
                </c:pt>
                <c:pt idx="16">
                  <c:v>2019 MedicalStudies (16)</c:v>
                </c:pt>
                <c:pt idx="17">
                  <c:v>2020 MedicalStudies (229)</c:v>
                </c:pt>
                <c:pt idx="18">
                  <c:v>2019 Nursing (177)</c:v>
                </c:pt>
                <c:pt idx="19">
                  <c:v>2020 Nursing (239)</c:v>
                </c:pt>
                <c:pt idx="20">
                  <c:v>2019 Dental (0)</c:v>
                </c:pt>
                <c:pt idx="21">
                  <c:v>2020 Dental (0)</c:v>
                </c:pt>
                <c:pt idx="22">
                  <c:v>2019 Veterinary (0)</c:v>
                </c:pt>
                <c:pt idx="23">
                  <c:v>2020 Veterinary (0)</c:v>
                </c:pt>
                <c:pt idx="24">
                  <c:v>2019 OthHealth (247)</c:v>
                </c:pt>
                <c:pt idx="25">
                  <c:v>2020 OthHealth (434)</c:v>
                </c:pt>
                <c:pt idx="26">
                  <c:v>2019 Education (611)</c:v>
                </c:pt>
                <c:pt idx="27">
                  <c:v>2020 Education (1,094)</c:v>
                </c:pt>
                <c:pt idx="28">
                  <c:v>2019 Mgmt&amp;Comm (1,653)</c:v>
                </c:pt>
                <c:pt idx="29">
                  <c:v>2020 Mgmt&amp;Comm (1,366)</c:v>
                </c:pt>
                <c:pt idx="30">
                  <c:v>2019 ForeignLang (634)</c:v>
                </c:pt>
                <c:pt idx="31">
                  <c:v>2020 ForeignLang (593)</c:v>
                </c:pt>
                <c:pt idx="32">
                  <c:v>2019 Psych (168)</c:v>
                </c:pt>
                <c:pt idx="33">
                  <c:v>2020 Psych (274)</c:v>
                </c:pt>
                <c:pt idx="34">
                  <c:v>2019 OtherSoc&amp;Cult (4,741)</c:v>
                </c:pt>
                <c:pt idx="35">
                  <c:v>2020 OtherSoc&amp;Cult (5,385)</c:v>
                </c:pt>
                <c:pt idx="36">
                  <c:v>2019 Comms&amp;Media (1,402)</c:v>
                </c:pt>
                <c:pt idx="37">
                  <c:v>2020 Comms&amp;Media (1,340)</c:v>
                </c:pt>
                <c:pt idx="38">
                  <c:v>2019 OthCreative (1,383)</c:v>
                </c:pt>
                <c:pt idx="39">
                  <c:v>2020 OthCreative (1,216)</c:v>
                </c:pt>
                <c:pt idx="40">
                  <c:v>2019 FoodHosp&amp;Person (0)</c:v>
                </c:pt>
                <c:pt idx="41">
                  <c:v>2020 FoodHosp&amp;Person (0)</c:v>
                </c:pt>
                <c:pt idx="42">
                  <c:v>2019 MixedField (29)</c:v>
                </c:pt>
                <c:pt idx="43">
                  <c:v>2020 MixedField (49)</c:v>
                </c:pt>
                <c:pt idx="44">
                  <c:v>2019 Total (16,526)</c:v>
                </c:pt>
                <c:pt idx="45">
                  <c:v>2020 Total (18,932)</c:v>
                </c:pt>
              </c:strCache>
            </c:strRef>
          </c:cat>
          <c:val>
            <c:numRef>
              <c:f>'2.2_data'!$C$82:$AV$82</c:f>
              <c:numCache>
                <c:formatCode>0</c:formatCode>
                <c:ptCount val="46"/>
                <c:pt idx="0">
                  <c:v>17580.746537088999</c:v>
                </c:pt>
                <c:pt idx="1">
                  <c:v>18851.536453103323</c:v>
                </c:pt>
                <c:pt idx="2">
                  <c:v>24001.126516801822</c:v>
                </c:pt>
                <c:pt idx="3">
                  <c:v>36351.577492295852</c:v>
                </c:pt>
                <c:pt idx="4">
                  <c:v>23264.676237232434</c:v>
                </c:pt>
                <c:pt idx="5">
                  <c:v>22566.499451983564</c:v>
                </c:pt>
                <c:pt idx="6">
                  <c:v>19227.947101671223</c:v>
                </c:pt>
                <c:pt idx="7">
                  <c:v>19763.486822100727</c:v>
                </c:pt>
                <c:pt idx="8">
                  <c:v>27016.709308517235</c:v>
                </c:pt>
                <c:pt idx="9">
                  <c:v>26878.601539991894</c:v>
                </c:pt>
                <c:pt idx="10">
                  <c:v>18582.508790719126</c:v>
                </c:pt>
                <c:pt idx="11">
                  <c:v>20663.380430447934</c:v>
                </c:pt>
                <c:pt idx="12">
                  <c:v>24731.264980973971</c:v>
                </c:pt>
                <c:pt idx="13">
                  <c:v>16689.3314018009</c:v>
                </c:pt>
                <c:pt idx="14">
                  <c:v>50110.832872182524</c:v>
                </c:pt>
                <c:pt idx="15">
                  <c:v>33076.05937157345</c:v>
                </c:pt>
                <c:pt idx="16">
                  <c:v>24810.410765988243</c:v>
                </c:pt>
                <c:pt idx="17">
                  <c:v>22967.758780745586</c:v>
                </c:pt>
                <c:pt idx="18">
                  <c:v>15735.872234666356</c:v>
                </c:pt>
                <c:pt idx="19">
                  <c:v>16223.077848542029</c:v>
                </c:pt>
                <c:pt idx="20">
                  <c:v>#N/A</c:v>
                </c:pt>
                <c:pt idx="21">
                  <c:v>#N/A</c:v>
                </c:pt>
                <c:pt idx="22">
                  <c:v>#N/A</c:v>
                </c:pt>
                <c:pt idx="23">
                  <c:v>#N/A</c:v>
                </c:pt>
                <c:pt idx="24">
                  <c:v>17707.682514726053</c:v>
                </c:pt>
                <c:pt idx="25">
                  <c:v>18435.585323973868</c:v>
                </c:pt>
                <c:pt idx="26">
                  <c:v>18150.559046810667</c:v>
                </c:pt>
                <c:pt idx="27">
                  <c:v>15835.272218311804</c:v>
                </c:pt>
                <c:pt idx="28">
                  <c:v>15281.586362766009</c:v>
                </c:pt>
                <c:pt idx="29">
                  <c:v>16851.281096969353</c:v>
                </c:pt>
                <c:pt idx="30">
                  <c:v>18919.265630784801</c:v>
                </c:pt>
                <c:pt idx="31">
                  <c:v>19959.319604849999</c:v>
                </c:pt>
                <c:pt idx="32">
                  <c:v>14604.390139354548</c:v>
                </c:pt>
                <c:pt idx="33">
                  <c:v>15453.082166851775</c:v>
                </c:pt>
                <c:pt idx="34">
                  <c:v>13900.473533827626</c:v>
                </c:pt>
                <c:pt idx="35">
                  <c:v>12540.014721939948</c:v>
                </c:pt>
                <c:pt idx="36">
                  <c:v>15634.710559217889</c:v>
                </c:pt>
                <c:pt idx="37">
                  <c:v>16114.756939155457</c:v>
                </c:pt>
                <c:pt idx="38">
                  <c:v>21746.331214522819</c:v>
                </c:pt>
                <c:pt idx="39">
                  <c:v>22919.041329632655</c:v>
                </c:pt>
                <c:pt idx="40">
                  <c:v>#N/A</c:v>
                </c:pt>
                <c:pt idx="41">
                  <c:v>#N/A</c:v>
                </c:pt>
                <c:pt idx="42">
                  <c:v>9864.6077138624296</c:v>
                </c:pt>
                <c:pt idx="43">
                  <c:v>8751.4206822804736</c:v>
                </c:pt>
                <c:pt idx="44">
                  <c:v>18009.640406410552</c:v>
                </c:pt>
                <c:pt idx="45">
                  <c:v>17913.668271223865</c:v>
                </c:pt>
              </c:numCache>
            </c:numRef>
          </c:val>
          <c:smooth val="0"/>
          <c:extLst>
            <c:ext xmlns:c16="http://schemas.microsoft.com/office/drawing/2014/chart" uri="{C3380CC4-5D6E-409C-BE32-E72D297353CC}">
              <c16:uniqueId val="{00000004-7B94-484D-89E6-908E635314A6}"/>
            </c:ext>
          </c:extLst>
        </c:ser>
        <c:dLbls>
          <c:showLegendKey val="0"/>
          <c:showVal val="0"/>
          <c:showCatName val="0"/>
          <c:showSerName val="0"/>
          <c:showPercent val="0"/>
          <c:showBubbleSize val="0"/>
        </c:dLbls>
        <c:axId val="1627822991"/>
        <c:axId val="1627805103"/>
      </c:stockChart>
      <c:catAx>
        <c:axId val="1627822991"/>
        <c:scaling>
          <c:orientation val="minMax"/>
        </c:scaling>
        <c:delete val="0"/>
        <c:axPos val="b"/>
        <c:majorGridlines>
          <c:spPr>
            <a:ln>
              <a:solidFill>
                <a:schemeClr val="tx1"/>
              </a:solidFill>
            </a:ln>
          </c:spPr>
        </c:majorGridlines>
        <c:numFmt formatCode="General" sourceLinked="1"/>
        <c:majorTickMark val="out"/>
        <c:minorTickMark val="none"/>
        <c:tickLblPos val="nextTo"/>
        <c:spPr>
          <a:ln>
            <a:solidFill>
              <a:schemeClr val="tx1"/>
            </a:solidFill>
          </a:ln>
        </c:spPr>
        <c:txPr>
          <a:bodyPr rot="-2940000"/>
          <a:lstStyle/>
          <a:p>
            <a:pPr>
              <a:defRPr sz="700"/>
            </a:pPr>
            <a:endParaRPr lang="en-US"/>
          </a:p>
        </c:txPr>
        <c:crossAx val="1627805103"/>
        <c:crosses val="autoZero"/>
        <c:auto val="1"/>
        <c:lblAlgn val="ctr"/>
        <c:lblOffset val="100"/>
        <c:tickMarkSkip val="2"/>
        <c:noMultiLvlLbl val="0"/>
      </c:catAx>
      <c:valAx>
        <c:axId val="1627805103"/>
        <c:scaling>
          <c:orientation val="minMax"/>
        </c:scaling>
        <c:delete val="0"/>
        <c:axPos val="l"/>
        <c:majorGridlines>
          <c:spPr>
            <a:ln>
              <a:noFill/>
            </a:ln>
          </c:spPr>
        </c:majorGridlines>
        <c:numFmt formatCode="&quot;$&quot;#,##0" sourceLinked="0"/>
        <c:majorTickMark val="out"/>
        <c:minorTickMark val="none"/>
        <c:tickLblPos val="nextTo"/>
        <c:spPr>
          <a:ln>
            <a:solidFill>
              <a:schemeClr val="tx1"/>
            </a:solidFill>
          </a:ln>
        </c:spPr>
        <c:crossAx val="1627822991"/>
        <c:crosses val="autoZero"/>
        <c:crossBetween val="between"/>
      </c:valAx>
    </c:plotArea>
    <c:plotVisOnly val="1"/>
    <c:dispBlanksAs val="gap"/>
    <c:showDLblsOverMax val="0"/>
  </c:chart>
  <c:spPr>
    <a:ln>
      <a:noFill/>
    </a:ln>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1153054221002"/>
          <c:y val="4.8689530182629302E-2"/>
          <c:w val="0.87075459467703809"/>
          <c:h val="0.74674334309215107"/>
        </c:manualLayout>
      </c:layout>
      <c:barChart>
        <c:barDir val="col"/>
        <c:grouping val="stacked"/>
        <c:varyColors val="0"/>
        <c:ser>
          <c:idx val="1"/>
          <c:order val="0"/>
          <c:tx>
            <c:strRef>
              <c:f>'2.5_charts'!$C$2</c:f>
              <c:strCache>
                <c:ptCount val="1"/>
                <c:pt idx="0">
                  <c:v>Above the line capital costs</c:v>
                </c:pt>
              </c:strCache>
            </c:strRef>
          </c:tx>
          <c:spPr>
            <a:solidFill>
              <a:srgbClr val="00ABAB"/>
            </a:solidFill>
            <a:ln>
              <a:noFill/>
            </a:ln>
            <a:effectLst/>
          </c:spPr>
          <c:invertIfNegative val="0"/>
          <c:cat>
            <c:numRef>
              <c:f>'2.5_charts'!$L$3:$L$39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'2.5_charts'!$M$3:$M$39</c:f>
              <c:numCache>
                <c:formatCode>"$"#,##0</c:formatCode>
                <c:ptCount val="37"/>
                <c:pt idx="0">
                  <c:v>267.8900406411251</c:v>
                </c:pt>
                <c:pt idx="1">
                  <c:v>853.61853645160363</c:v>
                </c:pt>
                <c:pt idx="2">
                  <c:v>896.88107665889913</c:v>
                </c:pt>
                <c:pt idx="3">
                  <c:v>1127.4772098770911</c:v>
                </c:pt>
                <c:pt idx="4">
                  <c:v>1187.0430483262267</c:v>
                </c:pt>
                <c:pt idx="5">
                  <c:v>1200.7004321523457</c:v>
                </c:pt>
                <c:pt idx="6">
                  <c:v>1245.5340109575989</c:v>
                </c:pt>
                <c:pt idx="7">
                  <c:v>1342.3484868591197</c:v>
                </c:pt>
                <c:pt idx="8">
                  <c:v>157.43361325072959</c:v>
                </c:pt>
                <c:pt idx="9">
                  <c:v>1651.1786357715835</c:v>
                </c:pt>
                <c:pt idx="10">
                  <c:v>1674.1834279757779</c:v>
                </c:pt>
                <c:pt idx="11">
                  <c:v>1810.8205026016101</c:v>
                </c:pt>
                <c:pt idx="12">
                  <c:v>1821.5520672024256</c:v>
                </c:pt>
                <c:pt idx="13">
                  <c:v>1640.7154332432369</c:v>
                </c:pt>
                <c:pt idx="14">
                  <c:v>1836.8662298520924</c:v>
                </c:pt>
                <c:pt idx="15">
                  <c:v>1848.1425549353621</c:v>
                </c:pt>
                <c:pt idx="16">
                  <c:v>1884.4952329406881</c:v>
                </c:pt>
                <c:pt idx="17">
                  <c:v>2024.201959504491</c:v>
                </c:pt>
                <c:pt idx="18">
                  <c:v>2035.8814662137897</c:v>
                </c:pt>
                <c:pt idx="19">
                  <c:v>2223.1376193069932</c:v>
                </c:pt>
                <c:pt idx="20">
                  <c:v>1784.6340176400654</c:v>
                </c:pt>
                <c:pt idx="21">
                  <c:v>2249.8973133527138</c:v>
                </c:pt>
                <c:pt idx="22">
                  <c:v>2255.4958937917922</c:v>
                </c:pt>
                <c:pt idx="23">
                  <c:v>2308.3316473834197</c:v>
                </c:pt>
                <c:pt idx="24">
                  <c:v>2308.6026816169779</c:v>
                </c:pt>
                <c:pt idx="25">
                  <c:v>2317.3973593345295</c:v>
                </c:pt>
                <c:pt idx="26">
                  <c:v>2461.5895482686474</c:v>
                </c:pt>
                <c:pt idx="27">
                  <c:v>2514.5597324330265</c:v>
                </c:pt>
                <c:pt idx="28">
                  <c:v>2589.3644134792712</c:v>
                </c:pt>
                <c:pt idx="29">
                  <c:v>2603.2291857628611</c:v>
                </c:pt>
                <c:pt idx="30">
                  <c:v>2645.1645661745897</c:v>
                </c:pt>
                <c:pt idx="31">
                  <c:v>2691.7497141762865</c:v>
                </c:pt>
                <c:pt idx="32">
                  <c:v>2830.5534671211622</c:v>
                </c:pt>
                <c:pt idx="33">
                  <c:v>1445.814043966009</c:v>
                </c:pt>
                <c:pt idx="34">
                  <c:v>3150.5573594185025</c:v>
                </c:pt>
                <c:pt idx="35">
                  <c:v>3401.7623312218693</c:v>
                </c:pt>
                <c:pt idx="36">
                  <c:v>3876.6769921916853</c:v>
                </c:pt>
              </c:numCache>
            </c:numRef>
          </c:val>
          <c:extLst>
            <c:ext xmlns:c16="http://schemas.microsoft.com/office/drawing/2014/chart" uri="{C3380CC4-5D6E-409C-BE32-E72D297353CC}">
              <c16:uniqueId val="{00000000-3791-4D73-9D3D-5A91847D5E52}"/>
            </c:ext>
          </c:extLst>
        </c:ser>
        <c:ser>
          <c:idx val="2"/>
          <c:order val="1"/>
          <c:tx>
            <c:strRef>
              <c:f>'2.5_charts'!$D$2</c:f>
              <c:strCache>
                <c:ptCount val="1"/>
                <c:pt idx="0">
                  <c:v>Optional depreciation adjustment</c:v>
                </c:pt>
              </c:strCache>
            </c:strRef>
          </c:tx>
          <c:spPr>
            <a:solidFill>
              <a:schemeClr val="bg1">
                <a:lumMod val="75000"/>
              </a:schemeClr>
            </a:solidFill>
            <a:ln>
              <a:noFill/>
            </a:ln>
            <a:effectLst/>
          </c:spPr>
          <c:invertIfNegative val="0"/>
          <c:cat>
            <c:numRef>
              <c:f>'2.5_charts'!$L$3:$L$39</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'2.5_charts'!$N$3:$N$39</c:f>
              <c:numCache>
                <c:formatCode>"$"#,##0</c:formatCode>
                <c:ptCount val="37"/>
                <c:pt idx="0">
                  <c:v>0</c:v>
                </c:pt>
                <c:pt idx="1">
                  <c:v>0</c:v>
                </c:pt>
                <c:pt idx="2">
                  <c:v>0</c:v>
                </c:pt>
                <c:pt idx="3">
                  <c:v>0</c:v>
                </c:pt>
                <c:pt idx="4">
                  <c:v>0</c:v>
                </c:pt>
                <c:pt idx="5">
                  <c:v>0</c:v>
                </c:pt>
                <c:pt idx="6">
                  <c:v>0</c:v>
                </c:pt>
                <c:pt idx="7">
                  <c:v>0</c:v>
                </c:pt>
                <c:pt idx="8">
                  <c:v>1274.2840354950024</c:v>
                </c:pt>
                <c:pt idx="9">
                  <c:v>0</c:v>
                </c:pt>
                <c:pt idx="10">
                  <c:v>0</c:v>
                </c:pt>
                <c:pt idx="11">
                  <c:v>0</c:v>
                </c:pt>
                <c:pt idx="12">
                  <c:v>0</c:v>
                </c:pt>
                <c:pt idx="13">
                  <c:v>184.39174062526041</c:v>
                </c:pt>
                <c:pt idx="14">
                  <c:v>0</c:v>
                </c:pt>
                <c:pt idx="15">
                  <c:v>0</c:v>
                </c:pt>
                <c:pt idx="16">
                  <c:v>0</c:v>
                </c:pt>
                <c:pt idx="17">
                  <c:v>0</c:v>
                </c:pt>
                <c:pt idx="18">
                  <c:v>0</c:v>
                </c:pt>
                <c:pt idx="19">
                  <c:v>0</c:v>
                </c:pt>
                <c:pt idx="20">
                  <c:v>464.49829591143362</c:v>
                </c:pt>
                <c:pt idx="21">
                  <c:v>0</c:v>
                </c:pt>
                <c:pt idx="22">
                  <c:v>0</c:v>
                </c:pt>
                <c:pt idx="23">
                  <c:v>0</c:v>
                </c:pt>
                <c:pt idx="24">
                  <c:v>0</c:v>
                </c:pt>
                <c:pt idx="25">
                  <c:v>0</c:v>
                </c:pt>
                <c:pt idx="26">
                  <c:v>0</c:v>
                </c:pt>
                <c:pt idx="27">
                  <c:v>0</c:v>
                </c:pt>
                <c:pt idx="28">
                  <c:v>0</c:v>
                </c:pt>
                <c:pt idx="29">
                  <c:v>0</c:v>
                </c:pt>
                <c:pt idx="30">
                  <c:v>0</c:v>
                </c:pt>
                <c:pt idx="31">
                  <c:v>0</c:v>
                </c:pt>
                <c:pt idx="32">
                  <c:v>0</c:v>
                </c:pt>
                <c:pt idx="33">
                  <c:v>1537.4968344179147</c:v>
                </c:pt>
                <c:pt idx="34">
                  <c:v>0</c:v>
                </c:pt>
                <c:pt idx="35">
                  <c:v>355.0472623686066</c:v>
                </c:pt>
                <c:pt idx="36">
                  <c:v>416.3649515580961</c:v>
                </c:pt>
              </c:numCache>
            </c:numRef>
          </c:val>
          <c:extLst>
            <c:ext xmlns:c16="http://schemas.microsoft.com/office/drawing/2014/chart" uri="{C3380CC4-5D6E-409C-BE32-E72D297353CC}">
              <c16:uniqueId val="{00000001-3791-4D73-9D3D-5A91847D5E52}"/>
            </c:ext>
          </c:extLst>
        </c:ser>
        <c:dLbls>
          <c:showLegendKey val="0"/>
          <c:showVal val="0"/>
          <c:showCatName val="0"/>
          <c:showSerName val="0"/>
          <c:showPercent val="0"/>
          <c:showBubbleSize val="0"/>
        </c:dLbls>
        <c:gapWidth val="150"/>
        <c:overlap val="100"/>
        <c:axId val="1375286992"/>
        <c:axId val="1375267856"/>
      </c:barChart>
      <c:lineChart>
        <c:grouping val="standard"/>
        <c:varyColors val="0"/>
        <c:ser>
          <c:idx val="0"/>
          <c:order val="2"/>
          <c:tx>
            <c:strRef>
              <c:f>'2.5_charts'!$P$2</c:f>
              <c:strCache>
                <c:ptCount val="1"/>
                <c:pt idx="0">
                  <c:v>Average above the line capital costs</c:v>
                </c:pt>
              </c:strCache>
            </c:strRef>
          </c:tx>
          <c:spPr>
            <a:ln w="28575" cap="rnd">
              <a:solidFill>
                <a:schemeClr val="tx2"/>
              </a:solidFill>
              <a:prstDash val="sysDash"/>
              <a:round/>
            </a:ln>
            <a:effectLst/>
          </c:spPr>
          <c:marker>
            <c:symbol val="none"/>
          </c:marker>
          <c:val>
            <c:numRef>
              <c:f>'2.5_charts'!$P$3:$P$39</c:f>
              <c:numCache>
                <c:formatCode>"$"#,##0</c:formatCode>
                <c:ptCount val="37"/>
                <c:pt idx="0">
                  <c:v>1950.4184284339512</c:v>
                </c:pt>
                <c:pt idx="1">
                  <c:v>1950.4184284339512</c:v>
                </c:pt>
                <c:pt idx="2">
                  <c:v>1950.4184284339512</c:v>
                </c:pt>
                <c:pt idx="3">
                  <c:v>1950.4184284339512</c:v>
                </c:pt>
                <c:pt idx="4">
                  <c:v>1950.4184284339512</c:v>
                </c:pt>
                <c:pt idx="5">
                  <c:v>1950.4184284339512</c:v>
                </c:pt>
                <c:pt idx="6">
                  <c:v>1950.4184284339512</c:v>
                </c:pt>
                <c:pt idx="7">
                  <c:v>1950.4184284339512</c:v>
                </c:pt>
                <c:pt idx="8">
                  <c:v>1950.4184284339512</c:v>
                </c:pt>
                <c:pt idx="9">
                  <c:v>1950.4184284339512</c:v>
                </c:pt>
                <c:pt idx="10">
                  <c:v>1950.4184284339512</c:v>
                </c:pt>
                <c:pt idx="11">
                  <c:v>1950.4184284339512</c:v>
                </c:pt>
                <c:pt idx="12">
                  <c:v>1950.4184284339512</c:v>
                </c:pt>
                <c:pt idx="13">
                  <c:v>1950.4184284339512</c:v>
                </c:pt>
                <c:pt idx="14">
                  <c:v>1950.4184284339512</c:v>
                </c:pt>
                <c:pt idx="15">
                  <c:v>1950.4184284339512</c:v>
                </c:pt>
                <c:pt idx="16">
                  <c:v>1950.4184284339512</c:v>
                </c:pt>
                <c:pt idx="17">
                  <c:v>1950.4184284339512</c:v>
                </c:pt>
                <c:pt idx="18">
                  <c:v>1950.4184284339512</c:v>
                </c:pt>
                <c:pt idx="19">
                  <c:v>1950.4184284339512</c:v>
                </c:pt>
                <c:pt idx="20">
                  <c:v>1950.4184284339512</c:v>
                </c:pt>
                <c:pt idx="21">
                  <c:v>1950.4184284339512</c:v>
                </c:pt>
                <c:pt idx="22">
                  <c:v>1950.4184284339512</c:v>
                </c:pt>
                <c:pt idx="23">
                  <c:v>1950.4184284339512</c:v>
                </c:pt>
                <c:pt idx="24">
                  <c:v>1950.4184284339512</c:v>
                </c:pt>
                <c:pt idx="25">
                  <c:v>1950.4184284339512</c:v>
                </c:pt>
                <c:pt idx="26">
                  <c:v>1950.4184284339512</c:v>
                </c:pt>
                <c:pt idx="27">
                  <c:v>1950.4184284339512</c:v>
                </c:pt>
                <c:pt idx="28">
                  <c:v>1950.4184284339512</c:v>
                </c:pt>
                <c:pt idx="29">
                  <c:v>1950.4184284339512</c:v>
                </c:pt>
                <c:pt idx="30">
                  <c:v>1950.4184284339512</c:v>
                </c:pt>
                <c:pt idx="31">
                  <c:v>1950.4184284339512</c:v>
                </c:pt>
                <c:pt idx="32">
                  <c:v>1950.4184284339512</c:v>
                </c:pt>
                <c:pt idx="33">
                  <c:v>1950.4184284339512</c:v>
                </c:pt>
                <c:pt idx="34">
                  <c:v>1950.4184284339512</c:v>
                </c:pt>
                <c:pt idx="35">
                  <c:v>1950.4184284339512</c:v>
                </c:pt>
                <c:pt idx="36">
                  <c:v>1950.4184284339512</c:v>
                </c:pt>
              </c:numCache>
            </c:numRef>
          </c:val>
          <c:smooth val="0"/>
          <c:extLst>
            <c:ext xmlns:c16="http://schemas.microsoft.com/office/drawing/2014/chart" uri="{C3380CC4-5D6E-409C-BE32-E72D297353CC}">
              <c16:uniqueId val="{00000002-3791-4D73-9D3D-5A91847D5E52}"/>
            </c:ext>
          </c:extLst>
        </c:ser>
        <c:dLbls>
          <c:showLegendKey val="0"/>
          <c:showVal val="0"/>
          <c:showCatName val="0"/>
          <c:showSerName val="0"/>
          <c:showPercent val="0"/>
          <c:showBubbleSize val="0"/>
        </c:dLbls>
        <c:marker val="1"/>
        <c:smooth val="0"/>
        <c:axId val="1375286992"/>
        <c:axId val="1375267856"/>
      </c:lineChart>
      <c:catAx>
        <c:axId val="137528699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67856"/>
        <c:crosses val="autoZero"/>
        <c:auto val="1"/>
        <c:lblAlgn val="ctr"/>
        <c:lblOffset val="100"/>
        <c:noMultiLvlLbl val="0"/>
      </c:catAx>
      <c:valAx>
        <c:axId val="1375267856"/>
        <c:scaling>
          <c:orientation val="minMax"/>
          <c:max val="5000"/>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8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'2.5_charts'!$D$103</c:f>
              <c:strCache>
                <c:ptCount val="1"/>
                <c:pt idx="0">
                  <c:v>Above the line capital costs</c:v>
                </c:pt>
              </c:strCache>
            </c:strRef>
          </c:tx>
          <c:spPr>
            <a:solidFill>
              <a:srgbClr val="00ABAB"/>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'2.5_charts'!$B$104:$C$107</c:f>
              <c:multiLvlStrCache>
                <c:ptCount val="4"/>
                <c:lvl>
                  <c:pt idx="0">
                    <c:v>2019</c:v>
                  </c:pt>
                  <c:pt idx="1">
                    <c:v>2020</c:v>
                  </c:pt>
                  <c:pt idx="2">
                    <c:v>2019</c:v>
                  </c:pt>
                  <c:pt idx="3">
                    <c:v>2020</c:v>
                  </c:pt>
                </c:lvl>
                <c:lvl>
                  <c:pt idx="0">
                    <c:v>Used adjustment</c:v>
                  </c:pt>
                  <c:pt idx="2">
                    <c:v>Didn't use adjustment</c:v>
                  </c:pt>
                </c:lvl>
              </c:multiLvlStrCache>
            </c:multiLvlStrRef>
          </c:cat>
          <c:val>
            <c:numRef>
              <c:f>'2.5_charts'!$D$104:$D$107</c:f>
              <c:numCache>
                <c:formatCode>"$"#,##0</c:formatCode>
                <c:ptCount val="4"/>
                <c:pt idx="0">
                  <c:v>2238.2746275220925</c:v>
                </c:pt>
                <c:pt idx="1">
                  <c:v>1964.4807130578788</c:v>
                </c:pt>
                <c:pt idx="2">
                  <c:v>2023.2350969413108</c:v>
                </c:pt>
                <c:pt idx="3">
                  <c:v>2127.3489438156153</c:v>
                </c:pt>
              </c:numCache>
            </c:numRef>
          </c:val>
          <c:extLst>
            <c:ext xmlns:c16="http://schemas.microsoft.com/office/drawing/2014/chart" uri="{C3380CC4-5D6E-409C-BE32-E72D297353CC}">
              <c16:uniqueId val="{00000000-CAA0-42F2-BC50-CBF09E056415}"/>
            </c:ext>
          </c:extLst>
        </c:ser>
        <c:ser>
          <c:idx val="1"/>
          <c:order val="1"/>
          <c:tx>
            <c:strRef>
              <c:f>'2.5_charts'!$E$103</c:f>
              <c:strCache>
                <c:ptCount val="1"/>
                <c:pt idx="0">
                  <c:v>Optional depreciation adjustment</c:v>
                </c:pt>
              </c:strCache>
            </c:strRef>
          </c:tx>
          <c:spPr>
            <a:solidFill>
              <a:schemeClr val="bg1">
                <a:lumMod val="75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1-CAA0-42F2-BC50-CBF09E056415}"/>
                </c:ext>
              </c:extLst>
            </c:dLbl>
            <c:dLbl>
              <c:idx val="3"/>
              <c:delete val="1"/>
              <c:extLst>
                <c:ext xmlns:c15="http://schemas.microsoft.com/office/drawing/2012/chart" uri="{CE6537A1-D6FC-4f65-9D91-7224C49458BB}"/>
                <c:ext xmlns:c16="http://schemas.microsoft.com/office/drawing/2014/chart" uri="{C3380CC4-5D6E-409C-BE32-E72D297353CC}">
                  <c16:uniqueId val="{00000002-CAA0-42F2-BC50-CBF09E05641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'2.5_charts'!$B$104:$C$107</c:f>
              <c:multiLvlStrCache>
                <c:ptCount val="4"/>
                <c:lvl>
                  <c:pt idx="0">
                    <c:v>2019</c:v>
                  </c:pt>
                  <c:pt idx="1">
                    <c:v>2020</c:v>
                  </c:pt>
                  <c:pt idx="2">
                    <c:v>2019</c:v>
                  </c:pt>
                  <c:pt idx="3">
                    <c:v>2020</c:v>
                  </c:pt>
                </c:lvl>
                <c:lvl>
                  <c:pt idx="0">
                    <c:v>Used adjustment</c:v>
                  </c:pt>
                  <c:pt idx="2">
                    <c:v>Didn't use adjustment</c:v>
                  </c:pt>
                </c:lvl>
              </c:multiLvlStrCache>
            </c:multiLvlStrRef>
          </c:cat>
          <c:val>
            <c:numRef>
              <c:f>'2.5_charts'!$E$104:$E$107</c:f>
              <c:numCache>
                <c:formatCode>"$"#,##0</c:formatCode>
                <c:ptCount val="4"/>
                <c:pt idx="0">
                  <c:v>644.23508098391653</c:v>
                </c:pt>
                <c:pt idx="1">
                  <c:v>699.31470750839037</c:v>
                </c:pt>
                <c:pt idx="2">
                  <c:v>0</c:v>
                </c:pt>
                <c:pt idx="3">
                  <c:v>0</c:v>
                </c:pt>
              </c:numCache>
            </c:numRef>
          </c:val>
          <c:extLst>
            <c:ext xmlns:c16="http://schemas.microsoft.com/office/drawing/2014/chart" uri="{C3380CC4-5D6E-409C-BE32-E72D297353CC}">
              <c16:uniqueId val="{00000003-CAA0-42F2-BC50-CBF09E056415}"/>
            </c:ext>
          </c:extLst>
        </c:ser>
        <c:dLbls>
          <c:showLegendKey val="0"/>
          <c:showVal val="0"/>
          <c:showCatName val="0"/>
          <c:showSerName val="0"/>
          <c:showPercent val="0"/>
          <c:showBubbleSize val="0"/>
        </c:dLbls>
        <c:gapWidth val="100"/>
        <c:overlap val="100"/>
        <c:axId val="1375243312"/>
        <c:axId val="1375252880"/>
      </c:barChart>
      <c:catAx>
        <c:axId val="137524331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52880"/>
        <c:crosses val="autoZero"/>
        <c:auto val="1"/>
        <c:lblAlgn val="ctr"/>
        <c:lblOffset val="100"/>
        <c:noMultiLvlLbl val="0"/>
      </c:catAx>
      <c:valAx>
        <c:axId val="1375252880"/>
        <c:scaling>
          <c:orientation val="minMax"/>
          <c:max val="3500"/>
        </c:scaling>
        <c:delete val="0"/>
        <c:axPos val="l"/>
        <c:numFmt formatCode="&quot;$&quot;#,##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43312"/>
        <c:crosses val="autoZero"/>
        <c:crossBetween val="between"/>
      </c:valAx>
    </c:plotArea>
    <c:legend>
      <c:legendPos val="b"/>
      <c:layout>
        <c:manualLayout>
          <c:xMode val="edge"/>
          <c:yMode val="edge"/>
          <c:x val="0.1247580927384077"/>
          <c:y val="0.92764946048410613"/>
          <c:w val="0.87270603674540681"/>
          <c:h val="7.235053951589384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'2.6_data (2019)'!$D$77</c:f>
              <c:strCache>
                <c:ptCount val="1"/>
                <c:pt idx="0">
                  <c:v>Bachelor</c:v>
                </c:pt>
              </c:strCache>
            </c:strRef>
          </c:tx>
          <c:spPr>
            <a:solidFill>
              <a:schemeClr val="bg1">
                <a:lumMod val="75000"/>
              </a:schemeClr>
            </a:solidFill>
            <a:ln>
              <a:noFill/>
            </a:ln>
            <a:effectLst/>
          </c:spPr>
          <c:invertIfNegative val="0"/>
          <c:dLbls>
            <c:dLbl>
              <c:idx val="0"/>
              <c:tx>
                <c:rich>
                  <a:bodyPr/>
                  <a:lstStyle/>
                  <a:p>
                    <a:fld id="{C2C65F42-0C22-44FC-9D53-EDF5549CB587}"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279C-427D-A62B-2145F36482B7}"/>
                </c:ext>
              </c:extLst>
            </c:dLbl>
            <c:dLbl>
              <c:idx val="1"/>
              <c:tx>
                <c:rich>
                  <a:bodyPr/>
                  <a:lstStyle/>
                  <a:p>
                    <a:fld id="{0CE58F29-3DAC-4E5F-A353-E56B87A1D53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279C-427D-A62B-2145F36482B7}"/>
                </c:ext>
              </c:extLst>
            </c:dLbl>
            <c:dLbl>
              <c:idx val="2"/>
              <c:tx>
                <c:rich>
                  <a:bodyPr/>
                  <a:lstStyle/>
                  <a:p>
                    <a:fld id="{9D4F645D-DCA9-4AA0-9665-EED39EC4CAA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279C-427D-A62B-2145F36482B7}"/>
                </c:ext>
              </c:extLst>
            </c:dLbl>
            <c:dLbl>
              <c:idx val="3"/>
              <c:tx>
                <c:rich>
                  <a:bodyPr/>
                  <a:lstStyle/>
                  <a:p>
                    <a:fld id="{02452593-D4C5-4C16-B477-7A4C960059F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279C-427D-A62B-2145F36482B7}"/>
                </c:ext>
              </c:extLst>
            </c:dLbl>
            <c:dLbl>
              <c:idx val="4"/>
              <c:tx>
                <c:rich>
                  <a:bodyPr/>
                  <a:lstStyle/>
                  <a:p>
                    <a:fld id="{E10B962D-AE0F-48B1-BB08-D6CCE7E80AA6}"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279C-427D-A62B-2145F36482B7}"/>
                </c:ext>
              </c:extLst>
            </c:dLbl>
            <c:dLbl>
              <c:idx val="5"/>
              <c:tx>
                <c:rich>
                  <a:bodyPr/>
                  <a:lstStyle/>
                  <a:p>
                    <a:fld id="{D6040CC7-B632-435B-A0FC-699D54B1586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279C-427D-A62B-2145F36482B7}"/>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multiLvlStrRef>
              <c:f>'2.6_data (2019)'!$A$78:$B$83</c:f>
              <c:multiLvlStrCache>
                <c:ptCount val="6"/>
                <c:lvl>
                  <c:pt idx="0">
                    <c:v>&lt;25</c:v>
                  </c:pt>
                  <c:pt idx="1">
                    <c:v>25-1,000</c:v>
                  </c:pt>
                  <c:pt idx="2">
                    <c:v>&gt;1,000</c:v>
                  </c:pt>
                  <c:pt idx="3">
                    <c:v>&lt;25</c:v>
                  </c:pt>
                  <c:pt idx="4">
                    <c:v>25-1,000</c:v>
                  </c:pt>
                  <c:pt idx="5">
                    <c:v>&gt;1,000</c:v>
                  </c:pt>
                </c:lvl>
                <c:lvl>
                  <c:pt idx="0">
                    <c:v>2019</c:v>
                  </c:pt>
                  <c:pt idx="3">
                    <c:v>2020</c:v>
                  </c:pt>
                </c:lvl>
              </c:multiLvlStrCache>
            </c:multiLvlStrRef>
          </c:cat>
          <c:val>
            <c:numRef>
              <c:f>'2.6_data (2019)'!$D$78:$D$83</c:f>
              <c:numCache>
                <c:formatCode>"$"#,##0_);[Red]\("$"#,##0\)</c:formatCode>
                <c:ptCount val="6"/>
                <c:pt idx="0">
                  <c:v>24500.344999859943</c:v>
                </c:pt>
                <c:pt idx="1">
                  <c:v>19661.917233375909</c:v>
                </c:pt>
                <c:pt idx="2">
                  <c:v>16975.457785717805</c:v>
                </c:pt>
                <c:pt idx="3">
                  <c:v>24468.689264024099</c:v>
                </c:pt>
                <c:pt idx="4">
                  <c:v>19587.498903843381</c:v>
                </c:pt>
                <c:pt idx="5">
                  <c:v>17043.937098251219</c:v>
                </c:pt>
              </c:numCache>
            </c:numRef>
          </c:val>
          <c:extLst>
            <c:ext xmlns:c15="http://schemas.microsoft.com/office/drawing/2012/chart" uri="{02D57815-91ED-43cb-92C2-25804820EDAC}">
              <c15:datalabelsRange>
                <c15:f>'2.6_data (2019)'!$D$85:$D$90</c15:f>
                <c15:dlblRangeCache>
                  <c:ptCount val="6"/>
                  <c:pt idx="0">
                    <c:v>37%</c:v>
                  </c:pt>
                  <c:pt idx="1">
                    <c:v>10%</c:v>
                  </c:pt>
                  <c:pt idx="2">
                    <c:v>-5%</c:v>
                  </c:pt>
                  <c:pt idx="3">
                    <c:v>36%</c:v>
                  </c:pt>
                  <c:pt idx="4">
                    <c:v>9%</c:v>
                  </c:pt>
                  <c:pt idx="5">
                    <c:v>-5%</c:v>
                  </c:pt>
                </c15:dlblRangeCache>
              </c15:datalabelsRange>
            </c:ext>
            <c:ext xmlns:c16="http://schemas.microsoft.com/office/drawing/2014/chart" uri="{C3380CC4-5D6E-409C-BE32-E72D297353CC}">
              <c16:uniqueId val="{0000000D-279C-427D-A62B-2145F36482B7}"/>
            </c:ext>
          </c:extLst>
        </c:ser>
        <c:ser>
          <c:idx val="2"/>
          <c:order val="1"/>
          <c:tx>
            <c:strRef>
              <c:f>'2.6_data (2019)'!$E$77</c:f>
              <c:strCache>
                <c:ptCount val="1"/>
                <c:pt idx="0">
                  <c:v>Postgraduate</c:v>
                </c:pt>
              </c:strCache>
            </c:strRef>
          </c:tx>
          <c:spPr>
            <a:solidFill>
              <a:srgbClr val="00ABAB"/>
            </a:solidFill>
            <a:ln>
              <a:noFill/>
            </a:ln>
            <a:effectLst/>
          </c:spPr>
          <c:invertIfNegative val="0"/>
          <c:dLbls>
            <c:dLbl>
              <c:idx val="0"/>
              <c:tx>
                <c:rich>
                  <a:bodyPr/>
                  <a:lstStyle/>
                  <a:p>
                    <a:fld id="{849DDE66-5C6A-4AB1-8C25-1F7A39139F81}"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279C-427D-A62B-2145F36482B7}"/>
                </c:ext>
              </c:extLst>
            </c:dLbl>
            <c:dLbl>
              <c:idx val="1"/>
              <c:tx>
                <c:rich>
                  <a:bodyPr/>
                  <a:lstStyle/>
                  <a:p>
                    <a:fld id="{B4F25B25-1DA0-489F-AB67-AA79903BC1B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279C-427D-A62B-2145F36482B7}"/>
                </c:ext>
              </c:extLst>
            </c:dLbl>
            <c:dLbl>
              <c:idx val="2"/>
              <c:tx>
                <c:rich>
                  <a:bodyPr/>
                  <a:lstStyle/>
                  <a:p>
                    <a:fld id="{DBA46F53-B7C8-47ED-B061-F5FE96F457E4}"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279C-427D-A62B-2145F36482B7}"/>
                </c:ext>
              </c:extLst>
            </c:dLbl>
            <c:dLbl>
              <c:idx val="3"/>
              <c:tx>
                <c:rich>
                  <a:bodyPr/>
                  <a:lstStyle/>
                  <a:p>
                    <a:fld id="{A8443B75-91AE-49F5-802D-658A05A605FD}"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279C-427D-A62B-2145F36482B7}"/>
                </c:ext>
              </c:extLst>
            </c:dLbl>
            <c:dLbl>
              <c:idx val="4"/>
              <c:tx>
                <c:rich>
                  <a:bodyPr/>
                  <a:lstStyle/>
                  <a:p>
                    <a:fld id="{57E3A4F1-2658-4EBA-9BAB-6B2B8F586F89}"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279C-427D-A62B-2145F36482B7}"/>
                </c:ext>
              </c:extLst>
            </c:dLbl>
            <c:dLbl>
              <c:idx val="5"/>
              <c:tx>
                <c:rich>
                  <a:bodyPr/>
                  <a:lstStyle/>
                  <a:p>
                    <a:fld id="{1DFBDEA6-E24C-4E93-9E70-15D2BEF977B8}"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279C-427D-A62B-2145F36482B7}"/>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multiLvlStrRef>
              <c:f>'2.6_data (2019)'!$A$78:$B$83</c:f>
              <c:multiLvlStrCache>
                <c:ptCount val="6"/>
                <c:lvl>
                  <c:pt idx="0">
                    <c:v>&lt;25</c:v>
                  </c:pt>
                  <c:pt idx="1">
                    <c:v>25-1,000</c:v>
                  </c:pt>
                  <c:pt idx="2">
                    <c:v>&gt;1,000</c:v>
                  </c:pt>
                  <c:pt idx="3">
                    <c:v>&lt;25</c:v>
                  </c:pt>
                  <c:pt idx="4">
                    <c:v>25-1,000</c:v>
                  </c:pt>
                  <c:pt idx="5">
                    <c:v>&gt;1,000</c:v>
                  </c:pt>
                </c:lvl>
                <c:lvl>
                  <c:pt idx="0">
                    <c:v>2019</c:v>
                  </c:pt>
                  <c:pt idx="3">
                    <c:v>2020</c:v>
                  </c:pt>
                </c:lvl>
              </c:multiLvlStrCache>
            </c:multiLvlStrRef>
          </c:cat>
          <c:val>
            <c:numRef>
              <c:f>'2.6_data (2019)'!$E$78:$E$83</c:f>
              <c:numCache>
                <c:formatCode>"$"#,##0_);[Red]\("$"#,##0\)</c:formatCode>
                <c:ptCount val="6"/>
                <c:pt idx="0">
                  <c:v>27080.768615035835</c:v>
                </c:pt>
                <c:pt idx="1">
                  <c:v>22717.367784491064</c:v>
                </c:pt>
                <c:pt idx="2">
                  <c:v>20631.046208184682</c:v>
                </c:pt>
                <c:pt idx="3">
                  <c:v>29349.793916245384</c:v>
                </c:pt>
                <c:pt idx="4">
                  <c:v>22723.768103660841</c:v>
                </c:pt>
                <c:pt idx="5">
                  <c:v>20706.628910044015</c:v>
                </c:pt>
              </c:numCache>
            </c:numRef>
          </c:val>
          <c:extLst>
            <c:ext xmlns:c15="http://schemas.microsoft.com/office/drawing/2012/chart" uri="{02D57815-91ED-43cb-92C2-25804820EDAC}">
              <c15:datalabelsRange>
                <c15:f>'2.6_data (2019)'!$E$85:$E$90</c15:f>
                <c15:dlblRangeCache>
                  <c:ptCount val="6"/>
                  <c:pt idx="0">
                    <c:v>26%</c:v>
                  </c:pt>
                  <c:pt idx="1">
                    <c:v>6%</c:v>
                  </c:pt>
                  <c:pt idx="2">
                    <c:v>-4%</c:v>
                  </c:pt>
                  <c:pt idx="3">
                    <c:v>35%</c:v>
                  </c:pt>
                  <c:pt idx="4">
                    <c:v>5%</c:v>
                  </c:pt>
                  <c:pt idx="5">
                    <c:v>-4%</c:v>
                  </c:pt>
                </c15:dlblRangeCache>
              </c15:datalabelsRange>
            </c:ext>
            <c:ext xmlns:c16="http://schemas.microsoft.com/office/drawing/2014/chart" uri="{C3380CC4-5D6E-409C-BE32-E72D297353CC}">
              <c16:uniqueId val="{00000014-279C-427D-A62B-2145F36482B7}"/>
            </c:ext>
          </c:extLst>
        </c:ser>
        <c:dLbls>
          <c:showLegendKey val="0"/>
          <c:showVal val="0"/>
          <c:showCatName val="0"/>
          <c:showSerName val="0"/>
          <c:showPercent val="0"/>
          <c:showBubbleSize val="0"/>
        </c:dLbls>
        <c:gapWidth val="150"/>
        <c:overlap val="-60"/>
        <c:axId val="842962671"/>
        <c:axId val="842970575"/>
      </c:barChart>
      <c:catAx>
        <c:axId val="84296267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l"/>
        <c:majorGridlines>
          <c:spPr>
            <a:ln w="9525" cap="flat" cmpd="sng" algn="ctr">
              <a:noFill/>
              <a:round/>
            </a:ln>
            <a:effectLst/>
          </c:spPr>
        </c:majorGridlines>
        <c:numFmt formatCode="&quot;$&quot;#,##0_);[Red]\(&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0"/>
          <c:tx>
            <c:strRef>
              <c:f>'2.6_data (2020)'!$A$206</c:f>
              <c:strCache>
                <c:ptCount val="1"/>
                <c:pt idx="0">
                  <c:v>2020</c:v>
                </c:pt>
              </c:strCache>
            </c:strRef>
          </c:tx>
          <c:spPr>
            <a:solidFill>
              <a:schemeClr val="bg1">
                <a:lumMod val="75000"/>
              </a:schemeClr>
            </a:solidFill>
            <a:ln>
              <a:noFill/>
            </a:ln>
            <a:effectLst/>
          </c:spPr>
          <c:invertIfNegative val="0"/>
          <c:cat>
            <c:strRef>
              <c:f>'2.6_data (2020)'!$B$204:$W$204</c:f>
              <c:strCache>
                <c:ptCount val="22"/>
                <c:pt idx="0">
                  <c:v>FoodHosp&amp;Person</c:v>
                </c:pt>
                <c:pt idx="1">
                  <c:v>OtherSoc&amp;Cult</c:v>
                </c:pt>
                <c:pt idx="2">
                  <c:v>MixedField</c:v>
                </c:pt>
                <c:pt idx="3">
                  <c:v>Psych</c:v>
                </c:pt>
                <c:pt idx="4">
                  <c:v>Comms&amp;Media</c:v>
                </c:pt>
                <c:pt idx="5">
                  <c:v>Mgmt&amp;Comm</c:v>
                </c:pt>
                <c:pt idx="6">
                  <c:v>Education</c:v>
                </c:pt>
                <c:pt idx="7">
                  <c:v>MathSci</c:v>
                </c:pt>
                <c:pt idx="8">
                  <c:v>ForeignLang</c:v>
                </c:pt>
                <c:pt idx="9">
                  <c:v>Nursing</c:v>
                </c:pt>
                <c:pt idx="10">
                  <c:v>InfoTech</c:v>
                </c:pt>
                <c:pt idx="11">
                  <c:v>Archi&amp;Build</c:v>
                </c:pt>
                <c:pt idx="12">
                  <c:v>OthHealth</c:v>
                </c:pt>
                <c:pt idx="13">
                  <c:v>OthCreative</c:v>
                </c:pt>
                <c:pt idx="14">
                  <c:v>Eng&amp;Related</c:v>
                </c:pt>
                <c:pt idx="15">
                  <c:v>OthNat-PhysSci</c:v>
                </c:pt>
                <c:pt idx="16">
                  <c:v>Environment</c:v>
                </c:pt>
                <c:pt idx="17">
                  <c:v>MedicalSci</c:v>
                </c:pt>
                <c:pt idx="18">
                  <c:v>OthAg&amp;Enviro</c:v>
                </c:pt>
                <c:pt idx="19">
                  <c:v>MedicalStudies</c:v>
                </c:pt>
                <c:pt idx="20">
                  <c:v>Dental</c:v>
                </c:pt>
                <c:pt idx="21">
                  <c:v>Veterinary</c:v>
                </c:pt>
              </c:strCache>
            </c:strRef>
          </c:cat>
          <c:val>
            <c:numRef>
              <c:f>'2.6_data (2020)'!$B$206:$W$206</c:f>
              <c:numCache>
                <c:formatCode>0%</c:formatCode>
                <c:ptCount val="22"/>
                <c:pt idx="0">
                  <c:v>-0.28685568531264294</c:v>
                </c:pt>
                <c:pt idx="1">
                  <c:v>-0.16847238742120751</c:v>
                </c:pt>
                <c:pt idx="2">
                  <c:v>-1.3084718142362006E-2</c:v>
                </c:pt>
                <c:pt idx="3">
                  <c:v>-0.15296558905158897</c:v>
                </c:pt>
                <c:pt idx="4">
                  <c:v>-0.11190786538898179</c:v>
                </c:pt>
                <c:pt idx="5">
                  <c:v>-0.11446996601065951</c:v>
                </c:pt>
                <c:pt idx="6">
                  <c:v>-0.1247722514854428</c:v>
                </c:pt>
                <c:pt idx="7">
                  <c:v>-5.8603256632225764E-2</c:v>
                </c:pt>
                <c:pt idx="8">
                  <c:v>2.1677861325268166E-2</c:v>
                </c:pt>
                <c:pt idx="9">
                  <c:v>-2.7704702966623307E-2</c:v>
                </c:pt>
                <c:pt idx="10">
                  <c:v>-4.2434844088009793E-2</c:v>
                </c:pt>
                <c:pt idx="11">
                  <c:v>2.5776711404836616E-2</c:v>
                </c:pt>
                <c:pt idx="12">
                  <c:v>9.1359932982509884E-2</c:v>
                </c:pt>
                <c:pt idx="13">
                  <c:v>0.15488370712283239</c:v>
                </c:pt>
                <c:pt idx="14">
                  <c:v>0.18758418083893491</c:v>
                </c:pt>
                <c:pt idx="15">
                  <c:v>0.16748802209934133</c:v>
                </c:pt>
                <c:pt idx="16">
                  <c:v>0.1691073266528853</c:v>
                </c:pt>
                <c:pt idx="17">
                  <c:v>0.25456076915538017</c:v>
                </c:pt>
                <c:pt idx="18">
                  <c:v>0.67854918105282502</c:v>
                </c:pt>
                <c:pt idx="19">
                  <c:v>0.65260255000087342</c:v>
                </c:pt>
                <c:pt idx="20">
                  <c:v>1.1850058753145341</c:v>
                </c:pt>
                <c:pt idx="21">
                  <c:v>1.6506033509241815</c:v>
                </c:pt>
              </c:numCache>
            </c:numRef>
          </c:val>
          <c:extLst>
            <c:ext xmlns:c16="http://schemas.microsoft.com/office/drawing/2014/chart" uri="{C3380CC4-5D6E-409C-BE32-E72D297353CC}">
              <c16:uniqueId val="{00000000-6590-4515-97D7-E1CA422F52D5}"/>
            </c:ext>
          </c:extLst>
        </c:ser>
        <c:ser>
          <c:idx val="2"/>
          <c:order val="1"/>
          <c:tx>
            <c:strRef>
              <c:f>'2.6_data (2020)'!$A$205</c:f>
              <c:strCache>
                <c:ptCount val="1"/>
                <c:pt idx="0">
                  <c:v>2019</c:v>
                </c:pt>
              </c:strCache>
            </c:strRef>
          </c:tx>
          <c:spPr>
            <a:solidFill>
              <a:srgbClr val="00ABAB"/>
            </a:solidFill>
            <a:ln>
              <a:noFill/>
            </a:ln>
          </c:spPr>
          <c:invertIfNegative val="0"/>
          <c:cat>
            <c:strRef>
              <c:f>'2.6_data (2020)'!$B$204:$W$204</c:f>
              <c:strCache>
                <c:ptCount val="22"/>
                <c:pt idx="0">
                  <c:v>FoodHosp&amp;Person</c:v>
                </c:pt>
                <c:pt idx="1">
                  <c:v>OtherSoc&amp;Cult</c:v>
                </c:pt>
                <c:pt idx="2">
                  <c:v>MixedField</c:v>
                </c:pt>
                <c:pt idx="3">
                  <c:v>Psych</c:v>
                </c:pt>
                <c:pt idx="4">
                  <c:v>Comms&amp;Media</c:v>
                </c:pt>
                <c:pt idx="5">
                  <c:v>Mgmt&amp;Comm</c:v>
                </c:pt>
                <c:pt idx="6">
                  <c:v>Education</c:v>
                </c:pt>
                <c:pt idx="7">
                  <c:v>MathSci</c:v>
                </c:pt>
                <c:pt idx="8">
                  <c:v>ForeignLang</c:v>
                </c:pt>
                <c:pt idx="9">
                  <c:v>Nursing</c:v>
                </c:pt>
                <c:pt idx="10">
                  <c:v>InfoTech</c:v>
                </c:pt>
                <c:pt idx="11">
                  <c:v>Archi&amp;Build</c:v>
                </c:pt>
                <c:pt idx="12">
                  <c:v>OthHealth</c:v>
                </c:pt>
                <c:pt idx="13">
                  <c:v>OthCreative</c:v>
                </c:pt>
                <c:pt idx="14">
                  <c:v>Eng&amp;Related</c:v>
                </c:pt>
                <c:pt idx="15">
                  <c:v>OthNat-PhysSci</c:v>
                </c:pt>
                <c:pt idx="16">
                  <c:v>Environment</c:v>
                </c:pt>
                <c:pt idx="17">
                  <c:v>MedicalSci</c:v>
                </c:pt>
                <c:pt idx="18">
                  <c:v>OthAg&amp;Enviro</c:v>
                </c:pt>
                <c:pt idx="19">
                  <c:v>MedicalStudies</c:v>
                </c:pt>
                <c:pt idx="20">
                  <c:v>Dental</c:v>
                </c:pt>
                <c:pt idx="21">
                  <c:v>Veterinary</c:v>
                </c:pt>
              </c:strCache>
            </c:strRef>
          </c:cat>
          <c:val>
            <c:numRef>
              <c:f>'2.6_data (2020)'!$B$205:$W$205</c:f>
              <c:numCache>
                <c:formatCode>0%</c:formatCode>
                <c:ptCount val="22"/>
                <c:pt idx="0">
                  <c:v>-0.17309694125064168</c:v>
                </c:pt>
                <c:pt idx="1">
                  <c:v>-0.17277461208412925</c:v>
                </c:pt>
                <c:pt idx="2">
                  <c:v>-0.15132450976444978</c:v>
                </c:pt>
                <c:pt idx="3">
                  <c:v>-0.14086260765286274</c:v>
                </c:pt>
                <c:pt idx="4">
                  <c:v>-0.12394010072493</c:v>
                </c:pt>
                <c:pt idx="5">
                  <c:v>-0.12281555569740132</c:v>
                </c:pt>
                <c:pt idx="6">
                  <c:v>-0.11429667902702823</c:v>
                </c:pt>
                <c:pt idx="7">
                  <c:v>-7.9637082430641049E-2</c:v>
                </c:pt>
                <c:pt idx="8">
                  <c:v>-4.8203482960996968E-2</c:v>
                </c:pt>
                <c:pt idx="9">
                  <c:v>-2.6827709314750647E-2</c:v>
                </c:pt>
                <c:pt idx="10">
                  <c:v>-2.4278468271270781E-2</c:v>
                </c:pt>
                <c:pt idx="11">
                  <c:v>2.8890659172224442E-2</c:v>
                </c:pt>
                <c:pt idx="12">
                  <c:v>0.10551653392725013</c:v>
                </c:pt>
                <c:pt idx="13">
                  <c:v>0.12233460861297107</c:v>
                </c:pt>
                <c:pt idx="14">
                  <c:v>0.1667435115730862</c:v>
                </c:pt>
                <c:pt idx="15">
                  <c:v>0.18977006981985567</c:v>
                </c:pt>
                <c:pt idx="16">
                  <c:v>0.24205151266640335</c:v>
                </c:pt>
                <c:pt idx="17">
                  <c:v>0.29095210412640315</c:v>
                </c:pt>
                <c:pt idx="18">
                  <c:v>0.64567411403818942</c:v>
                </c:pt>
                <c:pt idx="19">
                  <c:v>0.72791694234483839</c:v>
                </c:pt>
                <c:pt idx="20">
                  <c:v>1.2390920681275488</c:v>
                </c:pt>
                <c:pt idx="21">
                  <c:v>1.744335351362869</c:v>
                </c:pt>
              </c:numCache>
            </c:numRef>
          </c:val>
          <c:extLst>
            <c:ext xmlns:c16="http://schemas.microsoft.com/office/drawing/2014/chart" uri="{C3380CC4-5D6E-409C-BE32-E72D297353CC}">
              <c16:uniqueId val="{00000001-6590-4515-97D7-E1CA422F52D5}"/>
            </c:ext>
          </c:extLst>
        </c:ser>
        <c:dLbls>
          <c:showLegendKey val="0"/>
          <c:showVal val="0"/>
          <c:showCatName val="0"/>
          <c:showSerName val="0"/>
          <c:showPercent val="0"/>
          <c:showBubbleSize val="0"/>
        </c:dLbls>
        <c:gapWidth val="150"/>
        <c:axId val="842962671"/>
        <c:axId val="842970575"/>
      </c:barChart>
      <c:catAx>
        <c:axId val="842962671"/>
        <c:scaling>
          <c:orientation val="minMax"/>
        </c:scaling>
        <c:delete val="0"/>
        <c:axPos val="l"/>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b"/>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spPr>
            <a:solidFill>
              <a:srgbClr val="00ABAB"/>
            </a:solidFill>
            <a:ln>
              <a:solidFill>
                <a:srgbClr val="00ABAB"/>
              </a:solidFill>
            </a:ln>
          </c:spPr>
          <c:invertIfNegative val="0"/>
          <c:cat>
            <c:strRef>
              <c:f>'2.6_data (2020)'!$B$185:$X$185</c:f>
              <c:strCache>
                <c:ptCount val="23"/>
                <c:pt idx="0">
                  <c:v>FoodHosp&amp;Person</c:v>
                </c:pt>
                <c:pt idx="1">
                  <c:v>ForeignLang</c:v>
                </c:pt>
                <c:pt idx="2">
                  <c:v>Mgmt&amp;Comm</c:v>
                </c:pt>
                <c:pt idx="3">
                  <c:v>Archi&amp;Build</c:v>
                </c:pt>
                <c:pt idx="4">
                  <c:v>Eng&amp;Related</c:v>
                </c:pt>
                <c:pt idx="5">
                  <c:v>MixedField</c:v>
                </c:pt>
                <c:pt idx="6">
                  <c:v>Environment</c:v>
                </c:pt>
                <c:pt idx="7">
                  <c:v>Total</c:v>
                </c:pt>
                <c:pt idx="8">
                  <c:v>InfoTech</c:v>
                </c:pt>
                <c:pt idx="9">
                  <c:v>Comms&amp;Media</c:v>
                </c:pt>
                <c:pt idx="10">
                  <c:v>OtherSoc&amp;Cult</c:v>
                </c:pt>
                <c:pt idx="11">
                  <c:v>OthCreative</c:v>
                </c:pt>
                <c:pt idx="12">
                  <c:v>OthAg&amp;Enviro</c:v>
                </c:pt>
                <c:pt idx="13">
                  <c:v>MathSci</c:v>
                </c:pt>
                <c:pt idx="14">
                  <c:v>Education</c:v>
                </c:pt>
                <c:pt idx="15">
                  <c:v>OthNat-PhysSci</c:v>
                </c:pt>
                <c:pt idx="16">
                  <c:v>OthHealth</c:v>
                </c:pt>
                <c:pt idx="17">
                  <c:v>MedicalStudies</c:v>
                </c:pt>
                <c:pt idx="18">
                  <c:v>Psych</c:v>
                </c:pt>
                <c:pt idx="19">
                  <c:v>Dental</c:v>
                </c:pt>
                <c:pt idx="20">
                  <c:v>Nursing</c:v>
                </c:pt>
                <c:pt idx="21">
                  <c:v>Veterinary</c:v>
                </c:pt>
                <c:pt idx="22">
                  <c:v>MedicalSci</c:v>
                </c:pt>
              </c:strCache>
            </c:strRef>
          </c:cat>
          <c:val>
            <c:numRef>
              <c:f>'2.6_data (2020)'!$B$186:$X$186</c:f>
              <c:numCache>
                <c:formatCode>0%</c:formatCode>
                <c:ptCount val="23"/>
                <c:pt idx="0">
                  <c:v>-0.43426294820717126</c:v>
                </c:pt>
                <c:pt idx="1">
                  <c:v>-0.20696330435270383</c:v>
                </c:pt>
                <c:pt idx="2">
                  <c:v>-0.16188073596902586</c:v>
                </c:pt>
                <c:pt idx="3">
                  <c:v>-0.1468357770009322</c:v>
                </c:pt>
                <c:pt idx="4">
                  <c:v>-0.13389994666104521</c:v>
                </c:pt>
                <c:pt idx="5">
                  <c:v>-0.13307604344082336</c:v>
                </c:pt>
                <c:pt idx="6">
                  <c:v>-0.10499821420115862</c:v>
                </c:pt>
                <c:pt idx="7">
                  <c:v>-0.10352865409836176</c:v>
                </c:pt>
                <c:pt idx="8">
                  <c:v>-9.9549517332401694E-2</c:v>
                </c:pt>
                <c:pt idx="9">
                  <c:v>-9.5599427807232518E-2</c:v>
                </c:pt>
                <c:pt idx="10">
                  <c:v>-8.2940787377837721E-2</c:v>
                </c:pt>
                <c:pt idx="11">
                  <c:v>-7.7585860579886035E-2</c:v>
                </c:pt>
                <c:pt idx="12">
                  <c:v>-7.5643969323727633E-2</c:v>
                </c:pt>
                <c:pt idx="13">
                  <c:v>-6.8900879317428387E-2</c:v>
                </c:pt>
                <c:pt idx="14">
                  <c:v>-3.9183544840275197E-2</c:v>
                </c:pt>
                <c:pt idx="15">
                  <c:v>-2.4316947164218394E-2</c:v>
                </c:pt>
                <c:pt idx="16">
                  <c:v>-1.6282297855292005E-2</c:v>
                </c:pt>
                <c:pt idx="17">
                  <c:v>-6.9939026071619281E-4</c:v>
                </c:pt>
                <c:pt idx="18">
                  <c:v>2.6293332726089469E-2</c:v>
                </c:pt>
                <c:pt idx="19">
                  <c:v>3.8206456985511617E-2</c:v>
                </c:pt>
                <c:pt idx="20">
                  <c:v>5.5915538794858888E-2</c:v>
                </c:pt>
                <c:pt idx="21">
                  <c:v>7.9758263156577858E-2</c:v>
                </c:pt>
                <c:pt idx="22">
                  <c:v>0.12749350974670226</c:v>
                </c:pt>
              </c:numCache>
            </c:numRef>
          </c:val>
          <c:extLst>
            <c:ext xmlns:c16="http://schemas.microsoft.com/office/drawing/2014/chart" uri="{C3380CC4-5D6E-409C-BE32-E72D297353CC}">
              <c16:uniqueId val="{00000000-7357-4C8F-AEA3-D6A9C7359EE7}"/>
            </c:ext>
          </c:extLst>
        </c:ser>
        <c:dLbls>
          <c:showLegendKey val="0"/>
          <c:showVal val="0"/>
          <c:showCatName val="0"/>
          <c:showSerName val="0"/>
          <c:showPercent val="0"/>
          <c:showBubbleSize val="0"/>
        </c:dLbls>
        <c:gapWidth val="150"/>
        <c:axId val="842962671"/>
        <c:axId val="842970575"/>
      </c:barChart>
      <c:catAx>
        <c:axId val="842962671"/>
        <c:scaling>
          <c:orientation val="minMax"/>
        </c:scaling>
        <c:delete val="0"/>
        <c:axPos val="l"/>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b"/>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spPr>
            <a:solidFill>
              <a:srgbClr val="00ABAB"/>
            </a:solidFill>
            <a:ln>
              <a:solidFill>
                <a:srgbClr val="00ABAB"/>
              </a:solidFill>
            </a:ln>
          </c:spPr>
          <c:invertIfNegative val="0"/>
          <c:dPt>
            <c:idx val="18"/>
            <c:invertIfNegative val="0"/>
            <c:bubble3D val="0"/>
            <c:spPr>
              <a:solidFill>
                <a:srgbClr val="BFBFBF"/>
              </a:solidFill>
              <a:ln>
                <a:solidFill>
                  <a:srgbClr val="BFBFBF"/>
                </a:solidFill>
              </a:ln>
            </c:spPr>
            <c:extLst>
              <c:ext xmlns:c16="http://schemas.microsoft.com/office/drawing/2014/chart" uri="{C3380CC4-5D6E-409C-BE32-E72D297353CC}">
                <c16:uniqueId val="{00000001-C447-4E2A-B245-47F129B17128}"/>
              </c:ext>
            </c:extLst>
          </c:dPt>
          <c:cat>
            <c:strRef>
              <c:f>'2.6_data (2020)'!$B$255:$AM$255</c:f>
              <c:strCache>
                <c:ptCount val="38"/>
                <c:pt idx="0">
                  <c:v>University 1</c:v>
                </c:pt>
                <c:pt idx="1">
                  <c:v>University 2</c:v>
                </c:pt>
                <c:pt idx="2">
                  <c:v>University 3</c:v>
                </c:pt>
                <c:pt idx="3">
                  <c:v>University 4</c:v>
                </c:pt>
                <c:pt idx="4">
                  <c:v>University 5</c:v>
                </c:pt>
                <c:pt idx="5">
                  <c:v>University 6</c:v>
                </c:pt>
                <c:pt idx="6">
                  <c:v>University 7</c:v>
                </c:pt>
                <c:pt idx="7">
                  <c:v>University 8</c:v>
                </c:pt>
                <c:pt idx="8">
                  <c:v>University 9</c:v>
                </c:pt>
                <c:pt idx="9">
                  <c:v>University 10</c:v>
                </c:pt>
                <c:pt idx="10">
                  <c:v>University 11</c:v>
                </c:pt>
                <c:pt idx="11">
                  <c:v>University 12</c:v>
                </c:pt>
                <c:pt idx="12">
                  <c:v>University 13</c:v>
                </c:pt>
                <c:pt idx="13">
                  <c:v>University 14</c:v>
                </c:pt>
                <c:pt idx="14">
                  <c:v>University 15</c:v>
                </c:pt>
                <c:pt idx="15">
                  <c:v>University 16</c:v>
                </c:pt>
                <c:pt idx="16">
                  <c:v>University 17</c:v>
                </c:pt>
                <c:pt idx="17">
                  <c:v>University 18</c:v>
                </c:pt>
                <c:pt idx="18">
                  <c:v>Total</c:v>
                </c:pt>
                <c:pt idx="19">
                  <c:v>University 19</c:v>
                </c:pt>
                <c:pt idx="20">
                  <c:v>University 20</c:v>
                </c:pt>
                <c:pt idx="21">
                  <c:v>University 21</c:v>
                </c:pt>
                <c:pt idx="22">
                  <c:v>University 22</c:v>
                </c:pt>
                <c:pt idx="23">
                  <c:v>University 23</c:v>
                </c:pt>
                <c:pt idx="24">
                  <c:v>University 24</c:v>
                </c:pt>
                <c:pt idx="25">
                  <c:v>University 25</c:v>
                </c:pt>
                <c:pt idx="26">
                  <c:v>University 26</c:v>
                </c:pt>
                <c:pt idx="27">
                  <c:v>University 27</c:v>
                </c:pt>
                <c:pt idx="28">
                  <c:v>University 28</c:v>
                </c:pt>
                <c:pt idx="29">
                  <c:v>University 29</c:v>
                </c:pt>
                <c:pt idx="30">
                  <c:v>University 30</c:v>
                </c:pt>
                <c:pt idx="31">
                  <c:v>University 31</c:v>
                </c:pt>
                <c:pt idx="32">
                  <c:v>University 32</c:v>
                </c:pt>
                <c:pt idx="33">
                  <c:v>University 33</c:v>
                </c:pt>
                <c:pt idx="34">
                  <c:v>University 34</c:v>
                </c:pt>
                <c:pt idx="35">
                  <c:v>University 35</c:v>
                </c:pt>
                <c:pt idx="36">
                  <c:v>University 36</c:v>
                </c:pt>
                <c:pt idx="37">
                  <c:v>University 37</c:v>
                </c:pt>
              </c:strCache>
            </c:strRef>
          </c:cat>
          <c:val>
            <c:numRef>
              <c:f>'2.6_data (2020)'!$B$252:$AM$252</c:f>
              <c:numCache>
                <c:formatCode>0.0%</c:formatCode>
                <c:ptCount val="38"/>
                <c:pt idx="0">
                  <c:v>-0.3648474862355825</c:v>
                </c:pt>
                <c:pt idx="1">
                  <c:v>-0.33351692062909244</c:v>
                </c:pt>
                <c:pt idx="2">
                  <c:v>-0.31735706949674769</c:v>
                </c:pt>
                <c:pt idx="3">
                  <c:v>-0.29539993134225884</c:v>
                </c:pt>
                <c:pt idx="4">
                  <c:v>-0.23449044797976437</c:v>
                </c:pt>
                <c:pt idx="5">
                  <c:v>-0.20927124366910521</c:v>
                </c:pt>
                <c:pt idx="6">
                  <c:v>-0.2042562474246794</c:v>
                </c:pt>
                <c:pt idx="7">
                  <c:v>-0.18838175786518907</c:v>
                </c:pt>
                <c:pt idx="8">
                  <c:v>-0.17362955414012737</c:v>
                </c:pt>
                <c:pt idx="9">
                  <c:v>-0.17226915932650244</c:v>
                </c:pt>
                <c:pt idx="10">
                  <c:v>-0.16807177949257457</c:v>
                </c:pt>
                <c:pt idx="11">
                  <c:v>-0.16598850182448222</c:v>
                </c:pt>
                <c:pt idx="12">
                  <c:v>-0.1476570820021299</c:v>
                </c:pt>
                <c:pt idx="13">
                  <c:v>-0.14348162380148011</c:v>
                </c:pt>
                <c:pt idx="14">
                  <c:v>-0.14238369952129615</c:v>
                </c:pt>
                <c:pt idx="15">
                  <c:v>-0.1373135823830115</c:v>
                </c:pt>
                <c:pt idx="16">
                  <c:v>-0.11891247897166024</c:v>
                </c:pt>
                <c:pt idx="17">
                  <c:v>-0.10441194749068428</c:v>
                </c:pt>
                <c:pt idx="18">
                  <c:v>-0.10352865409836176</c:v>
                </c:pt>
                <c:pt idx="19">
                  <c:v>-0.10122043812041281</c:v>
                </c:pt>
                <c:pt idx="20">
                  <c:v>-7.2871902715552661E-2</c:v>
                </c:pt>
                <c:pt idx="21">
                  <c:v>-6.7390725033279475E-2</c:v>
                </c:pt>
                <c:pt idx="22">
                  <c:v>-6.6731665041707244E-2</c:v>
                </c:pt>
                <c:pt idx="23">
                  <c:v>-4.5229529428694737E-2</c:v>
                </c:pt>
                <c:pt idx="24">
                  <c:v>-4.4248417463096601E-2</c:v>
                </c:pt>
                <c:pt idx="25">
                  <c:v>-4.2690485677602141E-2</c:v>
                </c:pt>
                <c:pt idx="26">
                  <c:v>-3.5312625518811092E-2</c:v>
                </c:pt>
                <c:pt idx="27">
                  <c:v>-2.5468712783694558E-2</c:v>
                </c:pt>
                <c:pt idx="28">
                  <c:v>-3.4069400630915014E-3</c:v>
                </c:pt>
                <c:pt idx="29">
                  <c:v>5.3863063519283827E-3</c:v>
                </c:pt>
                <c:pt idx="30">
                  <c:v>5.4310593867359369E-3</c:v>
                </c:pt>
                <c:pt idx="31">
                  <c:v>7.0138633526313221E-3</c:v>
                </c:pt>
                <c:pt idx="32">
                  <c:v>1.8459211813895537E-2</c:v>
                </c:pt>
                <c:pt idx="33">
                  <c:v>2.1804998057749492E-2</c:v>
                </c:pt>
                <c:pt idx="34">
                  <c:v>2.4966316785238529E-2</c:v>
                </c:pt>
                <c:pt idx="35">
                  <c:v>5.2730128050253677E-2</c:v>
                </c:pt>
                <c:pt idx="36">
                  <c:v>5.7798744462218776E-2</c:v>
                </c:pt>
                <c:pt idx="37">
                  <c:v>0.20789498184526578</c:v>
                </c:pt>
              </c:numCache>
            </c:numRef>
          </c:val>
          <c:extLst>
            <c:ext xmlns:c16="http://schemas.microsoft.com/office/drawing/2014/chart" uri="{C3380CC4-5D6E-409C-BE32-E72D297353CC}">
              <c16:uniqueId val="{00000002-C447-4E2A-B245-47F129B17128}"/>
            </c:ext>
          </c:extLst>
        </c:ser>
        <c:dLbls>
          <c:showLegendKey val="0"/>
          <c:showVal val="0"/>
          <c:showCatName val="0"/>
          <c:showSerName val="0"/>
          <c:showPercent val="0"/>
          <c:showBubbleSize val="0"/>
        </c:dLbls>
        <c:gapWidth val="150"/>
        <c:axId val="842962671"/>
        <c:axId val="842970575"/>
      </c:barChart>
      <c:catAx>
        <c:axId val="842962671"/>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l"/>
        <c:majorGridlines>
          <c:spPr>
            <a:ln w="9525" cap="flat" cmpd="sng" algn="ctr">
              <a:no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61153054221002"/>
          <c:y val="4.8689530182629302E-2"/>
          <c:w val="0.87075459467703809"/>
          <c:h val="0.74674334309215107"/>
        </c:manualLayout>
      </c:layout>
      <c:barChart>
        <c:barDir val="col"/>
        <c:grouping val="stacked"/>
        <c:varyColors val="0"/>
        <c:ser>
          <c:idx val="1"/>
          <c:order val="0"/>
          <c:tx>
            <c:strRef>
              <c:f>'Tables Charts'!$H$25</c:f>
              <c:strCache>
                <c:ptCount val="1"/>
                <c:pt idx="0">
                  <c:v>% of above the line costs</c:v>
                </c:pt>
              </c:strCache>
            </c:strRef>
          </c:tx>
          <c:spPr>
            <a:solidFill>
              <a:srgbClr val="00ABAB"/>
            </a:solidFill>
            <a:ln>
              <a:noFill/>
            </a:ln>
            <a:effectLst/>
          </c:spPr>
          <c:invertIfNegative val="0"/>
          <c:val>
            <c:numRef>
              <c:f>'Tables Charts'!$H$26:$H$39</c:f>
              <c:numCache>
                <c:formatCode>0%</c:formatCode>
                <c:ptCount val="14"/>
                <c:pt idx="0">
                  <c:v>-0.12672955780536471</c:v>
                </c:pt>
                <c:pt idx="1">
                  <c:v>-8.1280403282650571E-2</c:v>
                </c:pt>
                <c:pt idx="2">
                  <c:v>-1.1859315338389126E-2</c:v>
                </c:pt>
                <c:pt idx="3">
                  <c:v>5.9281285232658729E-3</c:v>
                </c:pt>
                <c:pt idx="4">
                  <c:v>1.750006974861033E-2</c:v>
                </c:pt>
                <c:pt idx="5">
                  <c:v>2.4112240319347587E-2</c:v>
                </c:pt>
                <c:pt idx="6">
                  <c:v>3.9838655997221938E-2</c:v>
                </c:pt>
                <c:pt idx="7">
                  <c:v>4.0084762609591588E-2</c:v>
                </c:pt>
                <c:pt idx="8">
                  <c:v>5.6557371359072864E-2</c:v>
                </c:pt>
                <c:pt idx="9">
                  <c:v>6.636680143672169E-2</c:v>
                </c:pt>
                <c:pt idx="10">
                  <c:v>6.675520580296157E-2</c:v>
                </c:pt>
                <c:pt idx="11">
                  <c:v>6.9447651332118915E-2</c:v>
                </c:pt>
                <c:pt idx="12">
                  <c:v>8.484254968010102E-2</c:v>
                </c:pt>
                <c:pt idx="13">
                  <c:v>0.11112252899752206</c:v>
                </c:pt>
              </c:numCache>
            </c:numRef>
          </c:val>
          <c:extLst>
            <c:ext xmlns:c16="http://schemas.microsoft.com/office/drawing/2014/chart" uri="{C3380CC4-5D6E-409C-BE32-E72D297353CC}">
              <c16:uniqueId val="{00000000-E5F2-4BAE-B171-49163ADD5D9E}"/>
            </c:ext>
          </c:extLst>
        </c:ser>
        <c:dLbls>
          <c:showLegendKey val="0"/>
          <c:showVal val="0"/>
          <c:showCatName val="0"/>
          <c:showSerName val="0"/>
          <c:showPercent val="0"/>
          <c:showBubbleSize val="0"/>
        </c:dLbls>
        <c:gapWidth val="150"/>
        <c:overlap val="100"/>
        <c:axId val="1375286992"/>
        <c:axId val="1375267856"/>
      </c:barChart>
      <c:lineChart>
        <c:grouping val="standard"/>
        <c:varyColors val="0"/>
        <c:ser>
          <c:idx val="2"/>
          <c:order val="1"/>
          <c:tx>
            <c:strRef>
              <c:f>'Tables Charts'!$I$25</c:f>
              <c:strCache>
                <c:ptCount val="1"/>
                <c:pt idx="0">
                  <c:v>Average COVID costs</c:v>
                </c:pt>
              </c:strCache>
            </c:strRef>
          </c:tx>
          <c:spPr>
            <a:ln w="28575">
              <a:solidFill>
                <a:schemeClr val="bg1">
                  <a:lumMod val="75000"/>
                </a:schemeClr>
              </a:solidFill>
              <a:prstDash val="dash"/>
            </a:ln>
            <a:effectLst/>
          </c:spPr>
          <c:marker>
            <c:symbol val="none"/>
          </c:marker>
          <c:val>
            <c:numRef>
              <c:f>'Tables Charts'!$I$26:$I$39</c:f>
              <c:numCache>
                <c:formatCode>0%</c:formatCode>
                <c:ptCount val="14"/>
                <c:pt idx="0">
                  <c:v>1.0371682940842331E-2</c:v>
                </c:pt>
                <c:pt idx="1">
                  <c:v>1.0371682940842331E-2</c:v>
                </c:pt>
                <c:pt idx="2">
                  <c:v>1.0371682940842331E-2</c:v>
                </c:pt>
                <c:pt idx="3">
                  <c:v>1.0371682940842331E-2</c:v>
                </c:pt>
                <c:pt idx="4">
                  <c:v>1.0371682940842331E-2</c:v>
                </c:pt>
                <c:pt idx="5">
                  <c:v>1.0371682940842331E-2</c:v>
                </c:pt>
                <c:pt idx="6">
                  <c:v>1.0371682940842331E-2</c:v>
                </c:pt>
                <c:pt idx="7">
                  <c:v>1.0371682940842331E-2</c:v>
                </c:pt>
                <c:pt idx="8">
                  <c:v>1.0371682940842331E-2</c:v>
                </c:pt>
                <c:pt idx="9">
                  <c:v>1.0371682940842331E-2</c:v>
                </c:pt>
                <c:pt idx="10">
                  <c:v>1.0371682940842331E-2</c:v>
                </c:pt>
                <c:pt idx="11">
                  <c:v>1.0371682940842331E-2</c:v>
                </c:pt>
                <c:pt idx="12">
                  <c:v>1.0371682940842331E-2</c:v>
                </c:pt>
                <c:pt idx="13">
                  <c:v>1.0371682940842331E-2</c:v>
                </c:pt>
              </c:numCache>
            </c:numRef>
          </c:val>
          <c:smooth val="0"/>
          <c:extLst>
            <c:ext xmlns:c16="http://schemas.microsoft.com/office/drawing/2014/chart" uri="{C3380CC4-5D6E-409C-BE32-E72D297353CC}">
              <c16:uniqueId val="{00000001-E5F2-4BAE-B171-49163ADD5D9E}"/>
            </c:ext>
          </c:extLst>
        </c:ser>
        <c:ser>
          <c:idx val="0"/>
          <c:order val="2"/>
          <c:tx>
            <c:strRef>
              <c:f>'Tables Charts'!$J$25</c:f>
              <c:strCache>
                <c:ptCount val="1"/>
                <c:pt idx="0">
                  <c:v>Average COVID costs for those with data</c:v>
                </c:pt>
              </c:strCache>
            </c:strRef>
          </c:tx>
          <c:spPr>
            <a:ln w="28575" cap="rnd">
              <a:solidFill>
                <a:schemeClr val="accent4"/>
              </a:solidFill>
              <a:prstDash val="sysDash"/>
              <a:round/>
            </a:ln>
            <a:effectLst/>
          </c:spPr>
          <c:marker>
            <c:symbol val="none"/>
          </c:marker>
          <c:val>
            <c:numRef>
              <c:f>'Tables Charts'!$J$26:$J$39</c:f>
              <c:numCache>
                <c:formatCode>0%</c:formatCode>
                <c:ptCount val="14"/>
                <c:pt idx="0">
                  <c:v>3.1150454119892999E-2</c:v>
                </c:pt>
                <c:pt idx="1">
                  <c:v>3.1150454119892999E-2</c:v>
                </c:pt>
                <c:pt idx="2">
                  <c:v>3.1150454119892999E-2</c:v>
                </c:pt>
                <c:pt idx="3">
                  <c:v>3.1150454119892999E-2</c:v>
                </c:pt>
                <c:pt idx="4">
                  <c:v>3.1150454119892999E-2</c:v>
                </c:pt>
                <c:pt idx="5">
                  <c:v>3.1150454119892999E-2</c:v>
                </c:pt>
                <c:pt idx="6">
                  <c:v>3.1150454119892999E-2</c:v>
                </c:pt>
                <c:pt idx="7">
                  <c:v>3.1150454119892999E-2</c:v>
                </c:pt>
                <c:pt idx="8">
                  <c:v>3.1150454119892999E-2</c:v>
                </c:pt>
                <c:pt idx="9">
                  <c:v>3.1150454119892999E-2</c:v>
                </c:pt>
                <c:pt idx="10">
                  <c:v>3.1150454119892999E-2</c:v>
                </c:pt>
                <c:pt idx="11">
                  <c:v>3.1150454119892999E-2</c:v>
                </c:pt>
                <c:pt idx="12">
                  <c:v>3.1150454119892999E-2</c:v>
                </c:pt>
                <c:pt idx="13">
                  <c:v>3.1150454119892999E-2</c:v>
                </c:pt>
              </c:numCache>
            </c:numRef>
          </c:val>
          <c:smooth val="0"/>
          <c:extLst>
            <c:ext xmlns:c16="http://schemas.microsoft.com/office/drawing/2014/chart" uri="{C3380CC4-5D6E-409C-BE32-E72D297353CC}">
              <c16:uniqueId val="{00000002-E5F2-4BAE-B171-49163ADD5D9E}"/>
            </c:ext>
          </c:extLst>
        </c:ser>
        <c:dLbls>
          <c:showLegendKey val="0"/>
          <c:showVal val="0"/>
          <c:showCatName val="0"/>
          <c:showSerName val="0"/>
          <c:showPercent val="0"/>
          <c:showBubbleSize val="0"/>
        </c:dLbls>
        <c:marker val="1"/>
        <c:smooth val="0"/>
        <c:axId val="1375286992"/>
        <c:axId val="1375267856"/>
      </c:lineChart>
      <c:catAx>
        <c:axId val="1375286992"/>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67856"/>
        <c:crosses val="autoZero"/>
        <c:auto val="1"/>
        <c:lblAlgn val="ctr"/>
        <c:lblOffset val="100"/>
        <c:noMultiLvlLbl val="0"/>
      </c:catAx>
      <c:valAx>
        <c:axId val="1375267856"/>
        <c:scaling>
          <c:orientation val="minMax"/>
        </c:scaling>
        <c:delete val="0"/>
        <c:axPos val="l"/>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75286992"/>
        <c:crosses val="autoZero"/>
        <c:crossBetween val="between"/>
      </c:valAx>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v>% change by university</c:v>
          </c:tx>
          <c:spPr>
            <a:solidFill>
              <a:srgbClr val="00ABAB"/>
            </a:solidFill>
            <a:ln>
              <a:solidFill>
                <a:srgbClr val="00ABAB"/>
              </a:solidFill>
            </a:ln>
          </c:spPr>
          <c:invertIfNegative val="0"/>
          <c:dPt>
            <c:idx val="18"/>
            <c:invertIfNegative val="0"/>
            <c:bubble3D val="0"/>
            <c:spPr>
              <a:solidFill>
                <a:srgbClr val="00ABAB"/>
              </a:solidFill>
              <a:ln>
                <a:noFill/>
              </a:ln>
            </c:spPr>
            <c:extLst>
              <c:ext xmlns:c16="http://schemas.microsoft.com/office/drawing/2014/chart" uri="{C3380CC4-5D6E-409C-BE32-E72D297353CC}">
                <c16:uniqueId val="{00000001-AF6C-41CA-AFDE-500F18497EF7}"/>
              </c:ext>
            </c:extLst>
          </c:dPt>
          <c:cat>
            <c:numRef>
              <c:f>'3.1 data'!$U$3:$U$39</c:f>
              <c:numCache>
                <c:formatCode>General</c:formatCode>
                <c:ptCount val="37"/>
              </c:numCache>
            </c:numRef>
          </c:cat>
          <c:val>
            <c:numRef>
              <c:f>'3.1 data'!$V$3:$V$39</c:f>
              <c:numCache>
                <c:formatCode>0.0%</c:formatCode>
                <c:ptCount val="37"/>
                <c:pt idx="0">
                  <c:v>-0.15149656180253812</c:v>
                </c:pt>
                <c:pt idx="1">
                  <c:v>-0.11804495267852799</c:v>
                </c:pt>
                <c:pt idx="2">
                  <c:v>-0.11307799335373581</c:v>
                </c:pt>
                <c:pt idx="3">
                  <c:v>-8.9456508156760206E-2</c:v>
                </c:pt>
                <c:pt idx="4">
                  <c:v>-7.235510496751052E-2</c:v>
                </c:pt>
                <c:pt idx="5">
                  <c:v>-5.75673628778548E-2</c:v>
                </c:pt>
                <c:pt idx="6">
                  <c:v>-5.1434414369702197E-2</c:v>
                </c:pt>
                <c:pt idx="7">
                  <c:v>-5.1029784773728992E-2</c:v>
                </c:pt>
                <c:pt idx="8">
                  <c:v>-3.359964762213663E-2</c:v>
                </c:pt>
                <c:pt idx="9">
                  <c:v>-2.4442727112860774E-2</c:v>
                </c:pt>
                <c:pt idx="10">
                  <c:v>-1.1414706648226414E-2</c:v>
                </c:pt>
                <c:pt idx="11">
                  <c:v>-6.4059146002252154E-3</c:v>
                </c:pt>
                <c:pt idx="12">
                  <c:v>-4.2720146084647137E-3</c:v>
                </c:pt>
                <c:pt idx="13">
                  <c:v>-3.8469793647478712E-3</c:v>
                </c:pt>
                <c:pt idx="14">
                  <c:v>1.1316837516560208E-2</c:v>
                </c:pt>
                <c:pt idx="15">
                  <c:v>1.3928182074895323E-2</c:v>
                </c:pt>
                <c:pt idx="16">
                  <c:v>1.476958701537523E-2</c:v>
                </c:pt>
                <c:pt idx="17">
                  <c:v>1.5018505494442502E-2</c:v>
                </c:pt>
                <c:pt idx="18">
                  <c:v>1.9909531384734169E-2</c:v>
                </c:pt>
                <c:pt idx="19">
                  <c:v>1.9930257363756532E-2</c:v>
                </c:pt>
                <c:pt idx="20">
                  <c:v>2.1162559990189678E-2</c:v>
                </c:pt>
                <c:pt idx="21">
                  <c:v>2.1718249500257469E-2</c:v>
                </c:pt>
                <c:pt idx="22">
                  <c:v>2.3717036071678521E-2</c:v>
                </c:pt>
                <c:pt idx="23">
                  <c:v>2.6928874206443743E-2</c:v>
                </c:pt>
                <c:pt idx="24">
                  <c:v>3.0580350140172019E-2</c:v>
                </c:pt>
                <c:pt idx="25">
                  <c:v>3.249416081999601E-2</c:v>
                </c:pt>
                <c:pt idx="26">
                  <c:v>3.3323333616817941E-2</c:v>
                </c:pt>
                <c:pt idx="27">
                  <c:v>3.8742713057517308E-2</c:v>
                </c:pt>
                <c:pt idx="28">
                  <c:v>4.2944269407034108E-2</c:v>
                </c:pt>
                <c:pt idx="29" formatCode="0.00%">
                  <c:v>5.0050489277892574E-2</c:v>
                </c:pt>
                <c:pt idx="30">
                  <c:v>5.7974669828477987E-2</c:v>
                </c:pt>
                <c:pt idx="31">
                  <c:v>5.8436168363872998E-2</c:v>
                </c:pt>
                <c:pt idx="32">
                  <c:v>5.9580206561563376E-2</c:v>
                </c:pt>
                <c:pt idx="33">
                  <c:v>6.2991164547777645E-2</c:v>
                </c:pt>
                <c:pt idx="34">
                  <c:v>9.7711541134886559E-2</c:v>
                </c:pt>
                <c:pt idx="35">
                  <c:v>9.9091097634124159E-2</c:v>
                </c:pt>
                <c:pt idx="36">
                  <c:v>0.32719529752360144</c:v>
                </c:pt>
              </c:numCache>
            </c:numRef>
          </c:val>
          <c:extLst>
            <c:ext xmlns:c16="http://schemas.microsoft.com/office/drawing/2014/chart" uri="{C3380CC4-5D6E-409C-BE32-E72D297353CC}">
              <c16:uniqueId val="{00000002-AF6C-41CA-AFDE-500F18497EF7}"/>
            </c:ext>
          </c:extLst>
        </c:ser>
        <c:dLbls>
          <c:showLegendKey val="0"/>
          <c:showVal val="0"/>
          <c:showCatName val="0"/>
          <c:showSerName val="0"/>
          <c:showPercent val="0"/>
          <c:showBubbleSize val="0"/>
        </c:dLbls>
        <c:gapWidth val="150"/>
        <c:axId val="842962671"/>
        <c:axId val="842970575"/>
      </c:barChart>
      <c:lineChart>
        <c:grouping val="standard"/>
        <c:varyColors val="0"/>
        <c:ser>
          <c:idx val="3"/>
          <c:order val="1"/>
          <c:tx>
            <c:v>Total</c:v>
          </c:tx>
          <c:spPr>
            <a:ln>
              <a:solidFill>
                <a:schemeClr val="tx2"/>
              </a:solidFill>
              <a:prstDash val="sysDash"/>
            </a:ln>
          </c:spPr>
          <c:marker>
            <c:symbol val="none"/>
          </c:marker>
          <c:cat>
            <c:numRef>
              <c:f>'3.1 data'!$U$3:$U$39</c:f>
              <c:numCache>
                <c:formatCode>General</c:formatCode>
                <c:ptCount val="37"/>
              </c:numCache>
            </c:numRef>
          </c:cat>
          <c:val>
            <c:numRef>
              <c:f>'3.1 data'!$Y$3:$Y$39</c:f>
              <c:numCache>
                <c:formatCode>0.0%</c:formatCode>
                <c:ptCount val="37"/>
                <c:pt idx="0">
                  <c:v>4.5999446097082508E-3</c:v>
                </c:pt>
                <c:pt idx="1">
                  <c:v>4.5999446097082508E-3</c:v>
                </c:pt>
                <c:pt idx="2">
                  <c:v>4.5999446097082508E-3</c:v>
                </c:pt>
                <c:pt idx="3">
                  <c:v>4.5999446097082508E-3</c:v>
                </c:pt>
                <c:pt idx="4">
                  <c:v>4.5999446097082508E-3</c:v>
                </c:pt>
                <c:pt idx="5">
                  <c:v>4.5999446097082508E-3</c:v>
                </c:pt>
                <c:pt idx="6">
                  <c:v>4.5999446097082508E-3</c:v>
                </c:pt>
                <c:pt idx="7">
                  <c:v>4.5999446097082508E-3</c:v>
                </c:pt>
                <c:pt idx="8">
                  <c:v>4.5999446097082508E-3</c:v>
                </c:pt>
                <c:pt idx="9">
                  <c:v>4.5999446097082508E-3</c:v>
                </c:pt>
                <c:pt idx="10">
                  <c:v>4.5999446097082508E-3</c:v>
                </c:pt>
                <c:pt idx="11">
                  <c:v>4.5999446097082508E-3</c:v>
                </c:pt>
                <c:pt idx="12">
                  <c:v>4.5999446097082508E-3</c:v>
                </c:pt>
                <c:pt idx="13">
                  <c:v>4.5999446097082508E-3</c:v>
                </c:pt>
                <c:pt idx="14">
                  <c:v>4.5999446097082508E-3</c:v>
                </c:pt>
                <c:pt idx="15">
                  <c:v>4.5999446097082508E-3</c:v>
                </c:pt>
                <c:pt idx="16">
                  <c:v>4.5999446097082508E-3</c:v>
                </c:pt>
                <c:pt idx="17">
                  <c:v>4.5999446097082508E-3</c:v>
                </c:pt>
                <c:pt idx="18">
                  <c:v>4.5999446097082508E-3</c:v>
                </c:pt>
                <c:pt idx="19">
                  <c:v>4.5999446097082508E-3</c:v>
                </c:pt>
                <c:pt idx="20">
                  <c:v>4.5999446097082508E-3</c:v>
                </c:pt>
                <c:pt idx="21">
                  <c:v>4.5999446097082508E-3</c:v>
                </c:pt>
                <c:pt idx="22">
                  <c:v>4.5999446097082508E-3</c:v>
                </c:pt>
                <c:pt idx="23">
                  <c:v>4.5999446097082508E-3</c:v>
                </c:pt>
                <c:pt idx="24">
                  <c:v>4.5999446097082508E-3</c:v>
                </c:pt>
                <c:pt idx="25">
                  <c:v>4.5999446097082508E-3</c:v>
                </c:pt>
                <c:pt idx="26">
                  <c:v>4.5999446097082508E-3</c:v>
                </c:pt>
                <c:pt idx="27">
                  <c:v>4.5999446097082508E-3</c:v>
                </c:pt>
                <c:pt idx="28">
                  <c:v>4.5999446097082508E-3</c:v>
                </c:pt>
                <c:pt idx="29">
                  <c:v>4.5999446097082508E-3</c:v>
                </c:pt>
                <c:pt idx="30">
                  <c:v>4.5999446097082508E-3</c:v>
                </c:pt>
                <c:pt idx="31">
                  <c:v>4.5999446097082508E-3</c:v>
                </c:pt>
                <c:pt idx="32">
                  <c:v>4.5999446097082508E-3</c:v>
                </c:pt>
                <c:pt idx="33">
                  <c:v>4.5999446097082508E-3</c:v>
                </c:pt>
                <c:pt idx="34">
                  <c:v>4.5999446097082508E-3</c:v>
                </c:pt>
                <c:pt idx="35">
                  <c:v>4.5999446097082508E-3</c:v>
                </c:pt>
                <c:pt idx="36">
                  <c:v>4.5999446097082508E-3</c:v>
                </c:pt>
              </c:numCache>
            </c:numRef>
          </c:val>
          <c:smooth val="0"/>
          <c:extLst>
            <c:ext xmlns:c16="http://schemas.microsoft.com/office/drawing/2014/chart" uri="{C3380CC4-5D6E-409C-BE32-E72D297353CC}">
              <c16:uniqueId val="{00000003-AF6C-41CA-AFDE-500F18497EF7}"/>
            </c:ext>
          </c:extLst>
        </c:ser>
        <c:dLbls>
          <c:showLegendKey val="0"/>
          <c:showVal val="0"/>
          <c:showCatName val="0"/>
          <c:showSerName val="0"/>
          <c:showPercent val="0"/>
          <c:showBubbleSize val="0"/>
        </c:dLbls>
        <c:marker val="1"/>
        <c:smooth val="0"/>
        <c:axId val="842962671"/>
        <c:axId val="842970575"/>
        <c:extLst>
          <c:ext xmlns:c15="http://schemas.microsoft.com/office/drawing/2012/chart" uri="{02D57815-91ED-43cb-92C2-25804820EDAC}">
            <c15:filteredLineSeries>
              <c15:ser>
                <c:idx val="0"/>
                <c:order val="2"/>
                <c:tx>
                  <c:v>5%</c:v>
                </c:tx>
                <c:spPr>
                  <a:ln>
                    <a:solidFill>
                      <a:schemeClr val="bg1">
                        <a:lumMod val="75000"/>
                      </a:schemeClr>
                    </a:solidFill>
                    <a:prstDash val="dashDot"/>
                  </a:ln>
                </c:spPr>
                <c:marker>
                  <c:symbol val="none"/>
                </c:marker>
                <c:cat>
                  <c:numRef>
                    <c:extLst>
                      <c:ext uri="{02D57815-91ED-43cb-92C2-25804820EDAC}">
                        <c15:formulaRef>
                          <c15:sqref>'3.1 data'!$U$3:$U$39</c15:sqref>
                        </c15:formulaRef>
                      </c:ext>
                    </c:extLst>
                    <c:numCache>
                      <c:formatCode>General</c:formatCode>
                      <c:ptCount val="37"/>
                    </c:numCache>
                  </c:numRef>
                </c:cat>
                <c:val>
                  <c:numRef>
                    <c:extLst>
                      <c:ext uri="{02D57815-91ED-43cb-92C2-25804820EDAC}">
                        <c15:formulaRef>
                          <c15:sqref>'3.1 data'!$W$3:$W$39</c15:sqref>
                        </c15:formulaRef>
                      </c:ext>
                    </c:extLst>
                    <c:numCache>
                      <c:formatCode>0%</c:formatCode>
                      <c:ptCount val="37"/>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pt idx="17">
                        <c:v>0.05</c:v>
                      </c:pt>
                      <c:pt idx="18">
                        <c:v>0.05</c:v>
                      </c:pt>
                      <c:pt idx="19">
                        <c:v>0.05</c:v>
                      </c:pt>
                      <c:pt idx="20">
                        <c:v>0.05</c:v>
                      </c:pt>
                      <c:pt idx="21">
                        <c:v>0.05</c:v>
                      </c:pt>
                      <c:pt idx="22">
                        <c:v>0.05</c:v>
                      </c:pt>
                      <c:pt idx="23">
                        <c:v>0.05</c:v>
                      </c:pt>
                      <c:pt idx="24">
                        <c:v>0.05</c:v>
                      </c:pt>
                      <c:pt idx="25">
                        <c:v>0.05</c:v>
                      </c:pt>
                      <c:pt idx="26">
                        <c:v>0.05</c:v>
                      </c:pt>
                      <c:pt idx="27">
                        <c:v>0.05</c:v>
                      </c:pt>
                      <c:pt idx="28">
                        <c:v>0.05</c:v>
                      </c:pt>
                      <c:pt idx="29">
                        <c:v>0.05</c:v>
                      </c:pt>
                      <c:pt idx="30">
                        <c:v>0.05</c:v>
                      </c:pt>
                      <c:pt idx="31">
                        <c:v>0.05</c:v>
                      </c:pt>
                      <c:pt idx="32">
                        <c:v>0.05</c:v>
                      </c:pt>
                      <c:pt idx="33">
                        <c:v>0.05</c:v>
                      </c:pt>
                      <c:pt idx="34">
                        <c:v>0.05</c:v>
                      </c:pt>
                      <c:pt idx="35">
                        <c:v>0.05</c:v>
                      </c:pt>
                      <c:pt idx="36">
                        <c:v>0.05</c:v>
                      </c:pt>
                    </c:numCache>
                  </c:numRef>
                </c:val>
                <c:smooth val="0"/>
                <c:extLst>
                  <c:ext xmlns:c16="http://schemas.microsoft.com/office/drawing/2014/chart" uri="{C3380CC4-5D6E-409C-BE32-E72D297353CC}">
                    <c16:uniqueId val="{00000004-AF6C-41CA-AFDE-500F18497EF7}"/>
                  </c:ext>
                </c:extLst>
              </c15:ser>
            </c15:filteredLineSeries>
            <c15:filteredLineSeries>
              <c15:ser>
                <c:idx val="1"/>
                <c:order val="3"/>
                <c:tx>
                  <c:v>-5%</c:v>
                </c:tx>
                <c:spPr>
                  <a:ln>
                    <a:solidFill>
                      <a:schemeClr val="bg1">
                        <a:lumMod val="75000"/>
                      </a:schemeClr>
                    </a:solidFill>
                    <a:prstDash val="sysDash"/>
                  </a:ln>
                </c:spPr>
                <c:marker>
                  <c:symbol val="none"/>
                </c:marker>
                <c:cat>
                  <c:numRef>
                    <c:extLst xmlns:c15="http://schemas.microsoft.com/office/drawing/2012/chart">
                      <c:ext xmlns:c15="http://schemas.microsoft.com/office/drawing/2012/chart" uri="{02D57815-91ED-43cb-92C2-25804820EDAC}">
                        <c15:formulaRef>
                          <c15:sqref>'3.1 data'!$U$3:$U$39</c15:sqref>
                        </c15:formulaRef>
                      </c:ext>
                    </c:extLst>
                    <c:numCache>
                      <c:formatCode>General</c:formatCode>
                      <c:ptCount val="37"/>
                    </c:numCache>
                  </c:numRef>
                </c:cat>
                <c:val>
                  <c:numRef>
                    <c:extLst xmlns:c15="http://schemas.microsoft.com/office/drawing/2012/chart">
                      <c:ext xmlns:c15="http://schemas.microsoft.com/office/drawing/2012/chart" uri="{02D57815-91ED-43cb-92C2-25804820EDAC}">
                        <c15:formulaRef>
                          <c15:sqref>'3.1 data'!$X$3:$X$39</c15:sqref>
                        </c15:formulaRef>
                      </c:ext>
                    </c:extLst>
                    <c:numCache>
                      <c:formatCode>0%</c:formatCode>
                      <c:ptCount val="37"/>
                      <c:pt idx="0">
                        <c:v>-0.05</c:v>
                      </c:pt>
                      <c:pt idx="1">
                        <c:v>-0.05</c:v>
                      </c:pt>
                      <c:pt idx="2">
                        <c:v>-0.05</c:v>
                      </c:pt>
                      <c:pt idx="3">
                        <c:v>-0.05</c:v>
                      </c:pt>
                      <c:pt idx="4">
                        <c:v>-0.05</c:v>
                      </c:pt>
                      <c:pt idx="5">
                        <c:v>-0.05</c:v>
                      </c:pt>
                      <c:pt idx="6">
                        <c:v>-0.05</c:v>
                      </c:pt>
                      <c:pt idx="7">
                        <c:v>-0.05</c:v>
                      </c:pt>
                      <c:pt idx="8">
                        <c:v>-0.05</c:v>
                      </c:pt>
                      <c:pt idx="9">
                        <c:v>-0.05</c:v>
                      </c:pt>
                      <c:pt idx="10">
                        <c:v>-0.05</c:v>
                      </c:pt>
                      <c:pt idx="11">
                        <c:v>-0.05</c:v>
                      </c:pt>
                      <c:pt idx="12">
                        <c:v>-0.05</c:v>
                      </c:pt>
                      <c:pt idx="13">
                        <c:v>-0.05</c:v>
                      </c:pt>
                      <c:pt idx="14">
                        <c:v>-0.05</c:v>
                      </c:pt>
                      <c:pt idx="15">
                        <c:v>-0.05</c:v>
                      </c:pt>
                      <c:pt idx="16">
                        <c:v>-0.05</c:v>
                      </c:pt>
                      <c:pt idx="17">
                        <c:v>-0.05</c:v>
                      </c:pt>
                      <c:pt idx="18">
                        <c:v>-0.05</c:v>
                      </c:pt>
                      <c:pt idx="19">
                        <c:v>-0.05</c:v>
                      </c:pt>
                      <c:pt idx="20">
                        <c:v>-0.05</c:v>
                      </c:pt>
                      <c:pt idx="21">
                        <c:v>-0.05</c:v>
                      </c:pt>
                      <c:pt idx="22">
                        <c:v>-0.05</c:v>
                      </c:pt>
                      <c:pt idx="23">
                        <c:v>-0.05</c:v>
                      </c:pt>
                      <c:pt idx="24">
                        <c:v>-0.05</c:v>
                      </c:pt>
                      <c:pt idx="25">
                        <c:v>-0.05</c:v>
                      </c:pt>
                      <c:pt idx="26">
                        <c:v>-0.05</c:v>
                      </c:pt>
                      <c:pt idx="27">
                        <c:v>-0.05</c:v>
                      </c:pt>
                      <c:pt idx="28">
                        <c:v>-0.05</c:v>
                      </c:pt>
                      <c:pt idx="29">
                        <c:v>-0.05</c:v>
                      </c:pt>
                      <c:pt idx="30">
                        <c:v>-0.05</c:v>
                      </c:pt>
                      <c:pt idx="31">
                        <c:v>-0.05</c:v>
                      </c:pt>
                      <c:pt idx="32">
                        <c:v>-0.05</c:v>
                      </c:pt>
                      <c:pt idx="33">
                        <c:v>-0.05</c:v>
                      </c:pt>
                      <c:pt idx="34">
                        <c:v>-0.05</c:v>
                      </c:pt>
                      <c:pt idx="35">
                        <c:v>-0.05</c:v>
                      </c:pt>
                      <c:pt idx="36">
                        <c:v>-0.05</c:v>
                      </c:pt>
                    </c:numCache>
                  </c:numRef>
                </c:val>
                <c:smooth val="0"/>
                <c:extLst xmlns:c15="http://schemas.microsoft.com/office/drawing/2012/chart">
                  <c:ext xmlns:c16="http://schemas.microsoft.com/office/drawing/2014/chart" uri="{C3380CC4-5D6E-409C-BE32-E72D297353CC}">
                    <c16:uniqueId val="{00000005-AF6C-41CA-AFDE-500F18497EF7}"/>
                  </c:ext>
                </c:extLst>
              </c15:ser>
            </c15:filteredLineSeries>
          </c:ext>
        </c:extLst>
      </c:lineChart>
      <c:catAx>
        <c:axId val="842962671"/>
        <c:scaling>
          <c:orientation val="minMax"/>
        </c:scaling>
        <c:delete val="0"/>
        <c:axPos val="b"/>
        <c:title>
          <c:tx>
            <c:rich>
              <a:bodyPr/>
              <a:lstStyle/>
              <a:p>
                <a:pPr>
                  <a:defRPr/>
                </a:pPr>
                <a:r>
                  <a:rPr lang="en-AU" b="0"/>
                  <a:t>Universities (37)</a:t>
                </a:r>
              </a:p>
            </c:rich>
          </c:tx>
          <c:overlay val="0"/>
        </c:title>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l"/>
        <c:majorGridlines>
          <c:spPr>
            <a:ln w="9525" cap="flat" cmpd="sng" algn="ctr">
              <a:no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'4.4_data (2020)'!$D$66</c:f>
              <c:strCache>
                <c:ptCount val="1"/>
                <c:pt idx="0">
                  <c:v>Able to identify costs at the unit of study level</c:v>
                </c:pt>
              </c:strCache>
            </c:strRef>
          </c:tx>
          <c:spPr>
            <a:solidFill>
              <a:srgbClr val="00ABAB"/>
            </a:solidFill>
            <a:ln>
              <a:noFill/>
            </a:ln>
            <a:effectLst/>
          </c:spPr>
          <c:invertIfNegative val="0"/>
          <c:cat>
            <c:multiLvlStrRef>
              <c:f>'4.4_data (2020)'!$B$67:$C$72</c:f>
              <c:multiLvlStrCache>
                <c:ptCount val="6"/>
                <c:lvl>
                  <c:pt idx="0">
                    <c:v>2019</c:v>
                  </c:pt>
                  <c:pt idx="1">
                    <c:v>2020</c:v>
                  </c:pt>
                  <c:pt idx="2">
                    <c:v>2019</c:v>
                  </c:pt>
                  <c:pt idx="3">
                    <c:v>2020</c:v>
                  </c:pt>
                  <c:pt idx="4">
                    <c:v>2019</c:v>
                  </c:pt>
                  <c:pt idx="5">
                    <c:v>2020</c:v>
                  </c:pt>
                </c:lvl>
                <c:lvl>
                  <c:pt idx="0">
                    <c:v>Sub-bachelor</c:v>
                  </c:pt>
                  <c:pt idx="2">
                    <c:v>Bachelor</c:v>
                  </c:pt>
                  <c:pt idx="4">
                    <c:v>Postgraduate</c:v>
                  </c:pt>
                </c:lvl>
              </c:multiLvlStrCache>
            </c:multiLvlStrRef>
          </c:cat>
          <c:val>
            <c:numRef>
              <c:f>'4.4_data (2020)'!$D$67:$D$72</c:f>
              <c:numCache>
                <c:formatCode>"$"#,##0</c:formatCode>
                <c:ptCount val="6"/>
                <c:pt idx="0">
                  <c:v>17761.216286522733</c:v>
                </c:pt>
                <c:pt idx="1">
                  <c:v>17460.711064954459</c:v>
                </c:pt>
                <c:pt idx="2">
                  <c:v>17188.82298736829</c:v>
                </c:pt>
                <c:pt idx="3">
                  <c:v>17302.248806212221</c:v>
                </c:pt>
                <c:pt idx="4">
                  <c:v>21837.248506157026</c:v>
                </c:pt>
                <c:pt idx="5">
                  <c:v>22218.574625582834</c:v>
                </c:pt>
              </c:numCache>
            </c:numRef>
          </c:val>
          <c:extLst>
            <c:ext xmlns:c16="http://schemas.microsoft.com/office/drawing/2014/chart" uri="{C3380CC4-5D6E-409C-BE32-E72D297353CC}">
              <c16:uniqueId val="{00000000-8099-45F7-8369-DCC2DF236177}"/>
            </c:ext>
          </c:extLst>
        </c:ser>
        <c:ser>
          <c:idx val="3"/>
          <c:order val="1"/>
          <c:tx>
            <c:strRef>
              <c:f>'4.4_data (2020)'!$E$66</c:f>
              <c:strCache>
                <c:ptCount val="1"/>
                <c:pt idx="0">
                  <c:v>Unable to identify costs at the unit of study level</c:v>
                </c:pt>
              </c:strCache>
            </c:strRef>
          </c:tx>
          <c:spPr>
            <a:solidFill>
              <a:schemeClr val="bg1">
                <a:lumMod val="75000"/>
              </a:schemeClr>
            </a:solidFill>
            <a:ln>
              <a:noFill/>
            </a:ln>
            <a:effectLst/>
          </c:spPr>
          <c:invertIfNegative val="0"/>
          <c:cat>
            <c:multiLvlStrRef>
              <c:f>'4.4_data (2020)'!$B$67:$C$72</c:f>
              <c:multiLvlStrCache>
                <c:ptCount val="6"/>
                <c:lvl>
                  <c:pt idx="0">
                    <c:v>2019</c:v>
                  </c:pt>
                  <c:pt idx="1">
                    <c:v>2020</c:v>
                  </c:pt>
                  <c:pt idx="2">
                    <c:v>2019</c:v>
                  </c:pt>
                  <c:pt idx="3">
                    <c:v>2020</c:v>
                  </c:pt>
                  <c:pt idx="4">
                    <c:v>2019</c:v>
                  </c:pt>
                  <c:pt idx="5">
                    <c:v>2020</c:v>
                  </c:pt>
                </c:lvl>
                <c:lvl>
                  <c:pt idx="0">
                    <c:v>Sub-bachelor</c:v>
                  </c:pt>
                  <c:pt idx="2">
                    <c:v>Bachelor</c:v>
                  </c:pt>
                  <c:pt idx="4">
                    <c:v>Postgraduate</c:v>
                  </c:pt>
                </c:lvl>
              </c:multiLvlStrCache>
            </c:multiLvlStrRef>
          </c:cat>
          <c:val>
            <c:numRef>
              <c:f>'4.4_data (2020)'!$E$67:$E$72</c:f>
              <c:numCache>
                <c:formatCode>"$"#,##0</c:formatCode>
                <c:ptCount val="6"/>
                <c:pt idx="0">
                  <c:v>19616.978875069741</c:v>
                </c:pt>
                <c:pt idx="1">
                  <c:v>18979.861007258263</c:v>
                </c:pt>
                <c:pt idx="2">
                  <c:v>19763.527932225039</c:v>
                </c:pt>
                <c:pt idx="3">
                  <c:v>19714.116669329658</c:v>
                </c:pt>
                <c:pt idx="4">
                  <c:v>20479.556003243855</c:v>
                </c:pt>
                <c:pt idx="5">
                  <c:v>20195.145191299605</c:v>
                </c:pt>
              </c:numCache>
            </c:numRef>
          </c:val>
          <c:extLst>
            <c:ext xmlns:c16="http://schemas.microsoft.com/office/drawing/2014/chart" uri="{C3380CC4-5D6E-409C-BE32-E72D297353CC}">
              <c16:uniqueId val="{00000001-8099-45F7-8369-DCC2DF236177}"/>
            </c:ext>
          </c:extLst>
        </c:ser>
        <c:dLbls>
          <c:showLegendKey val="0"/>
          <c:showVal val="0"/>
          <c:showCatName val="0"/>
          <c:showSerName val="0"/>
          <c:showPercent val="0"/>
          <c:showBubbleSize val="0"/>
        </c:dLbls>
        <c:gapWidth val="219"/>
        <c:overlap val="-61"/>
        <c:axId val="951337871"/>
        <c:axId val="951341615"/>
      </c:barChart>
      <c:catAx>
        <c:axId val="95133787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51341615"/>
        <c:crosses val="autoZero"/>
        <c:auto val="1"/>
        <c:lblAlgn val="ctr"/>
        <c:lblOffset val="100"/>
        <c:noMultiLvlLbl val="0"/>
      </c:catAx>
      <c:valAx>
        <c:axId val="951341615"/>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51337871"/>
        <c:crosses val="autoZero"/>
        <c:crossBetween val="between"/>
      </c:valAx>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7698924613589968"/>
        </c:manualLayout>
      </c:layout>
      <c:barChart>
        <c:barDir val="col"/>
        <c:grouping val="clustered"/>
        <c:varyColors val="0"/>
        <c:ser>
          <c:idx val="0"/>
          <c:order val="0"/>
          <c:tx>
            <c:strRef>
              <c:f>'4.4_data (2019)'!$L$66</c:f>
              <c:strCache>
                <c:ptCount val="1"/>
                <c:pt idx="0">
                  <c:v>Able to identify costs at the unit of study level</c:v>
                </c:pt>
              </c:strCache>
            </c:strRef>
          </c:tx>
          <c:spPr>
            <a:solidFill>
              <a:srgbClr val="00ABAB"/>
            </a:solidFill>
            <a:ln>
              <a:solidFill>
                <a:srgbClr val="00ABAB"/>
              </a:solidFill>
            </a:ln>
            <a:effectLst/>
          </c:spPr>
          <c:invertIfNegative val="0"/>
          <c:dPt>
            <c:idx val="1"/>
            <c:invertIfNegative val="0"/>
            <c:bubble3D val="0"/>
            <c:spPr>
              <a:solidFill>
                <a:srgbClr val="00ABAB"/>
              </a:solidFill>
              <a:ln>
                <a:solidFill>
                  <a:srgbClr val="00ABAB"/>
                </a:solidFill>
              </a:ln>
              <a:effectLst/>
            </c:spPr>
            <c:extLst>
              <c:ext xmlns:c16="http://schemas.microsoft.com/office/drawing/2014/chart" uri="{C3380CC4-5D6E-409C-BE32-E72D297353CC}">
                <c16:uniqueId val="{00000001-1E49-4F57-B5B0-DE0D84111488}"/>
              </c:ext>
            </c:extLst>
          </c:dPt>
          <c:dPt>
            <c:idx val="2"/>
            <c:invertIfNegative val="0"/>
            <c:bubble3D val="0"/>
            <c:spPr>
              <a:solidFill>
                <a:srgbClr val="00ABAB"/>
              </a:solidFill>
              <a:ln>
                <a:solidFill>
                  <a:srgbClr val="00ABAB"/>
                </a:solidFill>
              </a:ln>
              <a:effectLst/>
            </c:spPr>
            <c:extLst>
              <c:ext xmlns:c16="http://schemas.microsoft.com/office/drawing/2014/chart" uri="{C3380CC4-5D6E-409C-BE32-E72D297353CC}">
                <c16:uniqueId val="{00000003-1E49-4F57-B5B0-DE0D84111488}"/>
              </c:ext>
            </c:extLst>
          </c:dPt>
          <c:dPt>
            <c:idx val="3"/>
            <c:invertIfNegative val="0"/>
            <c:bubble3D val="0"/>
            <c:spPr>
              <a:solidFill>
                <a:srgbClr val="00ABAB"/>
              </a:solidFill>
              <a:ln>
                <a:solidFill>
                  <a:srgbClr val="00ABAB"/>
                </a:solidFill>
              </a:ln>
              <a:effectLst/>
            </c:spPr>
            <c:extLst>
              <c:ext xmlns:c16="http://schemas.microsoft.com/office/drawing/2014/chart" uri="{C3380CC4-5D6E-409C-BE32-E72D297353CC}">
                <c16:uniqueId val="{00000005-1E49-4F57-B5B0-DE0D84111488}"/>
              </c:ext>
            </c:extLst>
          </c:dPt>
          <c:dPt>
            <c:idx val="4"/>
            <c:invertIfNegative val="0"/>
            <c:bubble3D val="0"/>
            <c:spPr>
              <a:solidFill>
                <a:srgbClr val="00ABAB"/>
              </a:solidFill>
              <a:ln>
                <a:solidFill>
                  <a:srgbClr val="00ABAB"/>
                </a:solidFill>
              </a:ln>
              <a:effectLst/>
            </c:spPr>
            <c:extLst>
              <c:ext xmlns:c16="http://schemas.microsoft.com/office/drawing/2014/chart" uri="{C3380CC4-5D6E-409C-BE32-E72D297353CC}">
                <c16:uniqueId val="{00000007-1E49-4F57-B5B0-DE0D84111488}"/>
              </c:ext>
            </c:extLst>
          </c:dPt>
          <c:dPt>
            <c:idx val="5"/>
            <c:invertIfNegative val="0"/>
            <c:bubble3D val="0"/>
            <c:spPr>
              <a:solidFill>
                <a:srgbClr val="00ABAB"/>
              </a:solidFill>
              <a:ln>
                <a:solidFill>
                  <a:srgbClr val="00ABAB"/>
                </a:solidFill>
              </a:ln>
              <a:effectLst/>
            </c:spPr>
            <c:extLst>
              <c:ext xmlns:c16="http://schemas.microsoft.com/office/drawing/2014/chart" uri="{C3380CC4-5D6E-409C-BE32-E72D297353CC}">
                <c16:uniqueId val="{00000009-1E49-4F57-B5B0-DE0D84111488}"/>
              </c:ext>
            </c:extLst>
          </c:dPt>
          <c:dPt>
            <c:idx val="6"/>
            <c:invertIfNegative val="0"/>
            <c:bubble3D val="0"/>
            <c:spPr>
              <a:solidFill>
                <a:srgbClr val="00ABAB"/>
              </a:solidFill>
              <a:ln>
                <a:solidFill>
                  <a:srgbClr val="00ABAB"/>
                </a:solidFill>
              </a:ln>
              <a:effectLst/>
            </c:spPr>
            <c:extLst>
              <c:ext xmlns:c16="http://schemas.microsoft.com/office/drawing/2014/chart" uri="{C3380CC4-5D6E-409C-BE32-E72D297353CC}">
                <c16:uniqueId val="{0000000B-1E49-4F57-B5B0-DE0D84111488}"/>
              </c:ext>
            </c:extLst>
          </c:dPt>
          <c:dPt>
            <c:idx val="7"/>
            <c:invertIfNegative val="0"/>
            <c:bubble3D val="0"/>
            <c:spPr>
              <a:solidFill>
                <a:srgbClr val="00ABAB"/>
              </a:solidFill>
              <a:ln>
                <a:solidFill>
                  <a:srgbClr val="00ABAB"/>
                </a:solidFill>
              </a:ln>
              <a:effectLst/>
            </c:spPr>
            <c:extLst>
              <c:ext xmlns:c16="http://schemas.microsoft.com/office/drawing/2014/chart" uri="{C3380CC4-5D6E-409C-BE32-E72D297353CC}">
                <c16:uniqueId val="{0000000D-1E49-4F57-B5B0-DE0D84111488}"/>
              </c:ext>
            </c:extLst>
          </c:dPt>
          <c:dPt>
            <c:idx val="8"/>
            <c:invertIfNegative val="0"/>
            <c:bubble3D val="0"/>
            <c:spPr>
              <a:solidFill>
                <a:srgbClr val="00ABAB"/>
              </a:solidFill>
              <a:ln>
                <a:solidFill>
                  <a:srgbClr val="00ABAB"/>
                </a:solidFill>
              </a:ln>
              <a:effectLst/>
            </c:spPr>
            <c:extLst>
              <c:ext xmlns:c16="http://schemas.microsoft.com/office/drawing/2014/chart" uri="{C3380CC4-5D6E-409C-BE32-E72D297353CC}">
                <c16:uniqueId val="{0000000F-1E49-4F57-B5B0-DE0D84111488}"/>
              </c:ext>
            </c:extLst>
          </c:dPt>
          <c:dPt>
            <c:idx val="10"/>
            <c:invertIfNegative val="0"/>
            <c:bubble3D val="0"/>
            <c:spPr>
              <a:solidFill>
                <a:srgbClr val="00ABAB"/>
              </a:solidFill>
              <a:ln>
                <a:solidFill>
                  <a:srgbClr val="00ABAB"/>
                </a:solidFill>
              </a:ln>
              <a:effectLst/>
            </c:spPr>
            <c:extLst>
              <c:ext xmlns:c16="http://schemas.microsoft.com/office/drawing/2014/chart" uri="{C3380CC4-5D6E-409C-BE32-E72D297353CC}">
                <c16:uniqueId val="{00000011-1E49-4F57-B5B0-DE0D84111488}"/>
              </c:ext>
            </c:extLst>
          </c:dPt>
          <c:dPt>
            <c:idx val="12"/>
            <c:invertIfNegative val="0"/>
            <c:bubble3D val="0"/>
            <c:spPr>
              <a:solidFill>
                <a:srgbClr val="00ABAB"/>
              </a:solidFill>
              <a:ln>
                <a:solidFill>
                  <a:srgbClr val="00ABAB"/>
                </a:solidFill>
              </a:ln>
              <a:effectLst/>
            </c:spPr>
            <c:extLst>
              <c:ext xmlns:c16="http://schemas.microsoft.com/office/drawing/2014/chart" uri="{C3380CC4-5D6E-409C-BE32-E72D297353CC}">
                <c16:uniqueId val="{00000013-1E49-4F57-B5B0-DE0D84111488}"/>
              </c:ext>
            </c:extLst>
          </c:dPt>
          <c:dPt>
            <c:idx val="13"/>
            <c:invertIfNegative val="0"/>
            <c:bubble3D val="0"/>
            <c:spPr>
              <a:solidFill>
                <a:srgbClr val="00ABAB"/>
              </a:solidFill>
              <a:ln>
                <a:solidFill>
                  <a:srgbClr val="00ABAB"/>
                </a:solidFill>
              </a:ln>
              <a:effectLst/>
            </c:spPr>
            <c:extLst>
              <c:ext xmlns:c16="http://schemas.microsoft.com/office/drawing/2014/chart" uri="{C3380CC4-5D6E-409C-BE32-E72D297353CC}">
                <c16:uniqueId val="{00000015-1E49-4F57-B5B0-DE0D84111488}"/>
              </c:ext>
            </c:extLst>
          </c:dPt>
          <c:dPt>
            <c:idx val="14"/>
            <c:invertIfNegative val="0"/>
            <c:bubble3D val="0"/>
            <c:spPr>
              <a:solidFill>
                <a:srgbClr val="00ABAB"/>
              </a:solidFill>
              <a:ln>
                <a:solidFill>
                  <a:srgbClr val="00ABAB"/>
                </a:solidFill>
              </a:ln>
              <a:effectLst/>
            </c:spPr>
            <c:extLst>
              <c:ext xmlns:c16="http://schemas.microsoft.com/office/drawing/2014/chart" uri="{C3380CC4-5D6E-409C-BE32-E72D297353CC}">
                <c16:uniqueId val="{00000017-1E49-4F57-B5B0-DE0D84111488}"/>
              </c:ext>
            </c:extLst>
          </c:dPt>
          <c:dPt>
            <c:idx val="16"/>
            <c:invertIfNegative val="0"/>
            <c:bubble3D val="0"/>
            <c:spPr>
              <a:solidFill>
                <a:srgbClr val="00ABAB"/>
              </a:solidFill>
              <a:ln>
                <a:solidFill>
                  <a:srgbClr val="00ABAB"/>
                </a:solidFill>
              </a:ln>
              <a:effectLst/>
            </c:spPr>
            <c:extLst>
              <c:ext xmlns:c16="http://schemas.microsoft.com/office/drawing/2014/chart" uri="{C3380CC4-5D6E-409C-BE32-E72D297353CC}">
                <c16:uniqueId val="{00000019-1E49-4F57-B5B0-DE0D84111488}"/>
              </c:ext>
            </c:extLst>
          </c:dPt>
          <c:dPt>
            <c:idx val="17"/>
            <c:invertIfNegative val="0"/>
            <c:bubble3D val="0"/>
            <c:spPr>
              <a:solidFill>
                <a:srgbClr val="00ABAB"/>
              </a:solidFill>
              <a:ln>
                <a:solidFill>
                  <a:srgbClr val="00ABAB"/>
                </a:solidFill>
              </a:ln>
              <a:effectLst/>
            </c:spPr>
            <c:extLst>
              <c:ext xmlns:c16="http://schemas.microsoft.com/office/drawing/2014/chart" uri="{C3380CC4-5D6E-409C-BE32-E72D297353CC}">
                <c16:uniqueId val="{0000001B-1E49-4F57-B5B0-DE0D84111488}"/>
              </c:ext>
            </c:extLst>
          </c:dPt>
          <c:dPt>
            <c:idx val="18"/>
            <c:invertIfNegative val="0"/>
            <c:bubble3D val="0"/>
            <c:spPr>
              <a:solidFill>
                <a:srgbClr val="00ABAB"/>
              </a:solidFill>
              <a:ln>
                <a:solidFill>
                  <a:srgbClr val="00ABAB"/>
                </a:solidFill>
              </a:ln>
              <a:effectLst/>
            </c:spPr>
            <c:extLst>
              <c:ext xmlns:c16="http://schemas.microsoft.com/office/drawing/2014/chart" uri="{C3380CC4-5D6E-409C-BE32-E72D297353CC}">
                <c16:uniqueId val="{0000001D-1E49-4F57-B5B0-DE0D84111488}"/>
              </c:ext>
            </c:extLst>
          </c:dPt>
          <c:dPt>
            <c:idx val="19"/>
            <c:invertIfNegative val="0"/>
            <c:bubble3D val="0"/>
            <c:spPr>
              <a:solidFill>
                <a:srgbClr val="00ABAB"/>
              </a:solidFill>
              <a:ln>
                <a:solidFill>
                  <a:srgbClr val="00ABAB"/>
                </a:solidFill>
              </a:ln>
              <a:effectLst/>
            </c:spPr>
            <c:extLst>
              <c:ext xmlns:c16="http://schemas.microsoft.com/office/drawing/2014/chart" uri="{C3380CC4-5D6E-409C-BE32-E72D297353CC}">
                <c16:uniqueId val="{0000001F-1E49-4F57-B5B0-DE0D84111488}"/>
              </c:ext>
            </c:extLst>
          </c:dPt>
          <c:dPt>
            <c:idx val="20"/>
            <c:invertIfNegative val="0"/>
            <c:bubble3D val="0"/>
            <c:spPr>
              <a:solidFill>
                <a:srgbClr val="00ABAB"/>
              </a:solidFill>
              <a:ln>
                <a:solidFill>
                  <a:srgbClr val="00ABAB"/>
                </a:solidFill>
              </a:ln>
              <a:effectLst/>
            </c:spPr>
            <c:extLst>
              <c:ext xmlns:c16="http://schemas.microsoft.com/office/drawing/2014/chart" uri="{C3380CC4-5D6E-409C-BE32-E72D297353CC}">
                <c16:uniqueId val="{00000021-1E49-4F57-B5B0-DE0D84111488}"/>
              </c:ext>
            </c:extLst>
          </c:dPt>
          <c:dPt>
            <c:idx val="21"/>
            <c:invertIfNegative val="0"/>
            <c:bubble3D val="0"/>
            <c:spPr>
              <a:solidFill>
                <a:srgbClr val="00ABAB"/>
              </a:solidFill>
              <a:ln>
                <a:solidFill>
                  <a:srgbClr val="00ABAB"/>
                </a:solidFill>
              </a:ln>
              <a:effectLst/>
            </c:spPr>
            <c:extLst>
              <c:ext xmlns:c16="http://schemas.microsoft.com/office/drawing/2014/chart" uri="{C3380CC4-5D6E-409C-BE32-E72D297353CC}">
                <c16:uniqueId val="{00000023-1E49-4F57-B5B0-DE0D84111488}"/>
              </c:ext>
            </c:extLst>
          </c:dPt>
          <c:dPt>
            <c:idx val="22"/>
            <c:invertIfNegative val="0"/>
            <c:bubble3D val="0"/>
            <c:spPr>
              <a:solidFill>
                <a:srgbClr val="00ABAB"/>
              </a:solidFill>
              <a:ln>
                <a:solidFill>
                  <a:srgbClr val="00ABAB"/>
                </a:solidFill>
              </a:ln>
              <a:effectLst/>
            </c:spPr>
            <c:extLst>
              <c:ext xmlns:c16="http://schemas.microsoft.com/office/drawing/2014/chart" uri="{C3380CC4-5D6E-409C-BE32-E72D297353CC}">
                <c16:uniqueId val="{00000025-1E49-4F57-B5B0-DE0D84111488}"/>
              </c:ext>
            </c:extLst>
          </c:dPt>
          <c:dPt>
            <c:idx val="23"/>
            <c:invertIfNegative val="0"/>
            <c:bubble3D val="0"/>
            <c:spPr>
              <a:solidFill>
                <a:srgbClr val="00ABAB"/>
              </a:solidFill>
              <a:ln>
                <a:solidFill>
                  <a:srgbClr val="00ABAB"/>
                </a:solidFill>
              </a:ln>
              <a:effectLst/>
            </c:spPr>
            <c:extLst>
              <c:ext xmlns:c16="http://schemas.microsoft.com/office/drawing/2014/chart" uri="{C3380CC4-5D6E-409C-BE32-E72D297353CC}">
                <c16:uniqueId val="{00000027-1E49-4F57-B5B0-DE0D84111488}"/>
              </c:ext>
            </c:extLst>
          </c:dPt>
          <c:dPt>
            <c:idx val="30"/>
            <c:invertIfNegative val="0"/>
            <c:bubble3D val="0"/>
            <c:spPr>
              <a:solidFill>
                <a:srgbClr val="00ABAB"/>
              </a:solidFill>
              <a:ln>
                <a:solidFill>
                  <a:srgbClr val="00ABAB"/>
                </a:solidFill>
              </a:ln>
              <a:effectLst/>
            </c:spPr>
            <c:extLst>
              <c:ext xmlns:c16="http://schemas.microsoft.com/office/drawing/2014/chart" uri="{C3380CC4-5D6E-409C-BE32-E72D297353CC}">
                <c16:uniqueId val="{00000029-1E49-4F57-B5B0-DE0D84111488}"/>
              </c:ext>
            </c:extLst>
          </c:dPt>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(2019)'!$L$67:$L$103</c:f>
              <c:numCache>
                <c:formatCode>"$"#,##0</c:formatCode>
                <c:ptCount val="37"/>
                <c:pt idx="0">
                  <c:v>12800.137565732812</c:v>
                </c:pt>
                <c:pt idx="1">
                  <c:v>13498.089368072004</c:v>
                </c:pt>
                <c:pt idx="2">
                  <c:v>13937.518190235203</c:v>
                </c:pt>
                <c:pt idx="3">
                  <c:v>13942.162894059597</c:v>
                </c:pt>
                <c:pt idx="4">
                  <c:v>13975.544589754289</c:v>
                </c:pt>
                <c:pt idx="5">
                  <c:v>14390.129907735683</c:v>
                </c:pt>
                <c:pt idx="6">
                  <c:v>0</c:v>
                </c:pt>
                <c:pt idx="7">
                  <c:v>15522.727369771852</c:v>
                </c:pt>
                <c:pt idx="8">
                  <c:v>15714.4763573128</c:v>
                </c:pt>
                <c:pt idx="9">
                  <c:v>15788.316245766502</c:v>
                </c:pt>
                <c:pt idx="10">
                  <c:v>16332.981732715003</c:v>
                </c:pt>
                <c:pt idx="11">
                  <c:v>16453.600350018707</c:v>
                </c:pt>
                <c:pt idx="12">
                  <c:v>16477.929895518817</c:v>
                </c:pt>
                <c:pt idx="13">
                  <c:v>16527.274113442341</c:v>
                </c:pt>
                <c:pt idx="14">
                  <c:v>16535.889393782443</c:v>
                </c:pt>
                <c:pt idx="15">
                  <c:v>16649.656556162485</c:v>
                </c:pt>
                <c:pt idx="16">
                  <c:v>16666.802322529078</c:v>
                </c:pt>
                <c:pt idx="17">
                  <c:v>0</c:v>
                </c:pt>
                <c:pt idx="18">
                  <c:v>17071.228018910242</c:v>
                </c:pt>
                <c:pt idx="19">
                  <c:v>17392.776110408591</c:v>
                </c:pt>
                <c:pt idx="20">
                  <c:v>17420.202880399724</c:v>
                </c:pt>
                <c:pt idx="21">
                  <c:v>18127.570947724933</c:v>
                </c:pt>
                <c:pt idx="22">
                  <c:v>18379.491551924624</c:v>
                </c:pt>
                <c:pt idx="23">
                  <c:v>18796.614079078965</c:v>
                </c:pt>
                <c:pt idx="24">
                  <c:v>19157.75598091376</c:v>
                </c:pt>
                <c:pt idx="25">
                  <c:v>19406.814848225087</c:v>
                </c:pt>
                <c:pt idx="26">
                  <c:v>19716.263716786059</c:v>
                </c:pt>
                <c:pt idx="27">
                  <c:v>0</c:v>
                </c:pt>
                <c:pt idx="28">
                  <c:v>19901.340960034147</c:v>
                </c:pt>
                <c:pt idx="29">
                  <c:v>0</c:v>
                </c:pt>
                <c:pt idx="30">
                  <c:v>20175.96961242858</c:v>
                </c:pt>
                <c:pt idx="31">
                  <c:v>0</c:v>
                </c:pt>
                <c:pt idx="32">
                  <c:v>0</c:v>
                </c:pt>
                <c:pt idx="33">
                  <c:v>0</c:v>
                </c:pt>
                <c:pt idx="34">
                  <c:v>21248.498845264519</c:v>
                </c:pt>
                <c:pt idx="35">
                  <c:v>0</c:v>
                </c:pt>
                <c:pt idx="36">
                  <c:v>0</c:v>
                </c:pt>
              </c:numCache>
            </c:numRef>
          </c:val>
          <c:extLst>
            <c:ext xmlns:c16="http://schemas.microsoft.com/office/drawing/2014/chart" uri="{C3380CC4-5D6E-409C-BE32-E72D297353CC}">
              <c16:uniqueId val="{0000002A-1E49-4F57-B5B0-DE0D84111488}"/>
            </c:ext>
          </c:extLst>
        </c:ser>
        <c:ser>
          <c:idx val="1"/>
          <c:order val="1"/>
          <c:tx>
            <c:strRef>
              <c:f>'4.4_data (2019)'!$M$66</c:f>
              <c:strCache>
                <c:ptCount val="1"/>
                <c:pt idx="0">
                  <c:v>Unable to identify costs at the unit of study level</c:v>
                </c:pt>
              </c:strCache>
            </c:strRef>
          </c:tx>
          <c:spPr>
            <a:solidFill>
              <a:srgbClr val="BFBFBF"/>
            </a:solidFill>
            <a:ln>
              <a:solidFill>
                <a:srgbClr val="BFBFBF"/>
              </a:solidFill>
            </a:ln>
          </c:spPr>
          <c:invertIfNegative val="0"/>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(2019)'!$M$67:$M$103</c:f>
              <c:numCache>
                <c:formatCode>"$"#,##0</c:formatCode>
                <c:ptCount val="37"/>
                <c:pt idx="0">
                  <c:v>0</c:v>
                </c:pt>
                <c:pt idx="1">
                  <c:v>0</c:v>
                </c:pt>
                <c:pt idx="2">
                  <c:v>0</c:v>
                </c:pt>
                <c:pt idx="3">
                  <c:v>0</c:v>
                </c:pt>
                <c:pt idx="4">
                  <c:v>0</c:v>
                </c:pt>
                <c:pt idx="5">
                  <c:v>0</c:v>
                </c:pt>
                <c:pt idx="6">
                  <c:v>15413.967073542313</c:v>
                </c:pt>
                <c:pt idx="7">
                  <c:v>0</c:v>
                </c:pt>
                <c:pt idx="8">
                  <c:v>0</c:v>
                </c:pt>
                <c:pt idx="9">
                  <c:v>0</c:v>
                </c:pt>
                <c:pt idx="10">
                  <c:v>0</c:v>
                </c:pt>
                <c:pt idx="11">
                  <c:v>0</c:v>
                </c:pt>
                <c:pt idx="12">
                  <c:v>0</c:v>
                </c:pt>
                <c:pt idx="13">
                  <c:v>0</c:v>
                </c:pt>
                <c:pt idx="14">
                  <c:v>0</c:v>
                </c:pt>
                <c:pt idx="15">
                  <c:v>0</c:v>
                </c:pt>
                <c:pt idx="16">
                  <c:v>0</c:v>
                </c:pt>
                <c:pt idx="17">
                  <c:v>16716.414695580064</c:v>
                </c:pt>
                <c:pt idx="18">
                  <c:v>0</c:v>
                </c:pt>
                <c:pt idx="19">
                  <c:v>0</c:v>
                </c:pt>
                <c:pt idx="20">
                  <c:v>0</c:v>
                </c:pt>
                <c:pt idx="21">
                  <c:v>0</c:v>
                </c:pt>
                <c:pt idx="22">
                  <c:v>0</c:v>
                </c:pt>
                <c:pt idx="23">
                  <c:v>0</c:v>
                </c:pt>
                <c:pt idx="24">
                  <c:v>0</c:v>
                </c:pt>
                <c:pt idx="25">
                  <c:v>0</c:v>
                </c:pt>
                <c:pt idx="26">
                  <c:v>0</c:v>
                </c:pt>
                <c:pt idx="27">
                  <c:v>19808.573078461737</c:v>
                </c:pt>
                <c:pt idx="28">
                  <c:v>0</c:v>
                </c:pt>
                <c:pt idx="29">
                  <c:v>20011.662092910607</c:v>
                </c:pt>
                <c:pt idx="30">
                  <c:v>0</c:v>
                </c:pt>
                <c:pt idx="31">
                  <c:v>20469.958037643548</c:v>
                </c:pt>
                <c:pt idx="32">
                  <c:v>20752.781513127811</c:v>
                </c:pt>
                <c:pt idx="33">
                  <c:v>20975.090621280771</c:v>
                </c:pt>
                <c:pt idx="34">
                  <c:v>0</c:v>
                </c:pt>
                <c:pt idx="35">
                  <c:v>22923.355429364568</c:v>
                </c:pt>
                <c:pt idx="36">
                  <c:v>24701.111017432726</c:v>
                </c:pt>
              </c:numCache>
            </c:numRef>
          </c:val>
          <c:extLst>
            <c:ext xmlns:c16="http://schemas.microsoft.com/office/drawing/2014/chart" uri="{C3380CC4-5D6E-409C-BE32-E72D297353CC}">
              <c16:uniqueId val="{0000002B-1E49-4F57-B5B0-DE0D84111488}"/>
            </c:ext>
          </c:extLst>
        </c:ser>
        <c:dLbls>
          <c:showLegendKey val="0"/>
          <c:showVal val="0"/>
          <c:showCatName val="0"/>
          <c:showSerName val="0"/>
          <c:showPercent val="0"/>
          <c:showBubbleSize val="0"/>
        </c:dLbls>
        <c:gapWidth val="125"/>
        <c:overlap val="100"/>
        <c:axId val="2000013888"/>
        <c:axId val="2000018048"/>
      </c:barChart>
      <c:catAx>
        <c:axId val="20000138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8048"/>
        <c:crosses val="autoZero"/>
        <c:auto val="1"/>
        <c:lblAlgn val="ctr"/>
        <c:lblOffset val="100"/>
        <c:noMultiLvlLbl val="0"/>
      </c:catAx>
      <c:valAx>
        <c:axId val="2000018048"/>
        <c:scaling>
          <c:orientation val="minMax"/>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3888"/>
        <c:crosses val="autoZero"/>
        <c:crossBetween val="between"/>
      </c:valAx>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solidFill>
                <a:srgbClr val="00ABAB"/>
              </a:solidFill>
            </a:ln>
            <a:effectLst/>
          </c:spPr>
          <c:invertIfNegative val="0"/>
          <c:dPt>
            <c:idx val="9"/>
            <c:invertIfNegative val="0"/>
            <c:bubble3D val="0"/>
            <c:spPr>
              <a:solidFill>
                <a:srgbClr val="00ABAB"/>
              </a:solidFill>
              <a:ln>
                <a:solidFill>
                  <a:srgbClr val="00ABAB"/>
                </a:solidFill>
              </a:ln>
              <a:effectLst/>
            </c:spPr>
            <c:extLst>
              <c:ext xmlns:c16="http://schemas.microsoft.com/office/drawing/2014/chart" uri="{C3380CC4-5D6E-409C-BE32-E72D297353CC}">
                <c16:uniqueId val="{00000001-FF58-4949-AE3C-64E57C396D24}"/>
              </c:ext>
            </c:extLst>
          </c:dPt>
          <c:dPt>
            <c:idx val="10"/>
            <c:invertIfNegative val="0"/>
            <c:bubble3D val="0"/>
            <c:spPr>
              <a:solidFill>
                <a:srgbClr val="BFBFBF"/>
              </a:solidFill>
              <a:ln>
                <a:solidFill>
                  <a:srgbClr val="BFBFBF"/>
                </a:solidFill>
              </a:ln>
              <a:effectLst/>
            </c:spPr>
            <c:extLst>
              <c:ext xmlns:c16="http://schemas.microsoft.com/office/drawing/2014/chart" uri="{C3380CC4-5D6E-409C-BE32-E72D297353CC}">
                <c16:uniqueId val="{00000003-FF58-4949-AE3C-64E57C396D24}"/>
              </c:ext>
            </c:extLst>
          </c:dPt>
          <c:dPt>
            <c:idx val="11"/>
            <c:invertIfNegative val="0"/>
            <c:bubble3D val="0"/>
            <c:spPr>
              <a:solidFill>
                <a:srgbClr val="00ABAB"/>
              </a:solidFill>
              <a:ln>
                <a:solidFill>
                  <a:srgbClr val="00ABAB"/>
                </a:solidFill>
              </a:ln>
              <a:effectLst/>
            </c:spPr>
            <c:extLst>
              <c:ext xmlns:c16="http://schemas.microsoft.com/office/drawing/2014/chart" uri="{C3380CC4-5D6E-409C-BE32-E72D297353CC}">
                <c16:uniqueId val="{00000005-FF58-4949-AE3C-64E57C396D24}"/>
              </c:ext>
            </c:extLst>
          </c:dPt>
          <c:dPt>
            <c:idx val="12"/>
            <c:invertIfNegative val="0"/>
            <c:bubble3D val="0"/>
            <c:spPr>
              <a:solidFill>
                <a:srgbClr val="00ABAB"/>
              </a:solidFill>
              <a:ln>
                <a:solidFill>
                  <a:srgbClr val="00ABAB"/>
                </a:solidFill>
              </a:ln>
              <a:effectLst/>
            </c:spPr>
            <c:extLst>
              <c:ext xmlns:c16="http://schemas.microsoft.com/office/drawing/2014/chart" uri="{C3380CC4-5D6E-409C-BE32-E72D297353CC}">
                <c16:uniqueId val="{00000007-FF58-4949-AE3C-64E57C396D24}"/>
              </c:ext>
            </c:extLst>
          </c:dPt>
          <c:dPt>
            <c:idx val="13"/>
            <c:invertIfNegative val="0"/>
            <c:bubble3D val="0"/>
            <c:spPr>
              <a:solidFill>
                <a:srgbClr val="00ABAB"/>
              </a:solidFill>
              <a:ln>
                <a:solidFill>
                  <a:srgbClr val="00ABAB"/>
                </a:solidFill>
              </a:ln>
              <a:effectLst/>
            </c:spPr>
            <c:extLst>
              <c:ext xmlns:c16="http://schemas.microsoft.com/office/drawing/2014/chart" uri="{C3380CC4-5D6E-409C-BE32-E72D297353CC}">
                <c16:uniqueId val="{00000009-FF58-4949-AE3C-64E57C396D24}"/>
              </c:ext>
            </c:extLst>
          </c:dPt>
          <c:cat>
            <c:strRef>
              <c:f>'Comp to Prev_All FOEs (18-20)'!$EQ$27:$FL$27</c:f>
              <c:strCache>
                <c:ptCount val="22"/>
                <c:pt idx="0">
                  <c:v>Environment</c:v>
                </c:pt>
                <c:pt idx="1">
                  <c:v>MedicalStudies</c:v>
                </c:pt>
                <c:pt idx="2">
                  <c:v>Veterinary</c:v>
                </c:pt>
                <c:pt idx="3">
                  <c:v>MixedField</c:v>
                </c:pt>
                <c:pt idx="4">
                  <c:v>OthNat-PhysSci</c:v>
                </c:pt>
                <c:pt idx="5">
                  <c:v>Education</c:v>
                </c:pt>
                <c:pt idx="6">
                  <c:v>Psych</c:v>
                </c:pt>
                <c:pt idx="7">
                  <c:v>OthAg&amp;Enviro</c:v>
                </c:pt>
                <c:pt idx="8">
                  <c:v>MathSci</c:v>
                </c:pt>
                <c:pt idx="9">
                  <c:v>Dental</c:v>
                </c:pt>
                <c:pt idx="10">
                  <c:v>Total</c:v>
                </c:pt>
                <c:pt idx="11">
                  <c:v>InfoTech</c:v>
                </c:pt>
                <c:pt idx="12">
                  <c:v>OthHealth</c:v>
                </c:pt>
                <c:pt idx="13">
                  <c:v>OtherSoc&amp;Cult</c:v>
                </c:pt>
                <c:pt idx="14">
                  <c:v>MedicalSci</c:v>
                </c:pt>
                <c:pt idx="15">
                  <c:v>Comms&amp;Media</c:v>
                </c:pt>
                <c:pt idx="16">
                  <c:v>Eng&amp;Related</c:v>
                </c:pt>
                <c:pt idx="17">
                  <c:v>Archi&amp;Build</c:v>
                </c:pt>
                <c:pt idx="18">
                  <c:v>Nursing</c:v>
                </c:pt>
                <c:pt idx="19">
                  <c:v>ForeignLang</c:v>
                </c:pt>
                <c:pt idx="20">
                  <c:v>Mgmt&amp;Comm</c:v>
                </c:pt>
                <c:pt idx="21">
                  <c:v>OthCreative</c:v>
                </c:pt>
              </c:strCache>
              <c:extLst/>
            </c:strRef>
          </c:cat>
          <c:val>
            <c:numRef>
              <c:f>'Comp to Prev_All FOEs (18-20)'!$EQ$28:$FL$28</c:f>
              <c:numCache>
                <c:formatCode>0%</c:formatCode>
                <c:ptCount val="22"/>
                <c:pt idx="0" formatCode="0.0%">
                  <c:v>-4.3926088516630157E-2</c:v>
                </c:pt>
                <c:pt idx="1">
                  <c:v>-3.9583471769570888E-2</c:v>
                </c:pt>
                <c:pt idx="2">
                  <c:v>-3.4869536527852962E-2</c:v>
                </c:pt>
                <c:pt idx="3">
                  <c:v>-2.6669562642290479E-2</c:v>
                </c:pt>
                <c:pt idx="4" formatCode="0.0%">
                  <c:v>-1.4106923827569395E-2</c:v>
                </c:pt>
                <c:pt idx="5" formatCode="0.0%">
                  <c:v>-7.4930355599593934E-3</c:v>
                </c:pt>
                <c:pt idx="6" formatCode="0.0%">
                  <c:v>-4.5785312681382306E-3</c:v>
                </c:pt>
                <c:pt idx="7" formatCode="0.0%">
                  <c:v>-4.2514835556146657E-3</c:v>
                </c:pt>
                <c:pt idx="8" formatCode="0.0%">
                  <c:v>2.3575395273063293E-3</c:v>
                </c:pt>
                <c:pt idx="9" formatCode="0.0%">
                  <c:v>5.8151729908695327E-3</c:v>
                </c:pt>
                <c:pt idx="10" formatCode="0.0%">
                  <c:v>6.3670077390818314E-3</c:v>
                </c:pt>
                <c:pt idx="11" formatCode="0.0%">
                  <c:v>7.5078662127829876E-3</c:v>
                </c:pt>
                <c:pt idx="12" formatCode="0.0%">
                  <c:v>8.8003464552350863E-3</c:v>
                </c:pt>
                <c:pt idx="13" formatCode="0.0%">
                  <c:v>1.1303395442973985E-2</c:v>
                </c:pt>
                <c:pt idx="14" formatCode="0.0%">
                  <c:v>1.1921568460699028E-2</c:v>
                </c:pt>
                <c:pt idx="15" formatCode="0.0%">
                  <c:v>1.339364638943219E-2</c:v>
                </c:pt>
                <c:pt idx="16" formatCode="0.0%">
                  <c:v>1.5957520738786091E-2</c:v>
                </c:pt>
                <c:pt idx="17" formatCode="0.00%">
                  <c:v>1.6215445938606354E-2</c:v>
                </c:pt>
                <c:pt idx="18" formatCode="0.00%">
                  <c:v>1.769822780976571E-2</c:v>
                </c:pt>
                <c:pt idx="19" formatCode="0.00%">
                  <c:v>2.2344557002174747E-2</c:v>
                </c:pt>
                <c:pt idx="20" formatCode="0.00%">
                  <c:v>2.2575901173487845E-2</c:v>
                </c:pt>
                <c:pt idx="21">
                  <c:v>2.5847650727921501E-2</c:v>
                </c:pt>
              </c:numCache>
              <c:extLst/>
            </c:numRef>
          </c:val>
          <c:extLst>
            <c:ext xmlns:c16="http://schemas.microsoft.com/office/drawing/2014/chart" uri="{C3380CC4-5D6E-409C-BE32-E72D297353CC}">
              <c16:uniqueId val="{0000000A-FF58-4949-AE3C-64E57C396D24}"/>
            </c:ext>
          </c:extLst>
        </c:ser>
        <c:dLbls>
          <c:showLegendKey val="0"/>
          <c:showVal val="0"/>
          <c:showCatName val="0"/>
          <c:showSerName val="0"/>
          <c:showPercent val="0"/>
          <c:showBubbleSize val="0"/>
        </c:dLbls>
        <c:gapWidth val="100"/>
        <c:axId val="915693023"/>
        <c:axId val="915691775"/>
      </c:barChart>
      <c:catAx>
        <c:axId val="9156930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1775"/>
        <c:crosses val="autoZero"/>
        <c:auto val="1"/>
        <c:lblAlgn val="ctr"/>
        <c:lblOffset val="100"/>
        <c:noMultiLvlLbl val="0"/>
      </c:catAx>
      <c:valAx>
        <c:axId val="91569177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3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7698924613589968"/>
        </c:manualLayout>
      </c:layout>
      <c:barChart>
        <c:barDir val="col"/>
        <c:grouping val="clustered"/>
        <c:varyColors val="0"/>
        <c:ser>
          <c:idx val="0"/>
          <c:order val="0"/>
          <c:tx>
            <c:strRef>
              <c:f>'4.4_data (2020)'!$L$75</c:f>
              <c:strCache>
                <c:ptCount val="1"/>
                <c:pt idx="0">
                  <c:v>Able to identify costs at the unit of study level</c:v>
                </c:pt>
              </c:strCache>
            </c:strRef>
          </c:tx>
          <c:spPr>
            <a:solidFill>
              <a:srgbClr val="00ABAB"/>
            </a:solidFill>
            <a:ln>
              <a:noFill/>
            </a:ln>
            <a:effectLst/>
          </c:spPr>
          <c:invertIfNegative val="0"/>
          <c:dPt>
            <c:idx val="1"/>
            <c:invertIfNegative val="0"/>
            <c:bubble3D val="0"/>
            <c:extLst>
              <c:ext xmlns:c16="http://schemas.microsoft.com/office/drawing/2014/chart" uri="{C3380CC4-5D6E-409C-BE32-E72D297353CC}">
                <c16:uniqueId val="{00000000-DDF4-4D8D-89EF-124B0825CE78}"/>
              </c:ext>
            </c:extLst>
          </c:dPt>
          <c:dPt>
            <c:idx val="2"/>
            <c:invertIfNegative val="0"/>
            <c:bubble3D val="0"/>
            <c:extLst>
              <c:ext xmlns:c16="http://schemas.microsoft.com/office/drawing/2014/chart" uri="{C3380CC4-5D6E-409C-BE32-E72D297353CC}">
                <c16:uniqueId val="{00000001-DDF4-4D8D-89EF-124B0825CE78}"/>
              </c:ext>
            </c:extLst>
          </c:dPt>
          <c:dPt>
            <c:idx val="3"/>
            <c:invertIfNegative val="0"/>
            <c:bubble3D val="0"/>
            <c:extLst>
              <c:ext xmlns:c16="http://schemas.microsoft.com/office/drawing/2014/chart" uri="{C3380CC4-5D6E-409C-BE32-E72D297353CC}">
                <c16:uniqueId val="{00000002-DDF4-4D8D-89EF-124B0825CE78}"/>
              </c:ext>
            </c:extLst>
          </c:dPt>
          <c:dPt>
            <c:idx val="4"/>
            <c:invertIfNegative val="0"/>
            <c:bubble3D val="0"/>
            <c:extLst>
              <c:ext xmlns:c16="http://schemas.microsoft.com/office/drawing/2014/chart" uri="{C3380CC4-5D6E-409C-BE32-E72D297353CC}">
                <c16:uniqueId val="{00000003-DDF4-4D8D-89EF-124B0825CE78}"/>
              </c:ext>
            </c:extLst>
          </c:dPt>
          <c:dPt>
            <c:idx val="5"/>
            <c:invertIfNegative val="0"/>
            <c:bubble3D val="0"/>
            <c:extLst>
              <c:ext xmlns:c16="http://schemas.microsoft.com/office/drawing/2014/chart" uri="{C3380CC4-5D6E-409C-BE32-E72D297353CC}">
                <c16:uniqueId val="{00000004-DDF4-4D8D-89EF-124B0825CE78}"/>
              </c:ext>
            </c:extLst>
          </c:dPt>
          <c:dPt>
            <c:idx val="6"/>
            <c:invertIfNegative val="0"/>
            <c:bubble3D val="0"/>
            <c:extLst>
              <c:ext xmlns:c16="http://schemas.microsoft.com/office/drawing/2014/chart" uri="{C3380CC4-5D6E-409C-BE32-E72D297353CC}">
                <c16:uniqueId val="{00000005-DDF4-4D8D-89EF-124B0825CE78}"/>
              </c:ext>
            </c:extLst>
          </c:dPt>
          <c:dPt>
            <c:idx val="7"/>
            <c:invertIfNegative val="0"/>
            <c:bubble3D val="0"/>
            <c:extLst>
              <c:ext xmlns:c16="http://schemas.microsoft.com/office/drawing/2014/chart" uri="{C3380CC4-5D6E-409C-BE32-E72D297353CC}">
                <c16:uniqueId val="{00000006-DDF4-4D8D-89EF-124B0825CE78}"/>
              </c:ext>
            </c:extLst>
          </c:dPt>
          <c:dPt>
            <c:idx val="8"/>
            <c:invertIfNegative val="0"/>
            <c:bubble3D val="0"/>
            <c:extLst>
              <c:ext xmlns:c16="http://schemas.microsoft.com/office/drawing/2014/chart" uri="{C3380CC4-5D6E-409C-BE32-E72D297353CC}">
                <c16:uniqueId val="{00000007-DDF4-4D8D-89EF-124B0825CE78}"/>
              </c:ext>
            </c:extLst>
          </c:dPt>
          <c:dPt>
            <c:idx val="10"/>
            <c:invertIfNegative val="0"/>
            <c:bubble3D val="0"/>
            <c:extLst>
              <c:ext xmlns:c16="http://schemas.microsoft.com/office/drawing/2014/chart" uri="{C3380CC4-5D6E-409C-BE32-E72D297353CC}">
                <c16:uniqueId val="{00000008-DDF4-4D8D-89EF-124B0825CE78}"/>
              </c:ext>
            </c:extLst>
          </c:dPt>
          <c:dPt>
            <c:idx val="12"/>
            <c:invertIfNegative val="0"/>
            <c:bubble3D val="0"/>
            <c:extLst>
              <c:ext xmlns:c16="http://schemas.microsoft.com/office/drawing/2014/chart" uri="{C3380CC4-5D6E-409C-BE32-E72D297353CC}">
                <c16:uniqueId val="{00000009-DDF4-4D8D-89EF-124B0825CE78}"/>
              </c:ext>
            </c:extLst>
          </c:dPt>
          <c:dPt>
            <c:idx val="13"/>
            <c:invertIfNegative val="0"/>
            <c:bubble3D val="0"/>
            <c:extLst>
              <c:ext xmlns:c16="http://schemas.microsoft.com/office/drawing/2014/chart" uri="{C3380CC4-5D6E-409C-BE32-E72D297353CC}">
                <c16:uniqueId val="{0000000A-DDF4-4D8D-89EF-124B0825CE78}"/>
              </c:ext>
            </c:extLst>
          </c:dPt>
          <c:dPt>
            <c:idx val="14"/>
            <c:invertIfNegative val="0"/>
            <c:bubble3D val="0"/>
            <c:extLst>
              <c:ext xmlns:c16="http://schemas.microsoft.com/office/drawing/2014/chart" uri="{C3380CC4-5D6E-409C-BE32-E72D297353CC}">
                <c16:uniqueId val="{0000000B-DDF4-4D8D-89EF-124B0825CE78}"/>
              </c:ext>
            </c:extLst>
          </c:dPt>
          <c:dPt>
            <c:idx val="16"/>
            <c:invertIfNegative val="0"/>
            <c:bubble3D val="0"/>
            <c:extLst>
              <c:ext xmlns:c16="http://schemas.microsoft.com/office/drawing/2014/chart" uri="{C3380CC4-5D6E-409C-BE32-E72D297353CC}">
                <c16:uniqueId val="{0000000C-DDF4-4D8D-89EF-124B0825CE78}"/>
              </c:ext>
            </c:extLst>
          </c:dPt>
          <c:dPt>
            <c:idx val="17"/>
            <c:invertIfNegative val="0"/>
            <c:bubble3D val="0"/>
            <c:extLst>
              <c:ext xmlns:c16="http://schemas.microsoft.com/office/drawing/2014/chart" uri="{C3380CC4-5D6E-409C-BE32-E72D297353CC}">
                <c16:uniqueId val="{0000000D-DDF4-4D8D-89EF-124B0825CE78}"/>
              </c:ext>
            </c:extLst>
          </c:dPt>
          <c:dPt>
            <c:idx val="18"/>
            <c:invertIfNegative val="0"/>
            <c:bubble3D val="0"/>
            <c:extLst>
              <c:ext xmlns:c16="http://schemas.microsoft.com/office/drawing/2014/chart" uri="{C3380CC4-5D6E-409C-BE32-E72D297353CC}">
                <c16:uniqueId val="{0000000E-DDF4-4D8D-89EF-124B0825CE78}"/>
              </c:ext>
            </c:extLst>
          </c:dPt>
          <c:dPt>
            <c:idx val="19"/>
            <c:invertIfNegative val="0"/>
            <c:bubble3D val="0"/>
            <c:extLst>
              <c:ext xmlns:c16="http://schemas.microsoft.com/office/drawing/2014/chart" uri="{C3380CC4-5D6E-409C-BE32-E72D297353CC}">
                <c16:uniqueId val="{0000000F-DDF4-4D8D-89EF-124B0825CE78}"/>
              </c:ext>
            </c:extLst>
          </c:dPt>
          <c:dPt>
            <c:idx val="20"/>
            <c:invertIfNegative val="0"/>
            <c:bubble3D val="0"/>
            <c:extLst>
              <c:ext xmlns:c16="http://schemas.microsoft.com/office/drawing/2014/chart" uri="{C3380CC4-5D6E-409C-BE32-E72D297353CC}">
                <c16:uniqueId val="{00000010-DDF4-4D8D-89EF-124B0825CE78}"/>
              </c:ext>
            </c:extLst>
          </c:dPt>
          <c:dPt>
            <c:idx val="21"/>
            <c:invertIfNegative val="0"/>
            <c:bubble3D val="0"/>
            <c:extLst>
              <c:ext xmlns:c16="http://schemas.microsoft.com/office/drawing/2014/chart" uri="{C3380CC4-5D6E-409C-BE32-E72D297353CC}">
                <c16:uniqueId val="{00000011-DDF4-4D8D-89EF-124B0825CE78}"/>
              </c:ext>
            </c:extLst>
          </c:dPt>
          <c:dPt>
            <c:idx val="22"/>
            <c:invertIfNegative val="0"/>
            <c:bubble3D val="0"/>
            <c:extLst>
              <c:ext xmlns:c16="http://schemas.microsoft.com/office/drawing/2014/chart" uri="{C3380CC4-5D6E-409C-BE32-E72D297353CC}">
                <c16:uniqueId val="{00000012-DDF4-4D8D-89EF-124B0825CE78}"/>
              </c:ext>
            </c:extLst>
          </c:dPt>
          <c:dPt>
            <c:idx val="23"/>
            <c:invertIfNegative val="0"/>
            <c:bubble3D val="0"/>
            <c:extLst>
              <c:ext xmlns:c16="http://schemas.microsoft.com/office/drawing/2014/chart" uri="{C3380CC4-5D6E-409C-BE32-E72D297353CC}">
                <c16:uniqueId val="{00000013-DDF4-4D8D-89EF-124B0825CE78}"/>
              </c:ext>
            </c:extLst>
          </c:dPt>
          <c:dPt>
            <c:idx val="30"/>
            <c:invertIfNegative val="0"/>
            <c:bubble3D val="0"/>
            <c:extLst>
              <c:ext xmlns:c16="http://schemas.microsoft.com/office/drawing/2014/chart" uri="{C3380CC4-5D6E-409C-BE32-E72D297353CC}">
                <c16:uniqueId val="{00000014-DDF4-4D8D-89EF-124B0825CE78}"/>
              </c:ext>
            </c:extLst>
          </c:dPt>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(2020)'!$L$76:$L$112</c:f>
              <c:numCache>
                <c:formatCode>"$"#,##0</c:formatCode>
                <c:ptCount val="37"/>
                <c:pt idx="0">
                  <c:v>13383.603960028391</c:v>
                </c:pt>
                <c:pt idx="1">
                  <c:v>0</c:v>
                </c:pt>
                <c:pt idx="2">
                  <c:v>15775.763223569793</c:v>
                </c:pt>
                <c:pt idx="3">
                  <c:v>16165.351237995539</c:v>
                </c:pt>
                <c:pt idx="4">
                  <c:v>16410.080324582923</c:v>
                </c:pt>
                <c:pt idx="5">
                  <c:v>16903.069355178792</c:v>
                </c:pt>
                <c:pt idx="6">
                  <c:v>0</c:v>
                </c:pt>
                <c:pt idx="7">
                  <c:v>0</c:v>
                </c:pt>
                <c:pt idx="8">
                  <c:v>0</c:v>
                </c:pt>
                <c:pt idx="9">
                  <c:v>18053.14207197322</c:v>
                </c:pt>
                <c:pt idx="10">
                  <c:v>18095.50101299677</c:v>
                </c:pt>
                <c:pt idx="11">
                  <c:v>18812.47288699861</c:v>
                </c:pt>
                <c:pt idx="12">
                  <c:v>18928.163613723576</c:v>
                </c:pt>
                <c:pt idx="13">
                  <c:v>18962.917180593424</c:v>
                </c:pt>
                <c:pt idx="14">
                  <c:v>19113.708502521338</c:v>
                </c:pt>
                <c:pt idx="15">
                  <c:v>19205.298845029767</c:v>
                </c:pt>
                <c:pt idx="16">
                  <c:v>19573.085882758809</c:v>
                </c:pt>
                <c:pt idx="17">
                  <c:v>19793.409521765814</c:v>
                </c:pt>
                <c:pt idx="18">
                  <c:v>0</c:v>
                </c:pt>
                <c:pt idx="19">
                  <c:v>20434.764820655706</c:v>
                </c:pt>
                <c:pt idx="20">
                  <c:v>20534.416822678671</c:v>
                </c:pt>
                <c:pt idx="21">
                  <c:v>20594.912872935151</c:v>
                </c:pt>
                <c:pt idx="22">
                  <c:v>21150.534037105288</c:v>
                </c:pt>
                <c:pt idx="23">
                  <c:v>21856.593289371693</c:v>
                </c:pt>
                <c:pt idx="24">
                  <c:v>0</c:v>
                </c:pt>
                <c:pt idx="25">
                  <c:v>22500.369571413961</c:v>
                </c:pt>
                <c:pt idx="26">
                  <c:v>22611.315048279997</c:v>
                </c:pt>
                <c:pt idx="27">
                  <c:v>23183.094245070875</c:v>
                </c:pt>
                <c:pt idx="28">
                  <c:v>0</c:v>
                </c:pt>
                <c:pt idx="29">
                  <c:v>24079.527678089424</c:v>
                </c:pt>
                <c:pt idx="30">
                  <c:v>24337.415767908649</c:v>
                </c:pt>
                <c:pt idx="31">
                  <c:v>0</c:v>
                </c:pt>
                <c:pt idx="32">
                  <c:v>24518.640175295994</c:v>
                </c:pt>
                <c:pt idx="33">
                  <c:v>0</c:v>
                </c:pt>
                <c:pt idx="34">
                  <c:v>25190.657411485608</c:v>
                </c:pt>
                <c:pt idx="35">
                  <c:v>26326.632537360449</c:v>
                </c:pt>
                <c:pt idx="36">
                  <c:v>26446.925329793568</c:v>
                </c:pt>
              </c:numCache>
            </c:numRef>
          </c:val>
          <c:extLst>
            <c:ext xmlns:c16="http://schemas.microsoft.com/office/drawing/2014/chart" uri="{C3380CC4-5D6E-409C-BE32-E72D297353CC}">
              <c16:uniqueId val="{00000015-DDF4-4D8D-89EF-124B0825CE78}"/>
            </c:ext>
          </c:extLst>
        </c:ser>
        <c:ser>
          <c:idx val="1"/>
          <c:order val="1"/>
          <c:tx>
            <c:strRef>
              <c:f>'4.4_data (2020)'!$M$75</c:f>
              <c:strCache>
                <c:ptCount val="1"/>
                <c:pt idx="0">
                  <c:v>Unable to identify costs at the unit of study level</c:v>
                </c:pt>
              </c:strCache>
            </c:strRef>
          </c:tx>
          <c:spPr>
            <a:solidFill>
              <a:schemeClr val="bg1">
                <a:lumMod val="75000"/>
              </a:schemeClr>
            </a:solidFill>
            <a:ln>
              <a:noFill/>
            </a:ln>
          </c:spPr>
          <c:invertIfNegative val="0"/>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(2020)'!$M$76:$M$112</c:f>
              <c:numCache>
                <c:formatCode>"$"#,##0</c:formatCode>
                <c:ptCount val="37"/>
                <c:pt idx="0">
                  <c:v>0</c:v>
                </c:pt>
                <c:pt idx="1">
                  <c:v>15583.619899543904</c:v>
                </c:pt>
                <c:pt idx="2">
                  <c:v>0</c:v>
                </c:pt>
                <c:pt idx="3">
                  <c:v>0</c:v>
                </c:pt>
                <c:pt idx="4">
                  <c:v>0</c:v>
                </c:pt>
                <c:pt idx="5">
                  <c:v>0</c:v>
                </c:pt>
                <c:pt idx="6">
                  <c:v>16948.92601922531</c:v>
                </c:pt>
                <c:pt idx="7">
                  <c:v>17282.782132213735</c:v>
                </c:pt>
                <c:pt idx="8">
                  <c:v>17707.715947098804</c:v>
                </c:pt>
                <c:pt idx="9">
                  <c:v>0</c:v>
                </c:pt>
                <c:pt idx="10">
                  <c:v>0</c:v>
                </c:pt>
                <c:pt idx="11">
                  <c:v>0</c:v>
                </c:pt>
                <c:pt idx="12">
                  <c:v>0</c:v>
                </c:pt>
                <c:pt idx="13">
                  <c:v>0</c:v>
                </c:pt>
                <c:pt idx="14">
                  <c:v>0</c:v>
                </c:pt>
                <c:pt idx="15">
                  <c:v>0</c:v>
                </c:pt>
                <c:pt idx="16">
                  <c:v>0</c:v>
                </c:pt>
                <c:pt idx="17">
                  <c:v>0</c:v>
                </c:pt>
                <c:pt idx="18">
                  <c:v>19947.277032328919</c:v>
                </c:pt>
                <c:pt idx="19">
                  <c:v>0</c:v>
                </c:pt>
                <c:pt idx="20">
                  <c:v>0</c:v>
                </c:pt>
                <c:pt idx="21">
                  <c:v>0</c:v>
                </c:pt>
                <c:pt idx="22">
                  <c:v>0</c:v>
                </c:pt>
                <c:pt idx="23">
                  <c:v>0</c:v>
                </c:pt>
                <c:pt idx="24">
                  <c:v>22247.454281650007</c:v>
                </c:pt>
                <c:pt idx="25">
                  <c:v>0</c:v>
                </c:pt>
                <c:pt idx="26">
                  <c:v>0</c:v>
                </c:pt>
                <c:pt idx="27">
                  <c:v>0</c:v>
                </c:pt>
                <c:pt idx="28">
                  <c:v>23498.150546304994</c:v>
                </c:pt>
                <c:pt idx="29">
                  <c:v>0</c:v>
                </c:pt>
                <c:pt idx="30">
                  <c:v>0</c:v>
                </c:pt>
                <c:pt idx="31">
                  <c:v>24458.514086417021</c:v>
                </c:pt>
                <c:pt idx="32">
                  <c:v>0</c:v>
                </c:pt>
                <c:pt idx="33">
                  <c:v>24792.995883196912</c:v>
                </c:pt>
                <c:pt idx="34">
                  <c:v>0</c:v>
                </c:pt>
                <c:pt idx="35">
                  <c:v>0</c:v>
                </c:pt>
                <c:pt idx="36">
                  <c:v>0</c:v>
                </c:pt>
              </c:numCache>
            </c:numRef>
          </c:val>
          <c:extLst>
            <c:ext xmlns:c16="http://schemas.microsoft.com/office/drawing/2014/chart" uri="{C3380CC4-5D6E-409C-BE32-E72D297353CC}">
              <c16:uniqueId val="{00000016-DDF4-4D8D-89EF-124B0825CE78}"/>
            </c:ext>
          </c:extLst>
        </c:ser>
        <c:dLbls>
          <c:showLegendKey val="0"/>
          <c:showVal val="0"/>
          <c:showCatName val="0"/>
          <c:showSerName val="0"/>
          <c:showPercent val="0"/>
          <c:showBubbleSize val="0"/>
        </c:dLbls>
        <c:gapWidth val="125"/>
        <c:overlap val="100"/>
        <c:axId val="2000013888"/>
        <c:axId val="2000018048"/>
      </c:barChart>
      <c:catAx>
        <c:axId val="20000138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8048"/>
        <c:crosses val="autoZero"/>
        <c:auto val="1"/>
        <c:lblAlgn val="ctr"/>
        <c:lblOffset val="100"/>
        <c:noMultiLvlLbl val="0"/>
      </c:catAx>
      <c:valAx>
        <c:axId val="2000018048"/>
        <c:scaling>
          <c:orientation val="minMax"/>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3888"/>
        <c:crosses val="autoZero"/>
        <c:crossBetween val="between"/>
      </c:valAx>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7698924613589968"/>
        </c:manualLayout>
      </c:layout>
      <c:barChart>
        <c:barDir val="col"/>
        <c:grouping val="clustered"/>
        <c:varyColors val="0"/>
        <c:ser>
          <c:idx val="0"/>
          <c:order val="0"/>
          <c:tx>
            <c:strRef>
              <c:f>'4.4_data (2019)'!$L$66</c:f>
              <c:strCache>
                <c:ptCount val="1"/>
                <c:pt idx="0">
                  <c:v>Able to identify costs at the unit of study level</c:v>
                </c:pt>
              </c:strCache>
            </c:strRef>
          </c:tx>
          <c:spPr>
            <a:solidFill>
              <a:srgbClr val="00ABAB"/>
            </a:solidFill>
            <a:ln>
              <a:solidFill>
                <a:srgbClr val="00ABAB"/>
              </a:solidFill>
            </a:ln>
            <a:effectLst/>
          </c:spPr>
          <c:invertIfNegative val="0"/>
          <c:dPt>
            <c:idx val="1"/>
            <c:invertIfNegative val="0"/>
            <c:bubble3D val="0"/>
            <c:spPr>
              <a:solidFill>
                <a:srgbClr val="00ABAB"/>
              </a:solidFill>
              <a:ln>
                <a:solidFill>
                  <a:srgbClr val="00ABAB"/>
                </a:solidFill>
              </a:ln>
              <a:effectLst/>
            </c:spPr>
            <c:extLst>
              <c:ext xmlns:c16="http://schemas.microsoft.com/office/drawing/2014/chart" uri="{C3380CC4-5D6E-409C-BE32-E72D297353CC}">
                <c16:uniqueId val="{00000001-A5CA-4560-8E15-4175C8A687ED}"/>
              </c:ext>
            </c:extLst>
          </c:dPt>
          <c:dPt>
            <c:idx val="2"/>
            <c:invertIfNegative val="0"/>
            <c:bubble3D val="0"/>
            <c:spPr>
              <a:solidFill>
                <a:srgbClr val="00ABAB"/>
              </a:solidFill>
              <a:ln>
                <a:solidFill>
                  <a:srgbClr val="00ABAB"/>
                </a:solidFill>
              </a:ln>
              <a:effectLst/>
            </c:spPr>
            <c:extLst>
              <c:ext xmlns:c16="http://schemas.microsoft.com/office/drawing/2014/chart" uri="{C3380CC4-5D6E-409C-BE32-E72D297353CC}">
                <c16:uniqueId val="{00000003-A5CA-4560-8E15-4175C8A687ED}"/>
              </c:ext>
            </c:extLst>
          </c:dPt>
          <c:dPt>
            <c:idx val="3"/>
            <c:invertIfNegative val="0"/>
            <c:bubble3D val="0"/>
            <c:spPr>
              <a:solidFill>
                <a:srgbClr val="00ABAB"/>
              </a:solidFill>
              <a:ln>
                <a:solidFill>
                  <a:srgbClr val="00ABAB"/>
                </a:solidFill>
              </a:ln>
              <a:effectLst/>
            </c:spPr>
            <c:extLst>
              <c:ext xmlns:c16="http://schemas.microsoft.com/office/drawing/2014/chart" uri="{C3380CC4-5D6E-409C-BE32-E72D297353CC}">
                <c16:uniqueId val="{00000005-A5CA-4560-8E15-4175C8A687ED}"/>
              </c:ext>
            </c:extLst>
          </c:dPt>
          <c:dPt>
            <c:idx val="4"/>
            <c:invertIfNegative val="0"/>
            <c:bubble3D val="0"/>
            <c:spPr>
              <a:solidFill>
                <a:srgbClr val="00ABAB"/>
              </a:solidFill>
              <a:ln>
                <a:solidFill>
                  <a:srgbClr val="00ABAB"/>
                </a:solidFill>
              </a:ln>
              <a:effectLst/>
            </c:spPr>
            <c:extLst>
              <c:ext xmlns:c16="http://schemas.microsoft.com/office/drawing/2014/chart" uri="{C3380CC4-5D6E-409C-BE32-E72D297353CC}">
                <c16:uniqueId val="{00000007-A5CA-4560-8E15-4175C8A687ED}"/>
              </c:ext>
            </c:extLst>
          </c:dPt>
          <c:dPt>
            <c:idx val="5"/>
            <c:invertIfNegative val="0"/>
            <c:bubble3D val="0"/>
            <c:spPr>
              <a:solidFill>
                <a:srgbClr val="00ABAB"/>
              </a:solidFill>
              <a:ln>
                <a:solidFill>
                  <a:srgbClr val="00ABAB"/>
                </a:solidFill>
              </a:ln>
              <a:effectLst/>
            </c:spPr>
            <c:extLst>
              <c:ext xmlns:c16="http://schemas.microsoft.com/office/drawing/2014/chart" uri="{C3380CC4-5D6E-409C-BE32-E72D297353CC}">
                <c16:uniqueId val="{00000009-A5CA-4560-8E15-4175C8A687ED}"/>
              </c:ext>
            </c:extLst>
          </c:dPt>
          <c:dPt>
            <c:idx val="6"/>
            <c:invertIfNegative val="0"/>
            <c:bubble3D val="0"/>
            <c:spPr>
              <a:solidFill>
                <a:srgbClr val="00ABAB"/>
              </a:solidFill>
              <a:ln>
                <a:solidFill>
                  <a:srgbClr val="00ABAB"/>
                </a:solidFill>
              </a:ln>
              <a:effectLst/>
            </c:spPr>
            <c:extLst>
              <c:ext xmlns:c16="http://schemas.microsoft.com/office/drawing/2014/chart" uri="{C3380CC4-5D6E-409C-BE32-E72D297353CC}">
                <c16:uniqueId val="{0000000B-A5CA-4560-8E15-4175C8A687ED}"/>
              </c:ext>
            </c:extLst>
          </c:dPt>
          <c:dPt>
            <c:idx val="7"/>
            <c:invertIfNegative val="0"/>
            <c:bubble3D val="0"/>
            <c:spPr>
              <a:solidFill>
                <a:srgbClr val="00ABAB"/>
              </a:solidFill>
              <a:ln>
                <a:solidFill>
                  <a:srgbClr val="00ABAB"/>
                </a:solidFill>
              </a:ln>
              <a:effectLst/>
            </c:spPr>
            <c:extLst>
              <c:ext xmlns:c16="http://schemas.microsoft.com/office/drawing/2014/chart" uri="{C3380CC4-5D6E-409C-BE32-E72D297353CC}">
                <c16:uniqueId val="{0000000D-A5CA-4560-8E15-4175C8A687ED}"/>
              </c:ext>
            </c:extLst>
          </c:dPt>
          <c:dPt>
            <c:idx val="8"/>
            <c:invertIfNegative val="0"/>
            <c:bubble3D val="0"/>
            <c:spPr>
              <a:solidFill>
                <a:srgbClr val="00ABAB"/>
              </a:solidFill>
              <a:ln>
                <a:solidFill>
                  <a:srgbClr val="00ABAB"/>
                </a:solidFill>
              </a:ln>
              <a:effectLst/>
            </c:spPr>
            <c:extLst>
              <c:ext xmlns:c16="http://schemas.microsoft.com/office/drawing/2014/chart" uri="{C3380CC4-5D6E-409C-BE32-E72D297353CC}">
                <c16:uniqueId val="{0000000F-A5CA-4560-8E15-4175C8A687ED}"/>
              </c:ext>
            </c:extLst>
          </c:dPt>
          <c:dPt>
            <c:idx val="10"/>
            <c:invertIfNegative val="0"/>
            <c:bubble3D val="0"/>
            <c:spPr>
              <a:solidFill>
                <a:srgbClr val="00ABAB"/>
              </a:solidFill>
              <a:ln>
                <a:solidFill>
                  <a:srgbClr val="00ABAB"/>
                </a:solidFill>
              </a:ln>
              <a:effectLst/>
            </c:spPr>
            <c:extLst>
              <c:ext xmlns:c16="http://schemas.microsoft.com/office/drawing/2014/chart" uri="{C3380CC4-5D6E-409C-BE32-E72D297353CC}">
                <c16:uniqueId val="{00000011-A5CA-4560-8E15-4175C8A687ED}"/>
              </c:ext>
            </c:extLst>
          </c:dPt>
          <c:dPt>
            <c:idx val="12"/>
            <c:invertIfNegative val="0"/>
            <c:bubble3D val="0"/>
            <c:spPr>
              <a:solidFill>
                <a:srgbClr val="00ABAB"/>
              </a:solidFill>
              <a:ln>
                <a:solidFill>
                  <a:srgbClr val="00ABAB"/>
                </a:solidFill>
              </a:ln>
              <a:effectLst/>
            </c:spPr>
            <c:extLst>
              <c:ext xmlns:c16="http://schemas.microsoft.com/office/drawing/2014/chart" uri="{C3380CC4-5D6E-409C-BE32-E72D297353CC}">
                <c16:uniqueId val="{00000013-A5CA-4560-8E15-4175C8A687ED}"/>
              </c:ext>
            </c:extLst>
          </c:dPt>
          <c:dPt>
            <c:idx val="13"/>
            <c:invertIfNegative val="0"/>
            <c:bubble3D val="0"/>
            <c:spPr>
              <a:solidFill>
                <a:srgbClr val="00ABAB"/>
              </a:solidFill>
              <a:ln>
                <a:solidFill>
                  <a:srgbClr val="00ABAB"/>
                </a:solidFill>
              </a:ln>
              <a:effectLst/>
            </c:spPr>
            <c:extLst>
              <c:ext xmlns:c16="http://schemas.microsoft.com/office/drawing/2014/chart" uri="{C3380CC4-5D6E-409C-BE32-E72D297353CC}">
                <c16:uniqueId val="{00000015-A5CA-4560-8E15-4175C8A687ED}"/>
              </c:ext>
            </c:extLst>
          </c:dPt>
          <c:dPt>
            <c:idx val="14"/>
            <c:invertIfNegative val="0"/>
            <c:bubble3D val="0"/>
            <c:spPr>
              <a:solidFill>
                <a:srgbClr val="00ABAB"/>
              </a:solidFill>
              <a:ln>
                <a:solidFill>
                  <a:srgbClr val="00ABAB"/>
                </a:solidFill>
              </a:ln>
              <a:effectLst/>
            </c:spPr>
            <c:extLst>
              <c:ext xmlns:c16="http://schemas.microsoft.com/office/drawing/2014/chart" uri="{C3380CC4-5D6E-409C-BE32-E72D297353CC}">
                <c16:uniqueId val="{00000017-A5CA-4560-8E15-4175C8A687ED}"/>
              </c:ext>
            </c:extLst>
          </c:dPt>
          <c:dPt>
            <c:idx val="16"/>
            <c:invertIfNegative val="0"/>
            <c:bubble3D val="0"/>
            <c:spPr>
              <a:solidFill>
                <a:srgbClr val="00ABAB"/>
              </a:solidFill>
              <a:ln>
                <a:solidFill>
                  <a:srgbClr val="00ABAB"/>
                </a:solidFill>
              </a:ln>
              <a:effectLst/>
            </c:spPr>
            <c:extLst>
              <c:ext xmlns:c16="http://schemas.microsoft.com/office/drawing/2014/chart" uri="{C3380CC4-5D6E-409C-BE32-E72D297353CC}">
                <c16:uniqueId val="{00000019-A5CA-4560-8E15-4175C8A687ED}"/>
              </c:ext>
            </c:extLst>
          </c:dPt>
          <c:dPt>
            <c:idx val="17"/>
            <c:invertIfNegative val="0"/>
            <c:bubble3D val="0"/>
            <c:spPr>
              <a:solidFill>
                <a:srgbClr val="00ABAB"/>
              </a:solidFill>
              <a:ln>
                <a:solidFill>
                  <a:srgbClr val="00ABAB"/>
                </a:solidFill>
              </a:ln>
              <a:effectLst/>
            </c:spPr>
            <c:extLst>
              <c:ext xmlns:c16="http://schemas.microsoft.com/office/drawing/2014/chart" uri="{C3380CC4-5D6E-409C-BE32-E72D297353CC}">
                <c16:uniqueId val="{0000001B-A5CA-4560-8E15-4175C8A687ED}"/>
              </c:ext>
            </c:extLst>
          </c:dPt>
          <c:dPt>
            <c:idx val="18"/>
            <c:invertIfNegative val="0"/>
            <c:bubble3D val="0"/>
            <c:spPr>
              <a:solidFill>
                <a:srgbClr val="00ABAB"/>
              </a:solidFill>
              <a:ln>
                <a:solidFill>
                  <a:srgbClr val="00ABAB"/>
                </a:solidFill>
              </a:ln>
              <a:effectLst/>
            </c:spPr>
            <c:extLst>
              <c:ext xmlns:c16="http://schemas.microsoft.com/office/drawing/2014/chart" uri="{C3380CC4-5D6E-409C-BE32-E72D297353CC}">
                <c16:uniqueId val="{0000001D-A5CA-4560-8E15-4175C8A687ED}"/>
              </c:ext>
            </c:extLst>
          </c:dPt>
          <c:dPt>
            <c:idx val="19"/>
            <c:invertIfNegative val="0"/>
            <c:bubble3D val="0"/>
            <c:spPr>
              <a:solidFill>
                <a:srgbClr val="00ABAB"/>
              </a:solidFill>
              <a:ln>
                <a:solidFill>
                  <a:srgbClr val="00ABAB"/>
                </a:solidFill>
              </a:ln>
              <a:effectLst/>
            </c:spPr>
            <c:extLst>
              <c:ext xmlns:c16="http://schemas.microsoft.com/office/drawing/2014/chart" uri="{C3380CC4-5D6E-409C-BE32-E72D297353CC}">
                <c16:uniqueId val="{0000001F-A5CA-4560-8E15-4175C8A687ED}"/>
              </c:ext>
            </c:extLst>
          </c:dPt>
          <c:dPt>
            <c:idx val="20"/>
            <c:invertIfNegative val="0"/>
            <c:bubble3D val="0"/>
            <c:spPr>
              <a:solidFill>
                <a:srgbClr val="00ABAB"/>
              </a:solidFill>
              <a:ln>
                <a:solidFill>
                  <a:srgbClr val="00ABAB"/>
                </a:solidFill>
              </a:ln>
              <a:effectLst/>
            </c:spPr>
            <c:extLst>
              <c:ext xmlns:c16="http://schemas.microsoft.com/office/drawing/2014/chart" uri="{C3380CC4-5D6E-409C-BE32-E72D297353CC}">
                <c16:uniqueId val="{00000021-A5CA-4560-8E15-4175C8A687ED}"/>
              </c:ext>
            </c:extLst>
          </c:dPt>
          <c:dPt>
            <c:idx val="21"/>
            <c:invertIfNegative val="0"/>
            <c:bubble3D val="0"/>
            <c:spPr>
              <a:solidFill>
                <a:srgbClr val="00ABAB"/>
              </a:solidFill>
              <a:ln>
                <a:solidFill>
                  <a:srgbClr val="00ABAB"/>
                </a:solidFill>
              </a:ln>
              <a:effectLst/>
            </c:spPr>
            <c:extLst>
              <c:ext xmlns:c16="http://schemas.microsoft.com/office/drawing/2014/chart" uri="{C3380CC4-5D6E-409C-BE32-E72D297353CC}">
                <c16:uniqueId val="{00000023-A5CA-4560-8E15-4175C8A687ED}"/>
              </c:ext>
            </c:extLst>
          </c:dPt>
          <c:dPt>
            <c:idx val="22"/>
            <c:invertIfNegative val="0"/>
            <c:bubble3D val="0"/>
            <c:spPr>
              <a:solidFill>
                <a:srgbClr val="00ABAB"/>
              </a:solidFill>
              <a:ln>
                <a:solidFill>
                  <a:srgbClr val="00ABAB"/>
                </a:solidFill>
              </a:ln>
              <a:effectLst/>
            </c:spPr>
            <c:extLst>
              <c:ext xmlns:c16="http://schemas.microsoft.com/office/drawing/2014/chart" uri="{C3380CC4-5D6E-409C-BE32-E72D297353CC}">
                <c16:uniqueId val="{00000025-A5CA-4560-8E15-4175C8A687ED}"/>
              </c:ext>
            </c:extLst>
          </c:dPt>
          <c:dPt>
            <c:idx val="23"/>
            <c:invertIfNegative val="0"/>
            <c:bubble3D val="0"/>
            <c:spPr>
              <a:solidFill>
                <a:srgbClr val="00ABAB"/>
              </a:solidFill>
              <a:ln>
                <a:solidFill>
                  <a:srgbClr val="00ABAB"/>
                </a:solidFill>
              </a:ln>
              <a:effectLst/>
            </c:spPr>
            <c:extLst>
              <c:ext xmlns:c16="http://schemas.microsoft.com/office/drawing/2014/chart" uri="{C3380CC4-5D6E-409C-BE32-E72D297353CC}">
                <c16:uniqueId val="{00000027-A5CA-4560-8E15-4175C8A687ED}"/>
              </c:ext>
            </c:extLst>
          </c:dPt>
          <c:dPt>
            <c:idx val="30"/>
            <c:invertIfNegative val="0"/>
            <c:bubble3D val="0"/>
            <c:spPr>
              <a:solidFill>
                <a:srgbClr val="00ABAB"/>
              </a:solidFill>
              <a:ln>
                <a:solidFill>
                  <a:srgbClr val="00ABAB"/>
                </a:solidFill>
              </a:ln>
              <a:effectLst/>
            </c:spPr>
            <c:extLst>
              <c:ext xmlns:c16="http://schemas.microsoft.com/office/drawing/2014/chart" uri="{C3380CC4-5D6E-409C-BE32-E72D297353CC}">
                <c16:uniqueId val="{00000029-A5CA-4560-8E15-4175C8A687ED}"/>
              </c:ext>
            </c:extLst>
          </c:dPt>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(2019)'!$L$67:$L$103</c:f>
              <c:numCache>
                <c:formatCode>"$"#,##0</c:formatCode>
                <c:ptCount val="37"/>
                <c:pt idx="0">
                  <c:v>0</c:v>
                </c:pt>
                <c:pt idx="1">
                  <c:v>0</c:v>
                </c:pt>
                <c:pt idx="2">
                  <c:v>14673.764086013791</c:v>
                </c:pt>
                <c:pt idx="3">
                  <c:v>15541.686622545918</c:v>
                </c:pt>
                <c:pt idx="4">
                  <c:v>16558.100700318217</c:v>
                </c:pt>
                <c:pt idx="5">
                  <c:v>16572.026134338281</c:v>
                </c:pt>
                <c:pt idx="6">
                  <c:v>18241.64565247457</c:v>
                </c:pt>
                <c:pt idx="7">
                  <c:v>18253.211971862722</c:v>
                </c:pt>
                <c:pt idx="8">
                  <c:v>18898.44565795589</c:v>
                </c:pt>
                <c:pt idx="9">
                  <c:v>18937.011498056829</c:v>
                </c:pt>
                <c:pt idx="10">
                  <c:v>19182.576012006248</c:v>
                </c:pt>
                <c:pt idx="11">
                  <c:v>0</c:v>
                </c:pt>
                <c:pt idx="12">
                  <c:v>0</c:v>
                </c:pt>
                <c:pt idx="13">
                  <c:v>0</c:v>
                </c:pt>
                <c:pt idx="14">
                  <c:v>20019.287563116952</c:v>
                </c:pt>
                <c:pt idx="15">
                  <c:v>20602.781155505865</c:v>
                </c:pt>
                <c:pt idx="16">
                  <c:v>20731.154767199499</c:v>
                </c:pt>
                <c:pt idx="17">
                  <c:v>20751.020392689148</c:v>
                </c:pt>
                <c:pt idx="18">
                  <c:v>0</c:v>
                </c:pt>
                <c:pt idx="19">
                  <c:v>21036.034859272659</c:v>
                </c:pt>
                <c:pt idx="20">
                  <c:v>21098.955688370464</c:v>
                </c:pt>
                <c:pt idx="21">
                  <c:v>21860.190886749904</c:v>
                </c:pt>
                <c:pt idx="22">
                  <c:v>22315.375715333077</c:v>
                </c:pt>
                <c:pt idx="23">
                  <c:v>22495.233864791797</c:v>
                </c:pt>
                <c:pt idx="24">
                  <c:v>22622.815609937377</c:v>
                </c:pt>
                <c:pt idx="25">
                  <c:v>22767.642134895599</c:v>
                </c:pt>
                <c:pt idx="26">
                  <c:v>0</c:v>
                </c:pt>
                <c:pt idx="27">
                  <c:v>23177.680726901555</c:v>
                </c:pt>
                <c:pt idx="28">
                  <c:v>23840.390766870736</c:v>
                </c:pt>
                <c:pt idx="29">
                  <c:v>23964.809805879409</c:v>
                </c:pt>
                <c:pt idx="30">
                  <c:v>0</c:v>
                </c:pt>
                <c:pt idx="31">
                  <c:v>25030.02552579296</c:v>
                </c:pt>
                <c:pt idx="32">
                  <c:v>25523.794701961349</c:v>
                </c:pt>
                <c:pt idx="33">
                  <c:v>25698.88577901329</c:v>
                </c:pt>
                <c:pt idx="34">
                  <c:v>26255.058061656622</c:v>
                </c:pt>
                <c:pt idx="35">
                  <c:v>0</c:v>
                </c:pt>
                <c:pt idx="36">
                  <c:v>33365.536789977159</c:v>
                </c:pt>
              </c:numCache>
            </c:numRef>
          </c:val>
          <c:extLst>
            <c:ext xmlns:c16="http://schemas.microsoft.com/office/drawing/2014/chart" uri="{C3380CC4-5D6E-409C-BE32-E72D297353CC}">
              <c16:uniqueId val="{0000002A-A5CA-4560-8E15-4175C8A687ED}"/>
            </c:ext>
          </c:extLst>
        </c:ser>
        <c:ser>
          <c:idx val="1"/>
          <c:order val="1"/>
          <c:tx>
            <c:strRef>
              <c:f>'4.4_data (2019)'!$M$66</c:f>
              <c:strCache>
                <c:ptCount val="1"/>
                <c:pt idx="0">
                  <c:v>Unable to identify costs at the unit of study level</c:v>
                </c:pt>
              </c:strCache>
            </c:strRef>
          </c:tx>
          <c:spPr>
            <a:solidFill>
              <a:srgbClr val="BFBFBF"/>
            </a:solidFill>
            <a:ln>
              <a:solidFill>
                <a:srgbClr val="BFBFBF"/>
              </a:solidFill>
            </a:ln>
          </c:spPr>
          <c:invertIfNegative val="0"/>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(2019)'!$M$67:$M$103</c:f>
              <c:numCache>
                <c:formatCode>"$"#,##0</c:formatCode>
                <c:ptCount val="37"/>
                <c:pt idx="0">
                  <c:v>14415.792887404577</c:v>
                </c:pt>
                <c:pt idx="1">
                  <c:v>14644.302892786014</c:v>
                </c:pt>
                <c:pt idx="2">
                  <c:v>0</c:v>
                </c:pt>
                <c:pt idx="3">
                  <c:v>0</c:v>
                </c:pt>
                <c:pt idx="4">
                  <c:v>0</c:v>
                </c:pt>
                <c:pt idx="5">
                  <c:v>0</c:v>
                </c:pt>
                <c:pt idx="6">
                  <c:v>0</c:v>
                </c:pt>
                <c:pt idx="7">
                  <c:v>0</c:v>
                </c:pt>
                <c:pt idx="8">
                  <c:v>0</c:v>
                </c:pt>
                <c:pt idx="9">
                  <c:v>0</c:v>
                </c:pt>
                <c:pt idx="10">
                  <c:v>0</c:v>
                </c:pt>
                <c:pt idx="11">
                  <c:v>19582.751811370115</c:v>
                </c:pt>
                <c:pt idx="12">
                  <c:v>19809.641750598043</c:v>
                </c:pt>
                <c:pt idx="13">
                  <c:v>20000.469178753639</c:v>
                </c:pt>
                <c:pt idx="14">
                  <c:v>0</c:v>
                </c:pt>
                <c:pt idx="15">
                  <c:v>0</c:v>
                </c:pt>
                <c:pt idx="16">
                  <c:v>0</c:v>
                </c:pt>
                <c:pt idx="17">
                  <c:v>0</c:v>
                </c:pt>
                <c:pt idx="18">
                  <c:v>20770.205454270465</c:v>
                </c:pt>
                <c:pt idx="19">
                  <c:v>0</c:v>
                </c:pt>
                <c:pt idx="20">
                  <c:v>0</c:v>
                </c:pt>
                <c:pt idx="21">
                  <c:v>0</c:v>
                </c:pt>
                <c:pt idx="22">
                  <c:v>0</c:v>
                </c:pt>
                <c:pt idx="23">
                  <c:v>0</c:v>
                </c:pt>
                <c:pt idx="24">
                  <c:v>0</c:v>
                </c:pt>
                <c:pt idx="25">
                  <c:v>0</c:v>
                </c:pt>
                <c:pt idx="26">
                  <c:v>22773.252388040284</c:v>
                </c:pt>
                <c:pt idx="27">
                  <c:v>0</c:v>
                </c:pt>
                <c:pt idx="28">
                  <c:v>0</c:v>
                </c:pt>
                <c:pt idx="29">
                  <c:v>0</c:v>
                </c:pt>
                <c:pt idx="30">
                  <c:v>23994.854328511428</c:v>
                </c:pt>
                <c:pt idx="31">
                  <c:v>0</c:v>
                </c:pt>
                <c:pt idx="32">
                  <c:v>0</c:v>
                </c:pt>
                <c:pt idx="33">
                  <c:v>0</c:v>
                </c:pt>
                <c:pt idx="34">
                  <c:v>0</c:v>
                </c:pt>
                <c:pt idx="35">
                  <c:v>28518.216872602043</c:v>
                </c:pt>
                <c:pt idx="36">
                  <c:v>0</c:v>
                </c:pt>
              </c:numCache>
            </c:numRef>
          </c:val>
          <c:extLst>
            <c:ext xmlns:c16="http://schemas.microsoft.com/office/drawing/2014/chart" uri="{C3380CC4-5D6E-409C-BE32-E72D297353CC}">
              <c16:uniqueId val="{0000002B-A5CA-4560-8E15-4175C8A687ED}"/>
            </c:ext>
          </c:extLst>
        </c:ser>
        <c:dLbls>
          <c:showLegendKey val="0"/>
          <c:showVal val="0"/>
          <c:showCatName val="0"/>
          <c:showSerName val="0"/>
          <c:showPercent val="0"/>
          <c:showBubbleSize val="0"/>
        </c:dLbls>
        <c:gapWidth val="125"/>
        <c:overlap val="100"/>
        <c:axId val="2000013888"/>
        <c:axId val="2000018048"/>
      </c:barChart>
      <c:catAx>
        <c:axId val="20000138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8048"/>
        <c:crosses val="autoZero"/>
        <c:auto val="1"/>
        <c:lblAlgn val="ctr"/>
        <c:lblOffset val="100"/>
        <c:noMultiLvlLbl val="0"/>
      </c:catAx>
      <c:valAx>
        <c:axId val="2000018048"/>
        <c:scaling>
          <c:orientation val="minMax"/>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3888"/>
        <c:crosses val="autoZero"/>
        <c:crossBetween val="between"/>
      </c:valAx>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7698924613589968"/>
        </c:manualLayout>
      </c:layout>
      <c:barChart>
        <c:barDir val="col"/>
        <c:grouping val="clustered"/>
        <c:varyColors val="0"/>
        <c:ser>
          <c:idx val="0"/>
          <c:order val="0"/>
          <c:tx>
            <c:strRef>
              <c:f>'4.4_data (2020)'!$L$75</c:f>
              <c:strCache>
                <c:ptCount val="1"/>
                <c:pt idx="0">
                  <c:v>Able to identify costs at the unit of study level</c:v>
                </c:pt>
              </c:strCache>
            </c:strRef>
          </c:tx>
          <c:spPr>
            <a:solidFill>
              <a:srgbClr val="00ABAB"/>
            </a:solidFill>
            <a:ln>
              <a:noFill/>
            </a:ln>
            <a:effectLst/>
          </c:spPr>
          <c:invertIfNegative val="0"/>
          <c:dPt>
            <c:idx val="1"/>
            <c:invertIfNegative val="0"/>
            <c:bubble3D val="0"/>
            <c:extLst>
              <c:ext xmlns:c16="http://schemas.microsoft.com/office/drawing/2014/chart" uri="{C3380CC4-5D6E-409C-BE32-E72D297353CC}">
                <c16:uniqueId val="{00000000-2177-4DAB-85B4-65EF08AF8DDA}"/>
              </c:ext>
            </c:extLst>
          </c:dPt>
          <c:dPt>
            <c:idx val="2"/>
            <c:invertIfNegative val="0"/>
            <c:bubble3D val="0"/>
            <c:extLst>
              <c:ext xmlns:c16="http://schemas.microsoft.com/office/drawing/2014/chart" uri="{C3380CC4-5D6E-409C-BE32-E72D297353CC}">
                <c16:uniqueId val="{00000001-2177-4DAB-85B4-65EF08AF8DDA}"/>
              </c:ext>
            </c:extLst>
          </c:dPt>
          <c:dPt>
            <c:idx val="3"/>
            <c:invertIfNegative val="0"/>
            <c:bubble3D val="0"/>
            <c:extLst>
              <c:ext xmlns:c16="http://schemas.microsoft.com/office/drawing/2014/chart" uri="{C3380CC4-5D6E-409C-BE32-E72D297353CC}">
                <c16:uniqueId val="{00000002-2177-4DAB-85B4-65EF08AF8DDA}"/>
              </c:ext>
            </c:extLst>
          </c:dPt>
          <c:dPt>
            <c:idx val="4"/>
            <c:invertIfNegative val="0"/>
            <c:bubble3D val="0"/>
            <c:extLst>
              <c:ext xmlns:c16="http://schemas.microsoft.com/office/drawing/2014/chart" uri="{C3380CC4-5D6E-409C-BE32-E72D297353CC}">
                <c16:uniqueId val="{00000003-2177-4DAB-85B4-65EF08AF8DDA}"/>
              </c:ext>
            </c:extLst>
          </c:dPt>
          <c:dPt>
            <c:idx val="5"/>
            <c:invertIfNegative val="0"/>
            <c:bubble3D val="0"/>
            <c:extLst>
              <c:ext xmlns:c16="http://schemas.microsoft.com/office/drawing/2014/chart" uri="{C3380CC4-5D6E-409C-BE32-E72D297353CC}">
                <c16:uniqueId val="{00000004-2177-4DAB-85B4-65EF08AF8DDA}"/>
              </c:ext>
            </c:extLst>
          </c:dPt>
          <c:dPt>
            <c:idx val="6"/>
            <c:invertIfNegative val="0"/>
            <c:bubble3D val="0"/>
            <c:extLst>
              <c:ext xmlns:c16="http://schemas.microsoft.com/office/drawing/2014/chart" uri="{C3380CC4-5D6E-409C-BE32-E72D297353CC}">
                <c16:uniqueId val="{00000005-2177-4DAB-85B4-65EF08AF8DDA}"/>
              </c:ext>
            </c:extLst>
          </c:dPt>
          <c:dPt>
            <c:idx val="7"/>
            <c:invertIfNegative val="0"/>
            <c:bubble3D val="0"/>
            <c:extLst>
              <c:ext xmlns:c16="http://schemas.microsoft.com/office/drawing/2014/chart" uri="{C3380CC4-5D6E-409C-BE32-E72D297353CC}">
                <c16:uniqueId val="{00000006-2177-4DAB-85B4-65EF08AF8DDA}"/>
              </c:ext>
            </c:extLst>
          </c:dPt>
          <c:dPt>
            <c:idx val="8"/>
            <c:invertIfNegative val="0"/>
            <c:bubble3D val="0"/>
            <c:extLst>
              <c:ext xmlns:c16="http://schemas.microsoft.com/office/drawing/2014/chart" uri="{C3380CC4-5D6E-409C-BE32-E72D297353CC}">
                <c16:uniqueId val="{00000007-2177-4DAB-85B4-65EF08AF8DDA}"/>
              </c:ext>
            </c:extLst>
          </c:dPt>
          <c:dPt>
            <c:idx val="10"/>
            <c:invertIfNegative val="0"/>
            <c:bubble3D val="0"/>
            <c:extLst>
              <c:ext xmlns:c16="http://schemas.microsoft.com/office/drawing/2014/chart" uri="{C3380CC4-5D6E-409C-BE32-E72D297353CC}">
                <c16:uniqueId val="{00000008-2177-4DAB-85B4-65EF08AF8DDA}"/>
              </c:ext>
            </c:extLst>
          </c:dPt>
          <c:dPt>
            <c:idx val="12"/>
            <c:invertIfNegative val="0"/>
            <c:bubble3D val="0"/>
            <c:extLst>
              <c:ext xmlns:c16="http://schemas.microsoft.com/office/drawing/2014/chart" uri="{C3380CC4-5D6E-409C-BE32-E72D297353CC}">
                <c16:uniqueId val="{00000009-2177-4DAB-85B4-65EF08AF8DDA}"/>
              </c:ext>
            </c:extLst>
          </c:dPt>
          <c:dPt>
            <c:idx val="13"/>
            <c:invertIfNegative val="0"/>
            <c:bubble3D val="0"/>
            <c:extLst>
              <c:ext xmlns:c16="http://schemas.microsoft.com/office/drawing/2014/chart" uri="{C3380CC4-5D6E-409C-BE32-E72D297353CC}">
                <c16:uniqueId val="{0000000A-2177-4DAB-85B4-65EF08AF8DDA}"/>
              </c:ext>
            </c:extLst>
          </c:dPt>
          <c:dPt>
            <c:idx val="14"/>
            <c:invertIfNegative val="0"/>
            <c:bubble3D val="0"/>
            <c:extLst>
              <c:ext xmlns:c16="http://schemas.microsoft.com/office/drawing/2014/chart" uri="{C3380CC4-5D6E-409C-BE32-E72D297353CC}">
                <c16:uniqueId val="{0000000B-2177-4DAB-85B4-65EF08AF8DDA}"/>
              </c:ext>
            </c:extLst>
          </c:dPt>
          <c:dPt>
            <c:idx val="16"/>
            <c:invertIfNegative val="0"/>
            <c:bubble3D val="0"/>
            <c:extLst>
              <c:ext xmlns:c16="http://schemas.microsoft.com/office/drawing/2014/chart" uri="{C3380CC4-5D6E-409C-BE32-E72D297353CC}">
                <c16:uniqueId val="{0000000C-2177-4DAB-85B4-65EF08AF8DDA}"/>
              </c:ext>
            </c:extLst>
          </c:dPt>
          <c:dPt>
            <c:idx val="17"/>
            <c:invertIfNegative val="0"/>
            <c:bubble3D val="0"/>
            <c:extLst>
              <c:ext xmlns:c16="http://schemas.microsoft.com/office/drawing/2014/chart" uri="{C3380CC4-5D6E-409C-BE32-E72D297353CC}">
                <c16:uniqueId val="{0000000D-2177-4DAB-85B4-65EF08AF8DDA}"/>
              </c:ext>
            </c:extLst>
          </c:dPt>
          <c:dPt>
            <c:idx val="18"/>
            <c:invertIfNegative val="0"/>
            <c:bubble3D val="0"/>
            <c:extLst>
              <c:ext xmlns:c16="http://schemas.microsoft.com/office/drawing/2014/chart" uri="{C3380CC4-5D6E-409C-BE32-E72D297353CC}">
                <c16:uniqueId val="{0000000E-2177-4DAB-85B4-65EF08AF8DDA}"/>
              </c:ext>
            </c:extLst>
          </c:dPt>
          <c:dPt>
            <c:idx val="19"/>
            <c:invertIfNegative val="0"/>
            <c:bubble3D val="0"/>
            <c:extLst>
              <c:ext xmlns:c16="http://schemas.microsoft.com/office/drawing/2014/chart" uri="{C3380CC4-5D6E-409C-BE32-E72D297353CC}">
                <c16:uniqueId val="{0000000F-2177-4DAB-85B4-65EF08AF8DDA}"/>
              </c:ext>
            </c:extLst>
          </c:dPt>
          <c:dPt>
            <c:idx val="20"/>
            <c:invertIfNegative val="0"/>
            <c:bubble3D val="0"/>
            <c:extLst>
              <c:ext xmlns:c16="http://schemas.microsoft.com/office/drawing/2014/chart" uri="{C3380CC4-5D6E-409C-BE32-E72D297353CC}">
                <c16:uniqueId val="{00000010-2177-4DAB-85B4-65EF08AF8DDA}"/>
              </c:ext>
            </c:extLst>
          </c:dPt>
          <c:dPt>
            <c:idx val="21"/>
            <c:invertIfNegative val="0"/>
            <c:bubble3D val="0"/>
            <c:extLst>
              <c:ext xmlns:c16="http://schemas.microsoft.com/office/drawing/2014/chart" uri="{C3380CC4-5D6E-409C-BE32-E72D297353CC}">
                <c16:uniqueId val="{00000011-2177-4DAB-85B4-65EF08AF8DDA}"/>
              </c:ext>
            </c:extLst>
          </c:dPt>
          <c:dPt>
            <c:idx val="22"/>
            <c:invertIfNegative val="0"/>
            <c:bubble3D val="0"/>
            <c:extLst>
              <c:ext xmlns:c16="http://schemas.microsoft.com/office/drawing/2014/chart" uri="{C3380CC4-5D6E-409C-BE32-E72D297353CC}">
                <c16:uniqueId val="{00000012-2177-4DAB-85B4-65EF08AF8DDA}"/>
              </c:ext>
            </c:extLst>
          </c:dPt>
          <c:dPt>
            <c:idx val="23"/>
            <c:invertIfNegative val="0"/>
            <c:bubble3D val="0"/>
            <c:extLst>
              <c:ext xmlns:c16="http://schemas.microsoft.com/office/drawing/2014/chart" uri="{C3380CC4-5D6E-409C-BE32-E72D297353CC}">
                <c16:uniqueId val="{00000013-2177-4DAB-85B4-65EF08AF8DDA}"/>
              </c:ext>
            </c:extLst>
          </c:dPt>
          <c:dPt>
            <c:idx val="30"/>
            <c:invertIfNegative val="0"/>
            <c:bubble3D val="0"/>
            <c:extLst>
              <c:ext xmlns:c16="http://schemas.microsoft.com/office/drawing/2014/chart" uri="{C3380CC4-5D6E-409C-BE32-E72D297353CC}">
                <c16:uniqueId val="{00000014-2177-4DAB-85B4-65EF08AF8DDA}"/>
              </c:ext>
            </c:extLst>
          </c:dPt>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(2020)'!$L$76:$L$112</c:f>
              <c:numCache>
                <c:formatCode>"$"#,##0</c:formatCode>
                <c:ptCount val="37"/>
                <c:pt idx="0">
                  <c:v>13383.603960028391</c:v>
                </c:pt>
                <c:pt idx="1">
                  <c:v>0</c:v>
                </c:pt>
                <c:pt idx="2">
                  <c:v>15775.763223569793</c:v>
                </c:pt>
                <c:pt idx="3">
                  <c:v>16165.351237995539</c:v>
                </c:pt>
                <c:pt idx="4">
                  <c:v>16410.080324582923</c:v>
                </c:pt>
                <c:pt idx="5">
                  <c:v>16903.069355178792</c:v>
                </c:pt>
                <c:pt idx="6">
                  <c:v>0</c:v>
                </c:pt>
                <c:pt idx="7">
                  <c:v>0</c:v>
                </c:pt>
                <c:pt idx="8">
                  <c:v>0</c:v>
                </c:pt>
                <c:pt idx="9">
                  <c:v>18053.14207197322</c:v>
                </c:pt>
                <c:pt idx="10">
                  <c:v>18095.50101299677</c:v>
                </c:pt>
                <c:pt idx="11">
                  <c:v>18812.47288699861</c:v>
                </c:pt>
                <c:pt idx="12">
                  <c:v>18928.163613723576</c:v>
                </c:pt>
                <c:pt idx="13">
                  <c:v>18962.917180593424</c:v>
                </c:pt>
                <c:pt idx="14">
                  <c:v>19113.708502521338</c:v>
                </c:pt>
                <c:pt idx="15">
                  <c:v>19205.298845029767</c:v>
                </c:pt>
                <c:pt idx="16">
                  <c:v>19573.085882758809</c:v>
                </c:pt>
                <c:pt idx="17">
                  <c:v>19793.409521765814</c:v>
                </c:pt>
                <c:pt idx="18">
                  <c:v>0</c:v>
                </c:pt>
                <c:pt idx="19">
                  <c:v>20434.764820655706</c:v>
                </c:pt>
                <c:pt idx="20">
                  <c:v>20534.416822678671</c:v>
                </c:pt>
                <c:pt idx="21">
                  <c:v>20594.912872935151</c:v>
                </c:pt>
                <c:pt idx="22">
                  <c:v>21150.534037105288</c:v>
                </c:pt>
                <c:pt idx="23">
                  <c:v>21856.593289371693</c:v>
                </c:pt>
                <c:pt idx="24">
                  <c:v>0</c:v>
                </c:pt>
                <c:pt idx="25">
                  <c:v>22500.369571413961</c:v>
                </c:pt>
                <c:pt idx="26">
                  <c:v>22611.315048279997</c:v>
                </c:pt>
                <c:pt idx="27">
                  <c:v>23183.094245070875</c:v>
                </c:pt>
                <c:pt idx="28">
                  <c:v>0</c:v>
                </c:pt>
                <c:pt idx="29">
                  <c:v>24079.527678089424</c:v>
                </c:pt>
                <c:pt idx="30">
                  <c:v>24337.415767908649</c:v>
                </c:pt>
                <c:pt idx="31">
                  <c:v>0</c:v>
                </c:pt>
                <c:pt idx="32">
                  <c:v>24518.640175295994</c:v>
                </c:pt>
                <c:pt idx="33">
                  <c:v>0</c:v>
                </c:pt>
                <c:pt idx="34">
                  <c:v>25190.657411485608</c:v>
                </c:pt>
                <c:pt idx="35">
                  <c:v>26326.632537360449</c:v>
                </c:pt>
                <c:pt idx="36">
                  <c:v>26446.925329793568</c:v>
                </c:pt>
              </c:numCache>
            </c:numRef>
          </c:val>
          <c:extLst>
            <c:ext xmlns:c16="http://schemas.microsoft.com/office/drawing/2014/chart" uri="{C3380CC4-5D6E-409C-BE32-E72D297353CC}">
              <c16:uniqueId val="{00000015-2177-4DAB-85B4-65EF08AF8DDA}"/>
            </c:ext>
          </c:extLst>
        </c:ser>
        <c:ser>
          <c:idx val="1"/>
          <c:order val="1"/>
          <c:tx>
            <c:strRef>
              <c:f>'4.4_data (2020)'!$M$75</c:f>
              <c:strCache>
                <c:ptCount val="1"/>
                <c:pt idx="0">
                  <c:v>Unable to identify costs at the unit of study level</c:v>
                </c:pt>
              </c:strCache>
            </c:strRef>
          </c:tx>
          <c:spPr>
            <a:solidFill>
              <a:schemeClr val="bg1">
                <a:lumMod val="75000"/>
              </a:schemeClr>
            </a:solidFill>
            <a:ln>
              <a:noFill/>
            </a:ln>
          </c:spPr>
          <c:invertIfNegative val="0"/>
          <c:cat>
            <c:numRef>
              <c:f>'4.4_data (2019)'!$A$67:$A$103</c:f>
              <c:numCache>
                <c:formatCode>General</c:formatCode>
                <c:ptCount val="3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numCache>
            </c:numRef>
          </c:cat>
          <c:val>
            <c:numRef>
              <c:f>'4.4_data (2020)'!$M$76:$M$112</c:f>
              <c:numCache>
                <c:formatCode>"$"#,##0</c:formatCode>
                <c:ptCount val="37"/>
                <c:pt idx="0">
                  <c:v>0</c:v>
                </c:pt>
                <c:pt idx="1">
                  <c:v>15583.619899543904</c:v>
                </c:pt>
                <c:pt idx="2">
                  <c:v>0</c:v>
                </c:pt>
                <c:pt idx="3">
                  <c:v>0</c:v>
                </c:pt>
                <c:pt idx="4">
                  <c:v>0</c:v>
                </c:pt>
                <c:pt idx="5">
                  <c:v>0</c:v>
                </c:pt>
                <c:pt idx="6">
                  <c:v>16948.92601922531</c:v>
                </c:pt>
                <c:pt idx="7">
                  <c:v>17282.782132213735</c:v>
                </c:pt>
                <c:pt idx="8">
                  <c:v>17707.715947098804</c:v>
                </c:pt>
                <c:pt idx="9">
                  <c:v>0</c:v>
                </c:pt>
                <c:pt idx="10">
                  <c:v>0</c:v>
                </c:pt>
                <c:pt idx="11">
                  <c:v>0</c:v>
                </c:pt>
                <c:pt idx="12">
                  <c:v>0</c:v>
                </c:pt>
                <c:pt idx="13">
                  <c:v>0</c:v>
                </c:pt>
                <c:pt idx="14">
                  <c:v>0</c:v>
                </c:pt>
                <c:pt idx="15">
                  <c:v>0</c:v>
                </c:pt>
                <c:pt idx="16">
                  <c:v>0</c:v>
                </c:pt>
                <c:pt idx="17">
                  <c:v>0</c:v>
                </c:pt>
                <c:pt idx="18">
                  <c:v>19947.277032328919</c:v>
                </c:pt>
                <c:pt idx="19">
                  <c:v>0</c:v>
                </c:pt>
                <c:pt idx="20">
                  <c:v>0</c:v>
                </c:pt>
                <c:pt idx="21">
                  <c:v>0</c:v>
                </c:pt>
                <c:pt idx="22">
                  <c:v>0</c:v>
                </c:pt>
                <c:pt idx="23">
                  <c:v>0</c:v>
                </c:pt>
                <c:pt idx="24">
                  <c:v>22247.454281650007</c:v>
                </c:pt>
                <c:pt idx="25">
                  <c:v>0</c:v>
                </c:pt>
                <c:pt idx="26">
                  <c:v>0</c:v>
                </c:pt>
                <c:pt idx="27">
                  <c:v>0</c:v>
                </c:pt>
                <c:pt idx="28">
                  <c:v>23498.150546304994</c:v>
                </c:pt>
                <c:pt idx="29">
                  <c:v>0</c:v>
                </c:pt>
                <c:pt idx="30">
                  <c:v>0</c:v>
                </c:pt>
                <c:pt idx="31">
                  <c:v>24458.514086417021</c:v>
                </c:pt>
                <c:pt idx="32">
                  <c:v>0</c:v>
                </c:pt>
                <c:pt idx="33">
                  <c:v>24792.995883196912</c:v>
                </c:pt>
                <c:pt idx="34">
                  <c:v>0</c:v>
                </c:pt>
                <c:pt idx="35">
                  <c:v>0</c:v>
                </c:pt>
                <c:pt idx="36">
                  <c:v>0</c:v>
                </c:pt>
              </c:numCache>
            </c:numRef>
          </c:val>
          <c:extLst>
            <c:ext xmlns:c16="http://schemas.microsoft.com/office/drawing/2014/chart" uri="{C3380CC4-5D6E-409C-BE32-E72D297353CC}">
              <c16:uniqueId val="{00000016-2177-4DAB-85B4-65EF08AF8DDA}"/>
            </c:ext>
          </c:extLst>
        </c:ser>
        <c:dLbls>
          <c:showLegendKey val="0"/>
          <c:showVal val="0"/>
          <c:showCatName val="0"/>
          <c:showSerName val="0"/>
          <c:showPercent val="0"/>
          <c:showBubbleSize val="0"/>
        </c:dLbls>
        <c:gapWidth val="125"/>
        <c:overlap val="100"/>
        <c:axId val="2000013888"/>
        <c:axId val="2000018048"/>
      </c:barChart>
      <c:catAx>
        <c:axId val="200001388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8048"/>
        <c:crosses val="autoZero"/>
        <c:auto val="1"/>
        <c:lblAlgn val="ctr"/>
        <c:lblOffset val="100"/>
        <c:noMultiLvlLbl val="0"/>
      </c:catAx>
      <c:valAx>
        <c:axId val="2000018048"/>
        <c:scaling>
          <c:orientation val="minMax"/>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000013888"/>
        <c:crosses val="autoZero"/>
        <c:crossBetween val="between"/>
      </c:valAx>
    </c:plotArea>
    <c:legend>
      <c:legendPos val="b"/>
      <c:overlay val="0"/>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49040062700495773"/>
        </c:manualLayout>
      </c:layout>
      <c:barChart>
        <c:barDir val="col"/>
        <c:grouping val="clustered"/>
        <c:varyColors val="0"/>
        <c:ser>
          <c:idx val="0"/>
          <c:order val="0"/>
          <c:tx>
            <c:strRef>
              <c:f>'4.4_data'!$A$156:$B$156</c:f>
              <c:strCache>
                <c:ptCount val="2"/>
                <c:pt idx="0">
                  <c:v>Able to identify costs at the unit of study level</c:v>
                </c:pt>
              </c:strCache>
            </c:strRef>
          </c:tx>
          <c:spPr>
            <a:solidFill>
              <a:srgbClr val="00ABAB"/>
            </a:solidFill>
            <a:ln>
              <a:noFill/>
            </a:ln>
            <a:effectLst/>
          </c:spPr>
          <c:invertIfNegative val="0"/>
          <c:cat>
            <c:strRef>
              <c:f>'4.4_data'!$C$155:$X$155</c:f>
              <c:strCache>
                <c:ptCount val="22"/>
                <c:pt idx="0">
                  <c:v>FoodHosp&amp;Person</c:v>
                </c:pt>
                <c:pt idx="1">
                  <c:v>OtherSoc&amp;Cult</c:v>
                </c:pt>
                <c:pt idx="2">
                  <c:v>MixedField</c:v>
                </c:pt>
                <c:pt idx="3">
                  <c:v>Psych</c:v>
                </c:pt>
                <c:pt idx="4">
                  <c:v>Education</c:v>
                </c:pt>
                <c:pt idx="5">
                  <c:v>Mgmt&amp;Comm</c:v>
                </c:pt>
                <c:pt idx="6">
                  <c:v>MathSci</c:v>
                </c:pt>
                <c:pt idx="7">
                  <c:v>Comms&amp;Media</c:v>
                </c:pt>
                <c:pt idx="8">
                  <c:v>InfoTech</c:v>
                </c:pt>
                <c:pt idx="9">
                  <c:v>ForeignLang</c:v>
                </c:pt>
                <c:pt idx="10">
                  <c:v>Nursing</c:v>
                </c:pt>
                <c:pt idx="11">
                  <c:v>OthHealth</c:v>
                </c:pt>
                <c:pt idx="12">
                  <c:v>Archi&amp;Build</c:v>
                </c:pt>
                <c:pt idx="13">
                  <c:v>OthNat-PhysSci</c:v>
                </c:pt>
                <c:pt idx="14">
                  <c:v>Eng&amp;Related</c:v>
                </c:pt>
                <c:pt idx="15">
                  <c:v>OthCreative</c:v>
                </c:pt>
                <c:pt idx="16">
                  <c:v>MedicalSci</c:v>
                </c:pt>
                <c:pt idx="17">
                  <c:v>Environment</c:v>
                </c:pt>
                <c:pt idx="18">
                  <c:v>OthAg&amp;Enviro</c:v>
                </c:pt>
                <c:pt idx="19">
                  <c:v>MedicalStudies</c:v>
                </c:pt>
                <c:pt idx="20">
                  <c:v>Dental</c:v>
                </c:pt>
                <c:pt idx="21">
                  <c:v>Veterinary</c:v>
                </c:pt>
              </c:strCache>
            </c:strRef>
          </c:cat>
          <c:val>
            <c:numRef>
              <c:f>'4.4_data'!$C$156:$X$156</c:f>
              <c:numCache>
                <c:formatCode>"$"#,##0</c:formatCode>
                <c:ptCount val="22"/>
                <c:pt idx="0">
                  <c:v>13720.731452402946</c:v>
                </c:pt>
                <c:pt idx="1">
                  <c:v>14021.279656108569</c:v>
                </c:pt>
                <c:pt idx="2">
                  <c:v>14497.042021307949</c:v>
                </c:pt>
                <c:pt idx="3">
                  <c:v>14531.295055985991</c:v>
                </c:pt>
                <c:pt idx="4">
                  <c:v>14738.987469874295</c:v>
                </c:pt>
                <c:pt idx="5">
                  <c:v>14767.15330461039</c:v>
                </c:pt>
                <c:pt idx="6">
                  <c:v>15197.360868020971</c:v>
                </c:pt>
                <c:pt idx="7">
                  <c:v>15686.781598391659</c:v>
                </c:pt>
                <c:pt idx="8">
                  <c:v>16410.829858831148</c:v>
                </c:pt>
                <c:pt idx="9">
                  <c:v>17058.015203031577</c:v>
                </c:pt>
                <c:pt idx="10">
                  <c:v>17758.323401757101</c:v>
                </c:pt>
                <c:pt idx="11">
                  <c:v>18351.534503226107</c:v>
                </c:pt>
                <c:pt idx="12">
                  <c:v>18609.691344713287</c:v>
                </c:pt>
                <c:pt idx="13">
                  <c:v>20141.065021377432</c:v>
                </c:pt>
                <c:pt idx="14">
                  <c:v>20510.110449207095</c:v>
                </c:pt>
                <c:pt idx="15">
                  <c:v>20713.781362374062</c:v>
                </c:pt>
                <c:pt idx="16">
                  <c:v>21117.294729968435</c:v>
                </c:pt>
                <c:pt idx="17">
                  <c:v>22745.689262345168</c:v>
                </c:pt>
                <c:pt idx="18">
                  <c:v>28693.938027401433</c:v>
                </c:pt>
                <c:pt idx="19">
                  <c:v>30047.226675844748</c:v>
                </c:pt>
                <c:pt idx="20">
                  <c:v>37198.899692374056</c:v>
                </c:pt>
                <c:pt idx="21">
                  <c:v>45121.687741910719</c:v>
                </c:pt>
              </c:numCache>
            </c:numRef>
          </c:val>
          <c:extLst>
            <c:ext xmlns:c16="http://schemas.microsoft.com/office/drawing/2014/chart" uri="{C3380CC4-5D6E-409C-BE32-E72D297353CC}">
              <c16:uniqueId val="{00000000-80A5-41A6-99A7-B6FB0E48308D}"/>
            </c:ext>
          </c:extLst>
        </c:ser>
        <c:ser>
          <c:idx val="1"/>
          <c:order val="1"/>
          <c:tx>
            <c:strRef>
              <c:f>'4.4_data'!$A$157:$B$157</c:f>
              <c:strCache>
                <c:ptCount val="2"/>
                <c:pt idx="0">
                  <c:v>Unable to identify costs at the unit of study level</c:v>
                </c:pt>
              </c:strCache>
            </c:strRef>
          </c:tx>
          <c:spPr>
            <a:solidFill>
              <a:schemeClr val="bg1">
                <a:lumMod val="75000"/>
              </a:schemeClr>
            </a:solidFill>
            <a:ln>
              <a:noFill/>
            </a:ln>
            <a:effectLst/>
          </c:spPr>
          <c:invertIfNegative val="0"/>
          <c:cat>
            <c:strRef>
              <c:f>'4.4_data'!$C$155:$X$155</c:f>
              <c:strCache>
                <c:ptCount val="22"/>
                <c:pt idx="0">
                  <c:v>FoodHosp&amp;Person</c:v>
                </c:pt>
                <c:pt idx="1">
                  <c:v>OtherSoc&amp;Cult</c:v>
                </c:pt>
                <c:pt idx="2">
                  <c:v>MixedField</c:v>
                </c:pt>
                <c:pt idx="3">
                  <c:v>Psych</c:v>
                </c:pt>
                <c:pt idx="4">
                  <c:v>Education</c:v>
                </c:pt>
                <c:pt idx="5">
                  <c:v>Mgmt&amp;Comm</c:v>
                </c:pt>
                <c:pt idx="6">
                  <c:v>MathSci</c:v>
                </c:pt>
                <c:pt idx="7">
                  <c:v>Comms&amp;Media</c:v>
                </c:pt>
                <c:pt idx="8">
                  <c:v>InfoTech</c:v>
                </c:pt>
                <c:pt idx="9">
                  <c:v>ForeignLang</c:v>
                </c:pt>
                <c:pt idx="10">
                  <c:v>Nursing</c:v>
                </c:pt>
                <c:pt idx="11">
                  <c:v>OthHealth</c:v>
                </c:pt>
                <c:pt idx="12">
                  <c:v>Archi&amp;Build</c:v>
                </c:pt>
                <c:pt idx="13">
                  <c:v>OthNat-PhysSci</c:v>
                </c:pt>
                <c:pt idx="14">
                  <c:v>Eng&amp;Related</c:v>
                </c:pt>
                <c:pt idx="15">
                  <c:v>OthCreative</c:v>
                </c:pt>
                <c:pt idx="16">
                  <c:v>MedicalSci</c:v>
                </c:pt>
                <c:pt idx="17">
                  <c:v>Environment</c:v>
                </c:pt>
                <c:pt idx="18">
                  <c:v>OthAg&amp;Enviro</c:v>
                </c:pt>
                <c:pt idx="19">
                  <c:v>MedicalStudies</c:v>
                </c:pt>
                <c:pt idx="20">
                  <c:v>Dental</c:v>
                </c:pt>
                <c:pt idx="21">
                  <c:v>Veterinary</c:v>
                </c:pt>
              </c:strCache>
            </c:strRef>
          </c:cat>
          <c:val>
            <c:numRef>
              <c:f>'4.4_data'!$C$157:$X$157</c:f>
              <c:numCache>
                <c:formatCode>"$"#,##0</c:formatCode>
                <c:ptCount val="22"/>
                <c:pt idx="0">
                  <c:v>30040.185663424691</c:v>
                </c:pt>
                <c:pt idx="1">
                  <c:v>16643.829021142938</c:v>
                </c:pt>
                <c:pt idx="2">
                  <c:v>0</c:v>
                </c:pt>
                <c:pt idx="3">
                  <c:v>18580.049342973598</c:v>
                </c:pt>
                <c:pt idx="4">
                  <c:v>18307.726767006341</c:v>
                </c:pt>
                <c:pt idx="5">
                  <c:v>16121.397681265002</c:v>
                </c:pt>
                <c:pt idx="6">
                  <c:v>20320.950154789734</c:v>
                </c:pt>
                <c:pt idx="7">
                  <c:v>16710.871045133754</c:v>
                </c:pt>
                <c:pt idx="8">
                  <c:v>18715.913139178498</c:v>
                </c:pt>
                <c:pt idx="9">
                  <c:v>17492.935182076526</c:v>
                </c:pt>
                <c:pt idx="10">
                  <c:v>18357.737577304692</c:v>
                </c:pt>
                <c:pt idx="11">
                  <c:v>22762.134825735364</c:v>
                </c:pt>
                <c:pt idx="12">
                  <c:v>17617.915636368059</c:v>
                </c:pt>
                <c:pt idx="13">
                  <c:v>26410.885984824261</c:v>
                </c:pt>
                <c:pt idx="14">
                  <c:v>22114.186161173173</c:v>
                </c:pt>
                <c:pt idx="15">
                  <c:v>20274.698568204036</c:v>
                </c:pt>
                <c:pt idx="16">
                  <c:v>28094.081534430905</c:v>
                </c:pt>
                <c:pt idx="17">
                  <c:v>21324.530742465573</c:v>
                </c:pt>
                <c:pt idx="18">
                  <c:v>31660.27177578897</c:v>
                </c:pt>
                <c:pt idx="19">
                  <c:v>29822.332927809624</c:v>
                </c:pt>
                <c:pt idx="20">
                  <c:v>40308.632015293624</c:v>
                </c:pt>
                <c:pt idx="21">
                  <c:v>56093.586899549657</c:v>
                </c:pt>
              </c:numCache>
            </c:numRef>
          </c:val>
          <c:extLst>
            <c:ext xmlns:c16="http://schemas.microsoft.com/office/drawing/2014/chart" uri="{C3380CC4-5D6E-409C-BE32-E72D297353CC}">
              <c16:uniqueId val="{00000001-80A5-41A6-99A7-B6FB0E48308D}"/>
            </c:ext>
          </c:extLst>
        </c:ser>
        <c:dLbls>
          <c:showLegendKey val="0"/>
          <c:showVal val="0"/>
          <c:showCatName val="0"/>
          <c:showSerName val="0"/>
          <c:showPercent val="0"/>
          <c:showBubbleSize val="0"/>
        </c:dLbls>
        <c:gapWidth val="219"/>
        <c:overlap val="-27"/>
        <c:axId val="631244240"/>
        <c:axId val="631244656"/>
      </c:barChart>
      <c:catAx>
        <c:axId val="63124424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82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631244656"/>
        <c:crosses val="autoZero"/>
        <c:auto val="1"/>
        <c:lblAlgn val="ctr"/>
        <c:lblOffset val="100"/>
        <c:noMultiLvlLbl val="0"/>
      </c:catAx>
      <c:valAx>
        <c:axId val="631244656"/>
        <c:scaling>
          <c:orientation val="minMax"/>
          <c:max val="60000"/>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63124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49040062700495773"/>
        </c:manualLayout>
      </c:layout>
      <c:barChart>
        <c:barDir val="col"/>
        <c:grouping val="clustered"/>
        <c:varyColors val="0"/>
        <c:ser>
          <c:idx val="0"/>
          <c:order val="0"/>
          <c:tx>
            <c:strRef>
              <c:f>'4.4_data (2020)'!$A$165:$B$165</c:f>
              <c:strCache>
                <c:ptCount val="2"/>
                <c:pt idx="0">
                  <c:v>Able to identify costs at the unit of study level</c:v>
                </c:pt>
              </c:strCache>
            </c:strRef>
          </c:tx>
          <c:spPr>
            <a:solidFill>
              <a:srgbClr val="00ABAB"/>
            </a:solidFill>
            <a:ln>
              <a:noFill/>
            </a:ln>
            <a:effectLst/>
          </c:spPr>
          <c:invertIfNegative val="0"/>
          <c:cat>
            <c:strRef>
              <c:f>'4.4_data'!$C$155:$X$155</c:f>
              <c:strCache>
                <c:ptCount val="22"/>
                <c:pt idx="0">
                  <c:v>FoodHosp&amp;Person</c:v>
                </c:pt>
                <c:pt idx="1">
                  <c:v>OtherSoc&amp;Cult</c:v>
                </c:pt>
                <c:pt idx="2">
                  <c:v>MixedField</c:v>
                </c:pt>
                <c:pt idx="3">
                  <c:v>Psych</c:v>
                </c:pt>
                <c:pt idx="4">
                  <c:v>Education</c:v>
                </c:pt>
                <c:pt idx="5">
                  <c:v>Mgmt&amp;Comm</c:v>
                </c:pt>
                <c:pt idx="6">
                  <c:v>MathSci</c:v>
                </c:pt>
                <c:pt idx="7">
                  <c:v>Comms&amp;Media</c:v>
                </c:pt>
                <c:pt idx="8">
                  <c:v>InfoTech</c:v>
                </c:pt>
                <c:pt idx="9">
                  <c:v>ForeignLang</c:v>
                </c:pt>
                <c:pt idx="10">
                  <c:v>Nursing</c:v>
                </c:pt>
                <c:pt idx="11">
                  <c:v>OthHealth</c:v>
                </c:pt>
                <c:pt idx="12">
                  <c:v>Archi&amp;Build</c:v>
                </c:pt>
                <c:pt idx="13">
                  <c:v>OthNat-PhysSci</c:v>
                </c:pt>
                <c:pt idx="14">
                  <c:v>Eng&amp;Related</c:v>
                </c:pt>
                <c:pt idx="15">
                  <c:v>OthCreative</c:v>
                </c:pt>
                <c:pt idx="16">
                  <c:v>MedicalSci</c:v>
                </c:pt>
                <c:pt idx="17">
                  <c:v>Environment</c:v>
                </c:pt>
                <c:pt idx="18">
                  <c:v>OthAg&amp;Enviro</c:v>
                </c:pt>
                <c:pt idx="19">
                  <c:v>MedicalStudies</c:v>
                </c:pt>
                <c:pt idx="20">
                  <c:v>Dental</c:v>
                </c:pt>
                <c:pt idx="21">
                  <c:v>Veterinary</c:v>
                </c:pt>
              </c:strCache>
            </c:strRef>
          </c:cat>
          <c:val>
            <c:numRef>
              <c:f>'4.4_data (2020)'!$C$165:$X$165</c:f>
              <c:numCache>
                <c:formatCode>"$"#,##0</c:formatCode>
                <c:ptCount val="22"/>
                <c:pt idx="0">
                  <c:v>13412.378518881464</c:v>
                </c:pt>
                <c:pt idx="1">
                  <c:v>14227.391859012907</c:v>
                </c:pt>
                <c:pt idx="2">
                  <c:v>14252.515769502643</c:v>
                </c:pt>
                <c:pt idx="3">
                  <c:v>14509.085116103843</c:v>
                </c:pt>
                <c:pt idx="4">
                  <c:v>15104.162879565893</c:v>
                </c:pt>
                <c:pt idx="5">
                  <c:v>15499.662349495295</c:v>
                </c:pt>
                <c:pt idx="6">
                  <c:v>15979.922261253125</c:v>
                </c:pt>
                <c:pt idx="7">
                  <c:v>16838.613015700626</c:v>
                </c:pt>
                <c:pt idx="8">
                  <c:v>17412.275295157389</c:v>
                </c:pt>
                <c:pt idx="9">
                  <c:v>18053.193492180151</c:v>
                </c:pt>
                <c:pt idx="10">
                  <c:v>18080.98739094835</c:v>
                </c:pt>
                <c:pt idx="11">
                  <c:v>18614.932653765325</c:v>
                </c:pt>
                <c:pt idx="12">
                  <c:v>18697.742974456709</c:v>
                </c:pt>
                <c:pt idx="13">
                  <c:v>19735.971950241037</c:v>
                </c:pt>
                <c:pt idx="14">
                  <c:v>19896.453223333545</c:v>
                </c:pt>
                <c:pt idx="15">
                  <c:v>20505.230414870344</c:v>
                </c:pt>
                <c:pt idx="16">
                  <c:v>21700.483883233665</c:v>
                </c:pt>
                <c:pt idx="17">
                  <c:v>22016.631346167076</c:v>
                </c:pt>
                <c:pt idx="18">
                  <c:v>28419.128755864473</c:v>
                </c:pt>
                <c:pt idx="19">
                  <c:v>29162.429917047713</c:v>
                </c:pt>
                <c:pt idx="20">
                  <c:v>37530.576011412522</c:v>
                </c:pt>
                <c:pt idx="21">
                  <c:v>45592.885530054416</c:v>
                </c:pt>
              </c:numCache>
            </c:numRef>
          </c:val>
          <c:extLst>
            <c:ext xmlns:c16="http://schemas.microsoft.com/office/drawing/2014/chart" uri="{C3380CC4-5D6E-409C-BE32-E72D297353CC}">
              <c16:uniqueId val="{00000000-8350-44B9-9F7A-FC9CE0D05E44}"/>
            </c:ext>
          </c:extLst>
        </c:ser>
        <c:ser>
          <c:idx val="1"/>
          <c:order val="1"/>
          <c:tx>
            <c:strRef>
              <c:f>'4.4_data (2020)'!$A$166:$B$166</c:f>
              <c:strCache>
                <c:ptCount val="2"/>
                <c:pt idx="0">
                  <c:v>Unable to identify costs at the unit of study level</c:v>
                </c:pt>
              </c:strCache>
            </c:strRef>
          </c:tx>
          <c:spPr>
            <a:solidFill>
              <a:schemeClr val="bg1">
                <a:lumMod val="75000"/>
              </a:schemeClr>
            </a:solidFill>
            <a:ln>
              <a:noFill/>
            </a:ln>
            <a:effectLst/>
          </c:spPr>
          <c:invertIfNegative val="0"/>
          <c:cat>
            <c:strRef>
              <c:f>'4.4_data'!$C$155:$X$155</c:f>
              <c:strCache>
                <c:ptCount val="22"/>
                <c:pt idx="0">
                  <c:v>FoodHosp&amp;Person</c:v>
                </c:pt>
                <c:pt idx="1">
                  <c:v>OtherSoc&amp;Cult</c:v>
                </c:pt>
                <c:pt idx="2">
                  <c:v>MixedField</c:v>
                </c:pt>
                <c:pt idx="3">
                  <c:v>Psych</c:v>
                </c:pt>
                <c:pt idx="4">
                  <c:v>Education</c:v>
                </c:pt>
                <c:pt idx="5">
                  <c:v>Mgmt&amp;Comm</c:v>
                </c:pt>
                <c:pt idx="6">
                  <c:v>MathSci</c:v>
                </c:pt>
                <c:pt idx="7">
                  <c:v>Comms&amp;Media</c:v>
                </c:pt>
                <c:pt idx="8">
                  <c:v>InfoTech</c:v>
                </c:pt>
                <c:pt idx="9">
                  <c:v>ForeignLang</c:v>
                </c:pt>
                <c:pt idx="10">
                  <c:v>Nursing</c:v>
                </c:pt>
                <c:pt idx="11">
                  <c:v>OthHealth</c:v>
                </c:pt>
                <c:pt idx="12">
                  <c:v>Archi&amp;Build</c:v>
                </c:pt>
                <c:pt idx="13">
                  <c:v>OthNat-PhysSci</c:v>
                </c:pt>
                <c:pt idx="14">
                  <c:v>Eng&amp;Related</c:v>
                </c:pt>
                <c:pt idx="15">
                  <c:v>OthCreative</c:v>
                </c:pt>
                <c:pt idx="16">
                  <c:v>MedicalSci</c:v>
                </c:pt>
                <c:pt idx="17">
                  <c:v>Environment</c:v>
                </c:pt>
                <c:pt idx="18">
                  <c:v>OthAg&amp;Enviro</c:v>
                </c:pt>
                <c:pt idx="19">
                  <c:v>MedicalStudies</c:v>
                </c:pt>
                <c:pt idx="20">
                  <c:v>Dental</c:v>
                </c:pt>
                <c:pt idx="21">
                  <c:v>Veterinary</c:v>
                </c:pt>
              </c:strCache>
            </c:strRef>
          </c:cat>
          <c:val>
            <c:numRef>
              <c:f>'4.4_data (2020)'!$C$166:$X$166</c:f>
              <c:numCache>
                <c:formatCode>"$"#,##0</c:formatCode>
                <c:ptCount val="22"/>
                <c:pt idx="0">
                  <c:v>0</c:v>
                </c:pt>
                <c:pt idx="1">
                  <c:v>18165.285395181221</c:v>
                </c:pt>
                <c:pt idx="2">
                  <c:v>16759.070288660245</c:v>
                </c:pt>
                <c:pt idx="3">
                  <c:v>18124.154391041153</c:v>
                </c:pt>
                <c:pt idx="4">
                  <c:v>16261.565777658818</c:v>
                </c:pt>
                <c:pt idx="5">
                  <c:v>20202.243906828018</c:v>
                </c:pt>
                <c:pt idx="6">
                  <c:v>16834.95045429052</c:v>
                </c:pt>
                <c:pt idx="7">
                  <c:v>17965.478576313224</c:v>
                </c:pt>
                <c:pt idx="8">
                  <c:v>19348.013027877587</c:v>
                </c:pt>
                <c:pt idx="9">
                  <c:v>0</c:v>
                </c:pt>
                <c:pt idx="10">
                  <c:v>18696.647813705273</c:v>
                </c:pt>
                <c:pt idx="11">
                  <c:v>22008.646377622063</c:v>
                </c:pt>
                <c:pt idx="12">
                  <c:v>17545.624790975249</c:v>
                </c:pt>
                <c:pt idx="13">
                  <c:v>28374.284788963472</c:v>
                </c:pt>
                <c:pt idx="14">
                  <c:v>25720.196419676678</c:v>
                </c:pt>
                <c:pt idx="15">
                  <c:v>23189.719894922557</c:v>
                </c:pt>
                <c:pt idx="16">
                  <c:v>20236.661766081263</c:v>
                </c:pt>
                <c:pt idx="17">
                  <c:v>20706.414055065899</c:v>
                </c:pt>
                <c:pt idx="18">
                  <c:v>27165.216000259439</c:v>
                </c:pt>
                <c:pt idx="19">
                  <c:v>29086.375544580849</c:v>
                </c:pt>
                <c:pt idx="20">
                  <c:v>36539.553490893835</c:v>
                </c:pt>
                <c:pt idx="21">
                  <c:v>50082.946482893072</c:v>
                </c:pt>
              </c:numCache>
            </c:numRef>
          </c:val>
          <c:extLst>
            <c:ext xmlns:c16="http://schemas.microsoft.com/office/drawing/2014/chart" uri="{C3380CC4-5D6E-409C-BE32-E72D297353CC}">
              <c16:uniqueId val="{00000001-8350-44B9-9F7A-FC9CE0D05E44}"/>
            </c:ext>
          </c:extLst>
        </c:ser>
        <c:dLbls>
          <c:showLegendKey val="0"/>
          <c:showVal val="0"/>
          <c:showCatName val="0"/>
          <c:showSerName val="0"/>
          <c:showPercent val="0"/>
          <c:showBubbleSize val="0"/>
        </c:dLbls>
        <c:gapWidth val="219"/>
        <c:overlap val="-27"/>
        <c:axId val="631244240"/>
        <c:axId val="631244656"/>
      </c:barChart>
      <c:catAx>
        <c:axId val="63124424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82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631244656"/>
        <c:crosses val="autoZero"/>
        <c:auto val="1"/>
        <c:lblAlgn val="ctr"/>
        <c:lblOffset val="100"/>
        <c:noMultiLvlLbl val="0"/>
      </c:catAx>
      <c:valAx>
        <c:axId val="631244656"/>
        <c:scaling>
          <c:orientation val="minMax"/>
          <c:max val="60000"/>
        </c:scaling>
        <c:delete val="0"/>
        <c:axPos val="l"/>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63124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0121809251726145E-2"/>
          <c:y val="4.8006241138324732E-2"/>
          <c:w val="0.90932268329896426"/>
          <c:h val="0.72069365760898185"/>
        </c:manualLayout>
      </c:layout>
      <c:stockChart>
        <c:ser>
          <c:idx val="3"/>
          <c:order val="0"/>
          <c:tx>
            <c:strRef>
              <c:f>'Comp to Prev_All FOEs (17-20)'!$CU$37</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50B7-4ECA-BCC6-C189DF7EEFFF}"/>
              </c:ext>
            </c:extLst>
          </c:dPt>
          <c:cat>
            <c:strRef>
              <c:f>'Comp to Prev_All FOEs (17-20)'!$CV$6:$GI$6</c:f>
              <c:strCache>
                <c:ptCount val="92"/>
                <c:pt idx="0">
                  <c:v>MathSci (n=25)</c:v>
                </c:pt>
                <c:pt idx="1">
                  <c:v> (n=25)</c:v>
                </c:pt>
                <c:pt idx="2">
                  <c:v> (n=25)</c:v>
                </c:pt>
                <c:pt idx="3">
                  <c:v> (n=25)</c:v>
                </c:pt>
                <c:pt idx="4">
                  <c:v>MedicalSci (n=21)</c:v>
                </c:pt>
                <c:pt idx="5">
                  <c:v> (n=22)</c:v>
                </c:pt>
                <c:pt idx="6">
                  <c:v> (n=21)</c:v>
                </c:pt>
                <c:pt idx="7">
                  <c:v> (n=21)</c:v>
                </c:pt>
                <c:pt idx="8">
                  <c:v>OthNat-PhysSci (n=25)</c:v>
                </c:pt>
                <c:pt idx="9">
                  <c:v> (n=25)</c:v>
                </c:pt>
                <c:pt idx="10">
                  <c:v> (n=25)</c:v>
                </c:pt>
                <c:pt idx="11">
                  <c:v> (n=25)</c:v>
                </c:pt>
                <c:pt idx="12">
                  <c:v>InfoTech (n=25)</c:v>
                </c:pt>
                <c:pt idx="13">
                  <c:v> (n=25)</c:v>
                </c:pt>
                <c:pt idx="14">
                  <c:v> (n=25)</c:v>
                </c:pt>
                <c:pt idx="15">
                  <c:v> (n=25)</c:v>
                </c:pt>
                <c:pt idx="16">
                  <c:v>Eng&amp;Related (n=25)</c:v>
                </c:pt>
                <c:pt idx="17">
                  <c:v> (n=25)</c:v>
                </c:pt>
                <c:pt idx="18">
                  <c:v> (n=25)</c:v>
                </c:pt>
                <c:pt idx="19">
                  <c:v> (n=25)</c:v>
                </c:pt>
                <c:pt idx="20">
                  <c:v>Archi&amp;Build (n=20)</c:v>
                </c:pt>
                <c:pt idx="21">
                  <c:v> (n=20)</c:v>
                </c:pt>
                <c:pt idx="22">
                  <c:v> (n=20)</c:v>
                </c:pt>
                <c:pt idx="23">
                  <c:v> (n=20)</c:v>
                </c:pt>
                <c:pt idx="24">
                  <c:v>Environment (n=24)</c:v>
                </c:pt>
                <c:pt idx="25">
                  <c:v> (n=25)</c:v>
                </c:pt>
                <c:pt idx="26">
                  <c:v> (n=25)</c:v>
                </c:pt>
                <c:pt idx="27">
                  <c:v> (n=25)</c:v>
                </c:pt>
                <c:pt idx="28">
                  <c:v>OthAg&amp;Enviro (n=15)</c:v>
                </c:pt>
                <c:pt idx="29">
                  <c:v> (n=15)</c:v>
                </c:pt>
                <c:pt idx="30">
                  <c:v> (n=15)</c:v>
                </c:pt>
                <c:pt idx="31">
                  <c:v> (n=14)</c:v>
                </c:pt>
                <c:pt idx="32">
                  <c:v>MedicalStudies (n=20)</c:v>
                </c:pt>
                <c:pt idx="33">
                  <c:v> (n=19)</c:v>
                </c:pt>
                <c:pt idx="34">
                  <c:v> (n=19)</c:v>
                </c:pt>
                <c:pt idx="35">
                  <c:v> (n=19)</c:v>
                </c:pt>
                <c:pt idx="36">
                  <c:v>Nursing (n=23)</c:v>
                </c:pt>
                <c:pt idx="37">
                  <c:v> (n=23)</c:v>
                </c:pt>
                <c:pt idx="38">
                  <c:v> (n=23)</c:v>
                </c:pt>
                <c:pt idx="39">
                  <c:v> (n=23)</c:v>
                </c:pt>
                <c:pt idx="40">
                  <c:v>Dental (n=8)</c:v>
                </c:pt>
                <c:pt idx="41">
                  <c:v> (n=8)</c:v>
                </c:pt>
                <c:pt idx="42">
                  <c:v> (n=8)</c:v>
                </c:pt>
                <c:pt idx="43">
                  <c:v> (n=8)</c:v>
                </c:pt>
                <c:pt idx="44">
                  <c:v>Veterinary (n=6)</c:v>
                </c:pt>
                <c:pt idx="45">
                  <c:v> (n=6)</c:v>
                </c:pt>
                <c:pt idx="46">
                  <c:v> (n=6)</c:v>
                </c:pt>
                <c:pt idx="47">
                  <c:v> (n=6)</c:v>
                </c:pt>
                <c:pt idx="48">
                  <c:v>OthHealth (n=25)</c:v>
                </c:pt>
                <c:pt idx="49">
                  <c:v> (n=25)</c:v>
                </c:pt>
                <c:pt idx="50">
                  <c:v> (n=25)</c:v>
                </c:pt>
                <c:pt idx="51">
                  <c:v> (n=25)</c:v>
                </c:pt>
                <c:pt idx="52">
                  <c:v>Education (n=25)</c:v>
                </c:pt>
                <c:pt idx="53">
                  <c:v> (n=25)</c:v>
                </c:pt>
                <c:pt idx="54">
                  <c:v> (n=25)</c:v>
                </c:pt>
                <c:pt idx="55">
                  <c:v> (n=25)</c:v>
                </c:pt>
                <c:pt idx="56">
                  <c:v>Mgmt&amp;Comm (n=25)</c:v>
                </c:pt>
                <c:pt idx="57">
                  <c:v> (n=25)</c:v>
                </c:pt>
                <c:pt idx="58">
                  <c:v> (n=25)</c:v>
                </c:pt>
                <c:pt idx="59">
                  <c:v> (n=25)</c:v>
                </c:pt>
                <c:pt idx="60">
                  <c:v>ForeignLang (n=21)</c:v>
                </c:pt>
                <c:pt idx="61">
                  <c:v> (n=20)</c:v>
                </c:pt>
                <c:pt idx="62">
                  <c:v> (n=18)</c:v>
                </c:pt>
                <c:pt idx="63">
                  <c:v> (n=18)</c:v>
                </c:pt>
                <c:pt idx="64">
                  <c:v>Psych (n=25)</c:v>
                </c:pt>
                <c:pt idx="65">
                  <c:v> (n=25)</c:v>
                </c:pt>
                <c:pt idx="66">
                  <c:v> (n=25)</c:v>
                </c:pt>
                <c:pt idx="67">
                  <c:v> (n=25)</c:v>
                </c:pt>
                <c:pt idx="68">
                  <c:v>OtherSoc&amp;Cult (n=25)</c:v>
                </c:pt>
                <c:pt idx="69">
                  <c:v> (n=25)</c:v>
                </c:pt>
                <c:pt idx="70">
                  <c:v> (n=25)</c:v>
                </c:pt>
                <c:pt idx="71">
                  <c:v> (n=25)</c:v>
                </c:pt>
                <c:pt idx="72">
                  <c:v>Comms&amp;Media (n=25)</c:v>
                </c:pt>
                <c:pt idx="73">
                  <c:v> (n=25)</c:v>
                </c:pt>
                <c:pt idx="74">
                  <c:v> (n=25)</c:v>
                </c:pt>
                <c:pt idx="75">
                  <c:v> (n=25)</c:v>
                </c:pt>
                <c:pt idx="76">
                  <c:v>OthCreative (n=25)</c:v>
                </c:pt>
                <c:pt idx="77">
                  <c:v> (n=25)</c:v>
                </c:pt>
                <c:pt idx="78">
                  <c:v> (n=25)</c:v>
                </c:pt>
                <c:pt idx="79">
                  <c:v> (n=25)</c:v>
                </c:pt>
                <c:pt idx="80">
                  <c:v>FoodHosp&amp;Person (n=4)</c:v>
                </c:pt>
                <c:pt idx="81">
                  <c:v> (n=4)</c:v>
                </c:pt>
                <c:pt idx="82">
                  <c:v> (n=2)</c:v>
                </c:pt>
                <c:pt idx="83">
                  <c:v> (n=1)</c:v>
                </c:pt>
                <c:pt idx="84">
                  <c:v>MixedField (n=2)</c:v>
                </c:pt>
                <c:pt idx="85">
                  <c:v> (n=3)</c:v>
                </c:pt>
                <c:pt idx="86">
                  <c:v> (n=3)</c:v>
                </c:pt>
                <c:pt idx="87">
                  <c:v> (n=4)</c:v>
                </c:pt>
                <c:pt idx="88">
                  <c:v>Total (n=25)</c:v>
                </c:pt>
                <c:pt idx="89">
                  <c:v> (n=25)</c:v>
                </c:pt>
                <c:pt idx="90">
                  <c:v> (n=25)</c:v>
                </c:pt>
                <c:pt idx="91">
                  <c:v> (n=25)</c:v>
                </c:pt>
              </c:strCache>
            </c:strRef>
          </c:cat>
          <c:val>
            <c:numRef>
              <c:f>'Comp to Prev_All FOEs (17-20)'!$CV$37:$GI$37</c:f>
              <c:numCache>
                <c:formatCode>0.0</c:formatCode>
                <c:ptCount val="92"/>
                <c:pt idx="0">
                  <c:v>1.5598984375864466</c:v>
                </c:pt>
                <c:pt idx="1">
                  <c:v>1.2280084678932672</c:v>
                </c:pt>
                <c:pt idx="2">
                  <c:v>1.5488440076655239</c:v>
                </c:pt>
                <c:pt idx="3">
                  <c:v>1.748717442016773</c:v>
                </c:pt>
                <c:pt idx="4">
                  <c:v>1.0864864992038763</c:v>
                </c:pt>
                <c:pt idx="5">
                  <c:v>1.1851020427723851</c:v>
                </c:pt>
                <c:pt idx="6">
                  <c:v>1.1688228528451239</c:v>
                </c:pt>
                <c:pt idx="7">
                  <c:v>1.1418967157085813</c:v>
                </c:pt>
                <c:pt idx="8">
                  <c:v>1.0643298764991971</c:v>
                </c:pt>
                <c:pt idx="9">
                  <c:v>1.045316729897299</c:v>
                </c:pt>
                <c:pt idx="10">
                  <c:v>1.2101433124084977</c:v>
                </c:pt>
                <c:pt idx="11">
                  <c:v>1.0792609295676703</c:v>
                </c:pt>
                <c:pt idx="12">
                  <c:v>1.6567203884869788</c:v>
                </c:pt>
                <c:pt idx="13">
                  <c:v>1.1757834268576213</c:v>
                </c:pt>
                <c:pt idx="14">
                  <c:v>1.4230629161027848</c:v>
                </c:pt>
                <c:pt idx="15">
                  <c:v>1.5450888492403563</c:v>
                </c:pt>
                <c:pt idx="16">
                  <c:v>1.6885855940423613</c:v>
                </c:pt>
                <c:pt idx="17">
                  <c:v>1.8951858807578819</c:v>
                </c:pt>
                <c:pt idx="18">
                  <c:v>1.3485184935388568</c:v>
                </c:pt>
                <c:pt idx="19">
                  <c:v>1.3049738442877377</c:v>
                </c:pt>
                <c:pt idx="20">
                  <c:v>1.6362405022238875</c:v>
                </c:pt>
                <c:pt idx="21">
                  <c:v>1.4006121564515346</c:v>
                </c:pt>
                <c:pt idx="22">
                  <c:v>1.477743978145772</c:v>
                </c:pt>
                <c:pt idx="23">
                  <c:v>1.4133091474873638</c:v>
                </c:pt>
                <c:pt idx="24">
                  <c:v>1.0714061929593413</c:v>
                </c:pt>
                <c:pt idx="25">
                  <c:v>1.4676401978142739</c:v>
                </c:pt>
                <c:pt idx="26">
                  <c:v>2.000892745115892</c:v>
                </c:pt>
                <c:pt idx="27">
                  <c:v>1.8035808958966129</c:v>
                </c:pt>
                <c:pt idx="28">
                  <c:v>1.2938476241371035</c:v>
                </c:pt>
                <c:pt idx="29">
                  <c:v>1.2952877188956935</c:v>
                </c:pt>
                <c:pt idx="30">
                  <c:v>1.2742624294826457</c:v>
                </c:pt>
                <c:pt idx="31">
                  <c:v>1.3021780419208151</c:v>
                </c:pt>
                <c:pt idx="32">
                  <c:v>1.283482022391127</c:v>
                </c:pt>
                <c:pt idx="33">
                  <c:v>1.3890116345396106</c:v>
                </c:pt>
                <c:pt idx="34">
                  <c:v>1.2031640586455159</c:v>
                </c:pt>
                <c:pt idx="35">
                  <c:v>0.9727115238778109</c:v>
                </c:pt>
                <c:pt idx="36">
                  <c:v>1.217901405916598</c:v>
                </c:pt>
                <c:pt idx="37">
                  <c:v>1.1135899137304721</c:v>
                </c:pt>
                <c:pt idx="38">
                  <c:v>1.076621123982612</c:v>
                </c:pt>
                <c:pt idx="39">
                  <c:v>1.2062568615412035</c:v>
                </c:pt>
                <c:pt idx="40">
                  <c:v>1.708422556656134</c:v>
                </c:pt>
                <c:pt idx="41">
                  <c:v>1.8394995757541568</c:v>
                </c:pt>
                <c:pt idx="42">
                  <c:v>1.6195871646479096</c:v>
                </c:pt>
                <c:pt idx="43">
                  <c:v>1.632684354532419</c:v>
                </c:pt>
                <c:pt idx="44">
                  <c:v>2.252205173249854</c:v>
                </c:pt>
                <c:pt idx="45">
                  <c:v>1.911282565733097</c:v>
                </c:pt>
                <c:pt idx="46">
                  <c:v>1.6412400534122629</c:v>
                </c:pt>
                <c:pt idx="47">
                  <c:v>1.8283195252503395</c:v>
                </c:pt>
                <c:pt idx="48">
                  <c:v>2.4563824666279075</c:v>
                </c:pt>
                <c:pt idx="49">
                  <c:v>1.731141233581813</c:v>
                </c:pt>
                <c:pt idx="50">
                  <c:v>1.2997080818624391</c:v>
                </c:pt>
                <c:pt idx="51">
                  <c:v>1.6922161492377403</c:v>
                </c:pt>
                <c:pt idx="52">
                  <c:v>1.3990046264988369</c:v>
                </c:pt>
                <c:pt idx="53">
                  <c:v>1.3373708505958177</c:v>
                </c:pt>
                <c:pt idx="54">
                  <c:v>1.3999967899322847</c:v>
                </c:pt>
                <c:pt idx="55">
                  <c:v>1.5651339952610064</c:v>
                </c:pt>
                <c:pt idx="56">
                  <c:v>2.4349077828875791</c:v>
                </c:pt>
                <c:pt idx="57">
                  <c:v>1.9480210437543288</c:v>
                </c:pt>
                <c:pt idx="58">
                  <c:v>1.8011839950682962</c:v>
                </c:pt>
                <c:pt idx="59">
                  <c:v>1.8318425824751781</c:v>
                </c:pt>
                <c:pt idx="60">
                  <c:v>1.9984640649074557</c:v>
                </c:pt>
                <c:pt idx="61">
                  <c:v>2.1671355647856476</c:v>
                </c:pt>
                <c:pt idx="62">
                  <c:v>1.7294185910129911</c:v>
                </c:pt>
                <c:pt idx="63">
                  <c:v>1.570324255431047</c:v>
                </c:pt>
                <c:pt idx="64">
                  <c:v>1.3293652744488649</c:v>
                </c:pt>
                <c:pt idx="65">
                  <c:v>1.4769654724612418</c:v>
                </c:pt>
                <c:pt idx="66">
                  <c:v>1.8765919202197594</c:v>
                </c:pt>
                <c:pt idx="67">
                  <c:v>1.8053102141078652</c:v>
                </c:pt>
                <c:pt idx="68">
                  <c:v>1.6194921435862724</c:v>
                </c:pt>
                <c:pt idx="69">
                  <c:v>1.643287323828901</c:v>
                </c:pt>
                <c:pt idx="70">
                  <c:v>1.6355052100959646</c:v>
                </c:pt>
                <c:pt idx="71">
                  <c:v>1.523853777960283</c:v>
                </c:pt>
                <c:pt idx="72">
                  <c:v>1.2103118968064235</c:v>
                </c:pt>
                <c:pt idx="73">
                  <c:v>1.4317148074170738</c:v>
                </c:pt>
                <c:pt idx="74">
                  <c:v>1.2276097326838729</c:v>
                </c:pt>
                <c:pt idx="75">
                  <c:v>1.1759081998654317</c:v>
                </c:pt>
                <c:pt idx="76">
                  <c:v>1.7301152366586636</c:v>
                </c:pt>
                <c:pt idx="77">
                  <c:v>1.3785884100735424</c:v>
                </c:pt>
                <c:pt idx="78">
                  <c:v>1.7539647071427127</c:v>
                </c:pt>
                <c:pt idx="79">
                  <c:v>1.7468707413527016</c:v>
                </c:pt>
                <c:pt idx="80">
                  <c:v>2.8103334198405716</c:v>
                </c:pt>
                <c:pt idx="81">
                  <c:v>4.1208339449022775</c:v>
                </c:pt>
                <c:pt idx="82">
                  <c:v>2.2899973824839677</c:v>
                </c:pt>
                <c:pt idx="83">
                  <c:v>0.94538249726902601</c:v>
                </c:pt>
                <c:pt idx="84">
                  <c:v>0.8317906395624699</c:v>
                </c:pt>
                <c:pt idx="85">
                  <c:v>1.5084760050208212</c:v>
                </c:pt>
                <c:pt idx="86">
                  <c:v>0.98919362701326075</c:v>
                </c:pt>
                <c:pt idx="87">
                  <c:v>5.0920601732052813</c:v>
                </c:pt>
                <c:pt idx="88">
                  <c:v>1.1183260534461914</c:v>
                </c:pt>
                <c:pt idx="89">
                  <c:v>1.2007564218081399</c:v>
                </c:pt>
                <c:pt idx="90">
                  <c:v>1.1530266054470486</c:v>
                </c:pt>
                <c:pt idx="91">
                  <c:v>1.2306272996680674</c:v>
                </c:pt>
              </c:numCache>
            </c:numRef>
          </c:val>
          <c:smooth val="0"/>
          <c:extLst>
            <c:ext xmlns:c16="http://schemas.microsoft.com/office/drawing/2014/chart" uri="{C3380CC4-5D6E-409C-BE32-E72D297353CC}">
              <c16:uniqueId val="{00000001-50B7-4ECA-BCC6-C189DF7EEFFF}"/>
            </c:ext>
          </c:extLst>
        </c:ser>
        <c:ser>
          <c:idx val="4"/>
          <c:order val="1"/>
          <c:tx>
            <c:strRef>
              <c:f>'Comp to Prev_All FOEs (17-20)'!$CU$38</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50B7-4ECA-BCC6-C189DF7EEFFF}"/>
              </c:ext>
            </c:extLst>
          </c:dPt>
          <c:cat>
            <c:strRef>
              <c:f>'Comp to Prev_All FOEs (17-20)'!$CV$6:$GI$6</c:f>
              <c:strCache>
                <c:ptCount val="92"/>
                <c:pt idx="0">
                  <c:v>MathSci (n=25)</c:v>
                </c:pt>
                <c:pt idx="1">
                  <c:v> (n=25)</c:v>
                </c:pt>
                <c:pt idx="2">
                  <c:v> (n=25)</c:v>
                </c:pt>
                <c:pt idx="3">
                  <c:v> (n=25)</c:v>
                </c:pt>
                <c:pt idx="4">
                  <c:v>MedicalSci (n=21)</c:v>
                </c:pt>
                <c:pt idx="5">
                  <c:v> (n=22)</c:v>
                </c:pt>
                <c:pt idx="6">
                  <c:v> (n=21)</c:v>
                </c:pt>
                <c:pt idx="7">
                  <c:v> (n=21)</c:v>
                </c:pt>
                <c:pt idx="8">
                  <c:v>OthNat-PhysSci (n=25)</c:v>
                </c:pt>
                <c:pt idx="9">
                  <c:v> (n=25)</c:v>
                </c:pt>
                <c:pt idx="10">
                  <c:v> (n=25)</c:v>
                </c:pt>
                <c:pt idx="11">
                  <c:v> (n=25)</c:v>
                </c:pt>
                <c:pt idx="12">
                  <c:v>InfoTech (n=25)</c:v>
                </c:pt>
                <c:pt idx="13">
                  <c:v> (n=25)</c:v>
                </c:pt>
                <c:pt idx="14">
                  <c:v> (n=25)</c:v>
                </c:pt>
                <c:pt idx="15">
                  <c:v> (n=25)</c:v>
                </c:pt>
                <c:pt idx="16">
                  <c:v>Eng&amp;Related (n=25)</c:v>
                </c:pt>
                <c:pt idx="17">
                  <c:v> (n=25)</c:v>
                </c:pt>
                <c:pt idx="18">
                  <c:v> (n=25)</c:v>
                </c:pt>
                <c:pt idx="19">
                  <c:v> (n=25)</c:v>
                </c:pt>
                <c:pt idx="20">
                  <c:v>Archi&amp;Build (n=20)</c:v>
                </c:pt>
                <c:pt idx="21">
                  <c:v> (n=20)</c:v>
                </c:pt>
                <c:pt idx="22">
                  <c:v> (n=20)</c:v>
                </c:pt>
                <c:pt idx="23">
                  <c:v> (n=20)</c:v>
                </c:pt>
                <c:pt idx="24">
                  <c:v>Environment (n=24)</c:v>
                </c:pt>
                <c:pt idx="25">
                  <c:v> (n=25)</c:v>
                </c:pt>
                <c:pt idx="26">
                  <c:v> (n=25)</c:v>
                </c:pt>
                <c:pt idx="27">
                  <c:v> (n=25)</c:v>
                </c:pt>
                <c:pt idx="28">
                  <c:v>OthAg&amp;Enviro (n=15)</c:v>
                </c:pt>
                <c:pt idx="29">
                  <c:v> (n=15)</c:v>
                </c:pt>
                <c:pt idx="30">
                  <c:v> (n=15)</c:v>
                </c:pt>
                <c:pt idx="31">
                  <c:v> (n=14)</c:v>
                </c:pt>
                <c:pt idx="32">
                  <c:v>MedicalStudies (n=20)</c:v>
                </c:pt>
                <c:pt idx="33">
                  <c:v> (n=19)</c:v>
                </c:pt>
                <c:pt idx="34">
                  <c:v> (n=19)</c:v>
                </c:pt>
                <c:pt idx="35">
                  <c:v> (n=19)</c:v>
                </c:pt>
                <c:pt idx="36">
                  <c:v>Nursing (n=23)</c:v>
                </c:pt>
                <c:pt idx="37">
                  <c:v> (n=23)</c:v>
                </c:pt>
                <c:pt idx="38">
                  <c:v> (n=23)</c:v>
                </c:pt>
                <c:pt idx="39">
                  <c:v> (n=23)</c:v>
                </c:pt>
                <c:pt idx="40">
                  <c:v>Dental (n=8)</c:v>
                </c:pt>
                <c:pt idx="41">
                  <c:v> (n=8)</c:v>
                </c:pt>
                <c:pt idx="42">
                  <c:v> (n=8)</c:v>
                </c:pt>
                <c:pt idx="43">
                  <c:v> (n=8)</c:v>
                </c:pt>
                <c:pt idx="44">
                  <c:v>Veterinary (n=6)</c:v>
                </c:pt>
                <c:pt idx="45">
                  <c:v> (n=6)</c:v>
                </c:pt>
                <c:pt idx="46">
                  <c:v> (n=6)</c:v>
                </c:pt>
                <c:pt idx="47">
                  <c:v> (n=6)</c:v>
                </c:pt>
                <c:pt idx="48">
                  <c:v>OthHealth (n=25)</c:v>
                </c:pt>
                <c:pt idx="49">
                  <c:v> (n=25)</c:v>
                </c:pt>
                <c:pt idx="50">
                  <c:v> (n=25)</c:v>
                </c:pt>
                <c:pt idx="51">
                  <c:v> (n=25)</c:v>
                </c:pt>
                <c:pt idx="52">
                  <c:v>Education (n=25)</c:v>
                </c:pt>
                <c:pt idx="53">
                  <c:v> (n=25)</c:v>
                </c:pt>
                <c:pt idx="54">
                  <c:v> (n=25)</c:v>
                </c:pt>
                <c:pt idx="55">
                  <c:v> (n=25)</c:v>
                </c:pt>
                <c:pt idx="56">
                  <c:v>Mgmt&amp;Comm (n=25)</c:v>
                </c:pt>
                <c:pt idx="57">
                  <c:v> (n=25)</c:v>
                </c:pt>
                <c:pt idx="58">
                  <c:v> (n=25)</c:v>
                </c:pt>
                <c:pt idx="59">
                  <c:v> (n=25)</c:v>
                </c:pt>
                <c:pt idx="60">
                  <c:v>ForeignLang (n=21)</c:v>
                </c:pt>
                <c:pt idx="61">
                  <c:v> (n=20)</c:v>
                </c:pt>
                <c:pt idx="62">
                  <c:v> (n=18)</c:v>
                </c:pt>
                <c:pt idx="63">
                  <c:v> (n=18)</c:v>
                </c:pt>
                <c:pt idx="64">
                  <c:v>Psych (n=25)</c:v>
                </c:pt>
                <c:pt idx="65">
                  <c:v> (n=25)</c:v>
                </c:pt>
                <c:pt idx="66">
                  <c:v> (n=25)</c:v>
                </c:pt>
                <c:pt idx="67">
                  <c:v> (n=25)</c:v>
                </c:pt>
                <c:pt idx="68">
                  <c:v>OtherSoc&amp;Cult (n=25)</c:v>
                </c:pt>
                <c:pt idx="69">
                  <c:v> (n=25)</c:v>
                </c:pt>
                <c:pt idx="70">
                  <c:v> (n=25)</c:v>
                </c:pt>
                <c:pt idx="71">
                  <c:v> (n=25)</c:v>
                </c:pt>
                <c:pt idx="72">
                  <c:v>Comms&amp;Media (n=25)</c:v>
                </c:pt>
                <c:pt idx="73">
                  <c:v> (n=25)</c:v>
                </c:pt>
                <c:pt idx="74">
                  <c:v> (n=25)</c:v>
                </c:pt>
                <c:pt idx="75">
                  <c:v> (n=25)</c:v>
                </c:pt>
                <c:pt idx="76">
                  <c:v>OthCreative (n=25)</c:v>
                </c:pt>
                <c:pt idx="77">
                  <c:v> (n=25)</c:v>
                </c:pt>
                <c:pt idx="78">
                  <c:v> (n=25)</c:v>
                </c:pt>
                <c:pt idx="79">
                  <c:v> (n=25)</c:v>
                </c:pt>
                <c:pt idx="80">
                  <c:v>FoodHosp&amp;Person (n=4)</c:v>
                </c:pt>
                <c:pt idx="81">
                  <c:v> (n=4)</c:v>
                </c:pt>
                <c:pt idx="82">
                  <c:v> (n=2)</c:v>
                </c:pt>
                <c:pt idx="83">
                  <c:v> (n=1)</c:v>
                </c:pt>
                <c:pt idx="84">
                  <c:v>MixedField (n=2)</c:v>
                </c:pt>
                <c:pt idx="85">
                  <c:v> (n=3)</c:v>
                </c:pt>
                <c:pt idx="86">
                  <c:v> (n=3)</c:v>
                </c:pt>
                <c:pt idx="87">
                  <c:v> (n=4)</c:v>
                </c:pt>
                <c:pt idx="88">
                  <c:v>Total (n=25)</c:v>
                </c:pt>
                <c:pt idx="89">
                  <c:v> (n=25)</c:v>
                </c:pt>
                <c:pt idx="90">
                  <c:v> (n=25)</c:v>
                </c:pt>
                <c:pt idx="91">
                  <c:v> (n=25)</c:v>
                </c:pt>
              </c:strCache>
            </c:strRef>
          </c:cat>
          <c:val>
            <c:numRef>
              <c:f>'Comp to Prev_All FOEs (17-20)'!$CV$38:$GI$38</c:f>
              <c:numCache>
                <c:formatCode>0.0</c:formatCode>
                <c:ptCount val="92"/>
                <c:pt idx="0">
                  <c:v>0.61838659867691603</c:v>
                </c:pt>
                <c:pt idx="1">
                  <c:v>0.60544805980984762</c:v>
                </c:pt>
                <c:pt idx="2">
                  <c:v>0.53934207472126539</c:v>
                </c:pt>
                <c:pt idx="3">
                  <c:v>0.45671553317068408</c:v>
                </c:pt>
                <c:pt idx="4">
                  <c:v>0.43535052469445057</c:v>
                </c:pt>
                <c:pt idx="5">
                  <c:v>0.27729283242880132</c:v>
                </c:pt>
                <c:pt idx="6">
                  <c:v>0.25799315482628976</c:v>
                </c:pt>
                <c:pt idx="7">
                  <c:v>0.26618140590852846</c:v>
                </c:pt>
                <c:pt idx="8">
                  <c:v>0.57911022342168483</c:v>
                </c:pt>
                <c:pt idx="9">
                  <c:v>0.5555858234022838</c:v>
                </c:pt>
                <c:pt idx="10">
                  <c:v>0.513680523499079</c:v>
                </c:pt>
                <c:pt idx="11">
                  <c:v>0.50251095922340183</c:v>
                </c:pt>
                <c:pt idx="12">
                  <c:v>0.46909177959541137</c:v>
                </c:pt>
                <c:pt idx="13">
                  <c:v>0.27952387782830018</c:v>
                </c:pt>
                <c:pt idx="14">
                  <c:v>0.24093485001831913</c:v>
                </c:pt>
                <c:pt idx="15">
                  <c:v>0.28087544997046504</c:v>
                </c:pt>
                <c:pt idx="16">
                  <c:v>0.39540423776645073</c:v>
                </c:pt>
                <c:pt idx="17">
                  <c:v>0.57340029062505737</c:v>
                </c:pt>
                <c:pt idx="18">
                  <c:v>0.56211395452693291</c:v>
                </c:pt>
                <c:pt idx="19">
                  <c:v>0.54428222643622914</c:v>
                </c:pt>
                <c:pt idx="20">
                  <c:v>0.77356636680725088</c:v>
                </c:pt>
                <c:pt idx="21">
                  <c:v>0.74319671781389018</c:v>
                </c:pt>
                <c:pt idx="22">
                  <c:v>0.70965957001741198</c:v>
                </c:pt>
                <c:pt idx="23">
                  <c:v>0.59535437553512949</c:v>
                </c:pt>
                <c:pt idx="24">
                  <c:v>0.52319678236879519</c:v>
                </c:pt>
                <c:pt idx="25">
                  <c:v>0.42211402489296818</c:v>
                </c:pt>
                <c:pt idx="26">
                  <c:v>0.32556939232463022</c:v>
                </c:pt>
                <c:pt idx="27">
                  <c:v>0.47893462254307267</c:v>
                </c:pt>
                <c:pt idx="28">
                  <c:v>0.59789210284786287</c:v>
                </c:pt>
                <c:pt idx="29">
                  <c:v>0.54295819906577125</c:v>
                </c:pt>
                <c:pt idx="30">
                  <c:v>0.65499892072598109</c:v>
                </c:pt>
                <c:pt idx="31">
                  <c:v>0.73367761777233043</c:v>
                </c:pt>
                <c:pt idx="32">
                  <c:v>0.51499230695391518</c:v>
                </c:pt>
                <c:pt idx="33">
                  <c:v>0.50562874829638471</c:v>
                </c:pt>
                <c:pt idx="34">
                  <c:v>0.42563418630752142</c:v>
                </c:pt>
                <c:pt idx="35">
                  <c:v>0.36386121871715493</c:v>
                </c:pt>
                <c:pt idx="36">
                  <c:v>0.59098955832623945</c:v>
                </c:pt>
                <c:pt idx="37">
                  <c:v>0.62635539549565511</c:v>
                </c:pt>
                <c:pt idx="38">
                  <c:v>0.65514264144211809</c:v>
                </c:pt>
                <c:pt idx="39">
                  <c:v>0.6692921155103041</c:v>
                </c:pt>
                <c:pt idx="40">
                  <c:v>0.7289313359516234</c:v>
                </c:pt>
                <c:pt idx="41">
                  <c:v>0.77803259024248139</c:v>
                </c:pt>
                <c:pt idx="42">
                  <c:v>0.85446890172416545</c:v>
                </c:pt>
                <c:pt idx="43">
                  <c:v>0.90704550143306539</c:v>
                </c:pt>
                <c:pt idx="44">
                  <c:v>0.28923359135008209</c:v>
                </c:pt>
                <c:pt idx="45">
                  <c:v>0.62590765134953563</c:v>
                </c:pt>
                <c:pt idx="46">
                  <c:v>0.72234755512851512</c:v>
                </c:pt>
                <c:pt idx="47">
                  <c:v>0.79072540673749347</c:v>
                </c:pt>
                <c:pt idx="48">
                  <c:v>0.70786144185569655</c:v>
                </c:pt>
                <c:pt idx="49">
                  <c:v>0.72133841250815045</c:v>
                </c:pt>
                <c:pt idx="50">
                  <c:v>0.57387393416376609</c:v>
                </c:pt>
                <c:pt idx="51">
                  <c:v>0.57974309984758765</c:v>
                </c:pt>
                <c:pt idx="52">
                  <c:v>0.60534126011439005</c:v>
                </c:pt>
                <c:pt idx="53">
                  <c:v>0.63357551902191556</c:v>
                </c:pt>
                <c:pt idx="54">
                  <c:v>0.66632099373000064</c:v>
                </c:pt>
                <c:pt idx="55">
                  <c:v>0.63197920408752106</c:v>
                </c:pt>
                <c:pt idx="56">
                  <c:v>0.84853381552974183</c:v>
                </c:pt>
                <c:pt idx="57">
                  <c:v>0.74187044710095484</c:v>
                </c:pt>
                <c:pt idx="58">
                  <c:v>0.46408122756164805</c:v>
                </c:pt>
                <c:pt idx="59">
                  <c:v>0.74820472035859686</c:v>
                </c:pt>
                <c:pt idx="60">
                  <c:v>0.22560371256181261</c:v>
                </c:pt>
                <c:pt idx="61">
                  <c:v>0.63923780639524153</c:v>
                </c:pt>
                <c:pt idx="62">
                  <c:v>0.72737481763022982</c:v>
                </c:pt>
                <c:pt idx="63">
                  <c:v>0.38655929802379979</c:v>
                </c:pt>
                <c:pt idx="64">
                  <c:v>0.6669390258672182</c:v>
                </c:pt>
                <c:pt idx="65">
                  <c:v>0.70190899051602551</c:v>
                </c:pt>
                <c:pt idx="66">
                  <c:v>0.57311331167472879</c:v>
                </c:pt>
                <c:pt idx="67">
                  <c:v>0.53451777104168741</c:v>
                </c:pt>
                <c:pt idx="68">
                  <c:v>0.77044972399740497</c:v>
                </c:pt>
                <c:pt idx="69">
                  <c:v>0.76500766233985906</c:v>
                </c:pt>
                <c:pt idx="70">
                  <c:v>0.71504837346470895</c:v>
                </c:pt>
                <c:pt idx="71">
                  <c:v>0.66522304190336679</c:v>
                </c:pt>
                <c:pt idx="72">
                  <c:v>0.54013757909722226</c:v>
                </c:pt>
                <c:pt idx="73">
                  <c:v>0.54387138425050807</c:v>
                </c:pt>
                <c:pt idx="74">
                  <c:v>0.54671146999913112</c:v>
                </c:pt>
                <c:pt idx="75">
                  <c:v>0.50853123761573604</c:v>
                </c:pt>
                <c:pt idx="76">
                  <c:v>0.61523638724066654</c:v>
                </c:pt>
                <c:pt idx="77">
                  <c:v>0.59992653666875984</c:v>
                </c:pt>
                <c:pt idx="78">
                  <c:v>0.34028783708414756</c:v>
                </c:pt>
                <c:pt idx="79">
                  <c:v>0.63767941634435643</c:v>
                </c:pt>
                <c:pt idx="80">
                  <c:v>1.1501778804535479</c:v>
                </c:pt>
                <c:pt idx="81">
                  <c:v>1.1311872618049428</c:v>
                </c:pt>
                <c:pt idx="82">
                  <c:v>1.0315513668968668</c:v>
                </c:pt>
                <c:pt idx="83">
                  <c:v>0.94538249726902601</c:v>
                </c:pt>
                <c:pt idx="84">
                  <c:v>0.74447734890286432</c:v>
                </c:pt>
                <c:pt idx="85">
                  <c:v>0.41454126622597831</c:v>
                </c:pt>
                <c:pt idx="86">
                  <c:v>0.46728886817667659</c:v>
                </c:pt>
                <c:pt idx="87">
                  <c:v>0.45837915913505844</c:v>
                </c:pt>
                <c:pt idx="88">
                  <c:v>0.72067228404945916</c:v>
                </c:pt>
                <c:pt idx="89">
                  <c:v>0.70812397433458818</c:v>
                </c:pt>
                <c:pt idx="90">
                  <c:v>0.66246677671203802</c:v>
                </c:pt>
                <c:pt idx="91">
                  <c:v>0.64293601528795086</c:v>
                </c:pt>
              </c:numCache>
            </c:numRef>
          </c:val>
          <c:smooth val="0"/>
          <c:extLst>
            <c:ext xmlns:c16="http://schemas.microsoft.com/office/drawing/2014/chart" uri="{C3380CC4-5D6E-409C-BE32-E72D297353CC}">
              <c16:uniqueId val="{00000003-50B7-4ECA-BCC6-C189DF7EEFFF}"/>
            </c:ext>
          </c:extLst>
        </c:ser>
        <c:ser>
          <c:idx val="5"/>
          <c:order val="2"/>
          <c:tx>
            <c:strRef>
              <c:f>'Comp to Prev_All FOEs (17-20)'!$CU$39</c:f>
              <c:strCache>
                <c:ptCount val="1"/>
                <c:pt idx="0">
                  <c:v>Mean</c:v>
                </c:pt>
              </c:strCache>
            </c:strRef>
          </c:tx>
          <c:spPr>
            <a:ln w="28575" cap="rnd">
              <a:noFill/>
              <a:round/>
            </a:ln>
            <a:effectLst/>
          </c:spPr>
          <c:marker>
            <c:symbol val="diamond"/>
            <c:size val="7"/>
            <c:spPr>
              <a:solidFill>
                <a:srgbClr val="00ABAB"/>
              </a:solidFill>
              <a:ln>
                <a:solidFill>
                  <a:srgbClr val="00ABAB"/>
                </a:solidFill>
              </a:ln>
            </c:spPr>
          </c:marker>
          <c:dPt>
            <c:idx val="1"/>
            <c:marker>
              <c:spPr>
                <a:solidFill>
                  <a:srgbClr val="BFBFBF"/>
                </a:solidFill>
                <a:ln>
                  <a:solidFill>
                    <a:srgbClr val="BFBFBF"/>
                  </a:solidFill>
                </a:ln>
              </c:spPr>
            </c:marker>
            <c:bubble3D val="0"/>
            <c:extLst>
              <c:ext xmlns:c16="http://schemas.microsoft.com/office/drawing/2014/chart" uri="{C3380CC4-5D6E-409C-BE32-E72D297353CC}">
                <c16:uniqueId val="{00000004-50B7-4ECA-BCC6-C189DF7EEFFF}"/>
              </c:ext>
            </c:extLst>
          </c:dPt>
          <c:dPt>
            <c:idx val="2"/>
            <c:marker>
              <c:spPr>
                <a:solidFill>
                  <a:schemeClr val="tx2"/>
                </a:solidFill>
                <a:ln>
                  <a:solidFill>
                    <a:schemeClr val="tx2"/>
                  </a:solidFill>
                </a:ln>
              </c:spPr>
            </c:marker>
            <c:bubble3D val="0"/>
            <c:extLst>
              <c:ext xmlns:c16="http://schemas.microsoft.com/office/drawing/2014/chart" uri="{C3380CC4-5D6E-409C-BE32-E72D297353CC}">
                <c16:uniqueId val="{00000005-50B7-4ECA-BCC6-C189DF7EEFFF}"/>
              </c:ext>
            </c:extLst>
          </c:dPt>
          <c:dPt>
            <c:idx val="3"/>
            <c:marker>
              <c:spPr>
                <a:solidFill>
                  <a:srgbClr val="53565A"/>
                </a:solidFill>
                <a:ln>
                  <a:solidFill>
                    <a:srgbClr val="53565A"/>
                  </a:solidFill>
                </a:ln>
              </c:spPr>
            </c:marker>
            <c:bubble3D val="0"/>
            <c:extLst>
              <c:ext xmlns:c16="http://schemas.microsoft.com/office/drawing/2014/chart" uri="{C3380CC4-5D6E-409C-BE32-E72D297353CC}">
                <c16:uniqueId val="{00000006-50B7-4ECA-BCC6-C189DF7EEFFF}"/>
              </c:ext>
            </c:extLst>
          </c:dPt>
          <c:dPt>
            <c:idx val="4"/>
            <c:marker>
              <c:spPr>
                <a:noFill/>
                <a:ln>
                  <a:noFill/>
                </a:ln>
              </c:spPr>
            </c:marker>
            <c:bubble3D val="0"/>
            <c:extLst>
              <c:ext xmlns:c16="http://schemas.microsoft.com/office/drawing/2014/chart" uri="{C3380CC4-5D6E-409C-BE32-E72D297353CC}">
                <c16:uniqueId val="{00000007-50B7-4ECA-BCC6-C189DF7EEFFF}"/>
              </c:ext>
            </c:extLst>
          </c:dPt>
          <c:dPt>
            <c:idx val="5"/>
            <c:marker>
              <c:spPr>
                <a:solidFill>
                  <a:srgbClr val="BFBFBF"/>
                </a:solidFill>
                <a:ln>
                  <a:solidFill>
                    <a:srgbClr val="BFBFBF"/>
                  </a:solidFill>
                </a:ln>
              </c:spPr>
            </c:marker>
            <c:bubble3D val="0"/>
            <c:extLst>
              <c:ext xmlns:c16="http://schemas.microsoft.com/office/drawing/2014/chart" uri="{C3380CC4-5D6E-409C-BE32-E72D297353CC}">
                <c16:uniqueId val="{00000008-50B7-4ECA-BCC6-C189DF7EEFFF}"/>
              </c:ext>
            </c:extLst>
          </c:dPt>
          <c:dPt>
            <c:idx val="6"/>
            <c:marker>
              <c:spPr>
                <a:solidFill>
                  <a:schemeClr val="tx2"/>
                </a:solidFill>
                <a:ln>
                  <a:solidFill>
                    <a:schemeClr val="tx2"/>
                  </a:solidFill>
                </a:ln>
              </c:spPr>
            </c:marker>
            <c:bubble3D val="0"/>
            <c:extLst>
              <c:ext xmlns:c16="http://schemas.microsoft.com/office/drawing/2014/chart" uri="{C3380CC4-5D6E-409C-BE32-E72D297353CC}">
                <c16:uniqueId val="{00000009-50B7-4ECA-BCC6-C189DF7EEFFF}"/>
              </c:ext>
            </c:extLst>
          </c:dPt>
          <c:dPt>
            <c:idx val="7"/>
            <c:marker>
              <c:spPr>
                <a:solidFill>
                  <a:srgbClr val="53565A"/>
                </a:solidFill>
                <a:ln>
                  <a:solidFill>
                    <a:srgbClr val="53565A"/>
                  </a:solidFill>
                </a:ln>
              </c:spPr>
            </c:marker>
            <c:bubble3D val="0"/>
            <c:extLst>
              <c:ext xmlns:c16="http://schemas.microsoft.com/office/drawing/2014/chart" uri="{C3380CC4-5D6E-409C-BE32-E72D297353CC}">
                <c16:uniqueId val="{0000000A-50B7-4ECA-BCC6-C189DF7EEFFF}"/>
              </c:ext>
            </c:extLst>
          </c:dPt>
          <c:dPt>
            <c:idx val="9"/>
            <c:marker>
              <c:spPr>
                <a:solidFill>
                  <a:srgbClr val="BFBFBF"/>
                </a:solidFill>
                <a:ln>
                  <a:solidFill>
                    <a:srgbClr val="BFBFBF"/>
                  </a:solidFill>
                </a:ln>
              </c:spPr>
            </c:marker>
            <c:bubble3D val="0"/>
            <c:extLst>
              <c:ext xmlns:c16="http://schemas.microsoft.com/office/drawing/2014/chart" uri="{C3380CC4-5D6E-409C-BE32-E72D297353CC}">
                <c16:uniqueId val="{0000000B-50B7-4ECA-BCC6-C189DF7EEFFF}"/>
              </c:ext>
            </c:extLst>
          </c:dPt>
          <c:dPt>
            <c:idx val="10"/>
            <c:marker>
              <c:spPr>
                <a:solidFill>
                  <a:schemeClr val="tx2"/>
                </a:solidFill>
                <a:ln>
                  <a:solidFill>
                    <a:schemeClr val="tx2"/>
                  </a:solidFill>
                </a:ln>
              </c:spPr>
            </c:marker>
            <c:bubble3D val="0"/>
            <c:extLst>
              <c:ext xmlns:c16="http://schemas.microsoft.com/office/drawing/2014/chart" uri="{C3380CC4-5D6E-409C-BE32-E72D297353CC}">
                <c16:uniqueId val="{0000000C-50B7-4ECA-BCC6-C189DF7EEFFF}"/>
              </c:ext>
            </c:extLst>
          </c:dPt>
          <c:dPt>
            <c:idx val="11"/>
            <c:marker>
              <c:spPr>
                <a:solidFill>
                  <a:srgbClr val="53565A"/>
                </a:solidFill>
                <a:ln>
                  <a:solidFill>
                    <a:srgbClr val="53565A"/>
                  </a:solidFill>
                </a:ln>
              </c:spPr>
            </c:marker>
            <c:bubble3D val="0"/>
            <c:extLst>
              <c:ext xmlns:c16="http://schemas.microsoft.com/office/drawing/2014/chart" uri="{C3380CC4-5D6E-409C-BE32-E72D297353CC}">
                <c16:uniqueId val="{0000000D-50B7-4ECA-BCC6-C189DF7EEFFF}"/>
              </c:ext>
            </c:extLst>
          </c:dPt>
          <c:dPt>
            <c:idx val="13"/>
            <c:marker>
              <c:spPr>
                <a:solidFill>
                  <a:srgbClr val="BFBFBF"/>
                </a:solidFill>
                <a:ln>
                  <a:solidFill>
                    <a:srgbClr val="BFBFBF"/>
                  </a:solidFill>
                </a:ln>
              </c:spPr>
            </c:marker>
            <c:bubble3D val="0"/>
            <c:extLst>
              <c:ext xmlns:c16="http://schemas.microsoft.com/office/drawing/2014/chart" uri="{C3380CC4-5D6E-409C-BE32-E72D297353CC}">
                <c16:uniqueId val="{0000000E-50B7-4ECA-BCC6-C189DF7EEFFF}"/>
              </c:ext>
            </c:extLst>
          </c:dPt>
          <c:dPt>
            <c:idx val="14"/>
            <c:marker>
              <c:spPr>
                <a:solidFill>
                  <a:schemeClr val="tx2"/>
                </a:solidFill>
                <a:ln>
                  <a:solidFill>
                    <a:schemeClr val="tx2"/>
                  </a:solidFill>
                </a:ln>
              </c:spPr>
            </c:marker>
            <c:bubble3D val="0"/>
            <c:extLst>
              <c:ext xmlns:c16="http://schemas.microsoft.com/office/drawing/2014/chart" uri="{C3380CC4-5D6E-409C-BE32-E72D297353CC}">
                <c16:uniqueId val="{0000000F-50B7-4ECA-BCC6-C189DF7EEFFF}"/>
              </c:ext>
            </c:extLst>
          </c:dPt>
          <c:dPt>
            <c:idx val="15"/>
            <c:marker>
              <c:spPr>
                <a:solidFill>
                  <a:srgbClr val="53565A"/>
                </a:solidFill>
                <a:ln>
                  <a:solidFill>
                    <a:srgbClr val="53565A"/>
                  </a:solidFill>
                </a:ln>
              </c:spPr>
            </c:marker>
            <c:bubble3D val="0"/>
            <c:extLst>
              <c:ext xmlns:c16="http://schemas.microsoft.com/office/drawing/2014/chart" uri="{C3380CC4-5D6E-409C-BE32-E72D297353CC}">
                <c16:uniqueId val="{00000010-50B7-4ECA-BCC6-C189DF7EEFFF}"/>
              </c:ext>
            </c:extLst>
          </c:dPt>
          <c:dPt>
            <c:idx val="17"/>
            <c:marker>
              <c:spPr>
                <a:solidFill>
                  <a:srgbClr val="BFBFBF"/>
                </a:solidFill>
                <a:ln>
                  <a:solidFill>
                    <a:srgbClr val="BFBFBF"/>
                  </a:solidFill>
                </a:ln>
              </c:spPr>
            </c:marker>
            <c:bubble3D val="0"/>
            <c:extLst>
              <c:ext xmlns:c16="http://schemas.microsoft.com/office/drawing/2014/chart" uri="{C3380CC4-5D6E-409C-BE32-E72D297353CC}">
                <c16:uniqueId val="{00000011-50B7-4ECA-BCC6-C189DF7EEFFF}"/>
              </c:ext>
            </c:extLst>
          </c:dPt>
          <c:dPt>
            <c:idx val="18"/>
            <c:marker>
              <c:spPr>
                <a:solidFill>
                  <a:schemeClr val="tx2"/>
                </a:solidFill>
                <a:ln>
                  <a:solidFill>
                    <a:schemeClr val="tx2"/>
                  </a:solidFill>
                </a:ln>
              </c:spPr>
            </c:marker>
            <c:bubble3D val="0"/>
            <c:extLst>
              <c:ext xmlns:c16="http://schemas.microsoft.com/office/drawing/2014/chart" uri="{C3380CC4-5D6E-409C-BE32-E72D297353CC}">
                <c16:uniqueId val="{00000012-50B7-4ECA-BCC6-C189DF7EEFFF}"/>
              </c:ext>
            </c:extLst>
          </c:dPt>
          <c:dPt>
            <c:idx val="19"/>
            <c:marker>
              <c:spPr>
                <a:solidFill>
                  <a:srgbClr val="53565A"/>
                </a:solidFill>
                <a:ln>
                  <a:solidFill>
                    <a:srgbClr val="53565A"/>
                  </a:solidFill>
                </a:ln>
              </c:spPr>
            </c:marker>
            <c:bubble3D val="0"/>
            <c:extLst>
              <c:ext xmlns:c16="http://schemas.microsoft.com/office/drawing/2014/chart" uri="{C3380CC4-5D6E-409C-BE32-E72D297353CC}">
                <c16:uniqueId val="{00000013-50B7-4ECA-BCC6-C189DF7EEFFF}"/>
              </c:ext>
            </c:extLst>
          </c:dPt>
          <c:dPt>
            <c:idx val="20"/>
            <c:bubble3D val="0"/>
            <c:extLst>
              <c:ext xmlns:c16="http://schemas.microsoft.com/office/drawing/2014/chart" uri="{C3380CC4-5D6E-409C-BE32-E72D297353CC}">
                <c16:uniqueId val="{00000014-50B7-4ECA-BCC6-C189DF7EEFFF}"/>
              </c:ext>
            </c:extLst>
          </c:dPt>
          <c:dPt>
            <c:idx val="21"/>
            <c:marker>
              <c:spPr>
                <a:solidFill>
                  <a:srgbClr val="BFBFBF"/>
                </a:solidFill>
                <a:ln>
                  <a:solidFill>
                    <a:srgbClr val="BFBFBF"/>
                  </a:solidFill>
                </a:ln>
              </c:spPr>
            </c:marker>
            <c:bubble3D val="0"/>
            <c:extLst>
              <c:ext xmlns:c16="http://schemas.microsoft.com/office/drawing/2014/chart" uri="{C3380CC4-5D6E-409C-BE32-E72D297353CC}">
                <c16:uniqueId val="{00000015-50B7-4ECA-BCC6-C189DF7EEFFF}"/>
              </c:ext>
            </c:extLst>
          </c:dPt>
          <c:dPt>
            <c:idx val="22"/>
            <c:marker>
              <c:spPr>
                <a:solidFill>
                  <a:schemeClr val="tx2"/>
                </a:solidFill>
                <a:ln>
                  <a:solidFill>
                    <a:schemeClr val="tx2"/>
                  </a:solidFill>
                </a:ln>
              </c:spPr>
            </c:marker>
            <c:bubble3D val="0"/>
            <c:extLst>
              <c:ext xmlns:c16="http://schemas.microsoft.com/office/drawing/2014/chart" uri="{C3380CC4-5D6E-409C-BE32-E72D297353CC}">
                <c16:uniqueId val="{00000016-50B7-4ECA-BCC6-C189DF7EEFFF}"/>
              </c:ext>
            </c:extLst>
          </c:dPt>
          <c:dPt>
            <c:idx val="23"/>
            <c:marker>
              <c:spPr>
                <a:solidFill>
                  <a:srgbClr val="53565A"/>
                </a:solidFill>
                <a:ln>
                  <a:solidFill>
                    <a:srgbClr val="53565A"/>
                  </a:solidFill>
                </a:ln>
              </c:spPr>
            </c:marker>
            <c:bubble3D val="0"/>
            <c:extLst>
              <c:ext xmlns:c16="http://schemas.microsoft.com/office/drawing/2014/chart" uri="{C3380CC4-5D6E-409C-BE32-E72D297353CC}">
                <c16:uniqueId val="{00000017-50B7-4ECA-BCC6-C189DF7EEFFF}"/>
              </c:ext>
            </c:extLst>
          </c:dPt>
          <c:dPt>
            <c:idx val="25"/>
            <c:marker>
              <c:spPr>
                <a:solidFill>
                  <a:srgbClr val="BFBFBF"/>
                </a:solidFill>
                <a:ln>
                  <a:solidFill>
                    <a:srgbClr val="BFBFBF"/>
                  </a:solidFill>
                </a:ln>
              </c:spPr>
            </c:marker>
            <c:bubble3D val="0"/>
            <c:extLst>
              <c:ext xmlns:c16="http://schemas.microsoft.com/office/drawing/2014/chart" uri="{C3380CC4-5D6E-409C-BE32-E72D297353CC}">
                <c16:uniqueId val="{00000018-50B7-4ECA-BCC6-C189DF7EEFFF}"/>
              </c:ext>
            </c:extLst>
          </c:dPt>
          <c:dPt>
            <c:idx val="26"/>
            <c:marker>
              <c:spPr>
                <a:solidFill>
                  <a:schemeClr val="tx2"/>
                </a:solidFill>
                <a:ln>
                  <a:solidFill>
                    <a:schemeClr val="tx2"/>
                  </a:solidFill>
                </a:ln>
              </c:spPr>
            </c:marker>
            <c:bubble3D val="0"/>
            <c:extLst>
              <c:ext xmlns:c16="http://schemas.microsoft.com/office/drawing/2014/chart" uri="{C3380CC4-5D6E-409C-BE32-E72D297353CC}">
                <c16:uniqueId val="{00000019-50B7-4ECA-BCC6-C189DF7EEFFF}"/>
              </c:ext>
            </c:extLst>
          </c:dPt>
          <c:dPt>
            <c:idx val="27"/>
            <c:marker>
              <c:spPr>
                <a:solidFill>
                  <a:srgbClr val="53565A"/>
                </a:solidFill>
                <a:ln>
                  <a:solidFill>
                    <a:srgbClr val="53565A"/>
                  </a:solidFill>
                </a:ln>
              </c:spPr>
            </c:marker>
            <c:bubble3D val="0"/>
            <c:extLst>
              <c:ext xmlns:c16="http://schemas.microsoft.com/office/drawing/2014/chart" uri="{C3380CC4-5D6E-409C-BE32-E72D297353CC}">
                <c16:uniqueId val="{0000001A-50B7-4ECA-BCC6-C189DF7EEFFF}"/>
              </c:ext>
            </c:extLst>
          </c:dPt>
          <c:dPt>
            <c:idx val="29"/>
            <c:marker>
              <c:spPr>
                <a:solidFill>
                  <a:srgbClr val="BFBFBF"/>
                </a:solidFill>
                <a:ln>
                  <a:solidFill>
                    <a:srgbClr val="BFBFBF"/>
                  </a:solidFill>
                </a:ln>
              </c:spPr>
            </c:marker>
            <c:bubble3D val="0"/>
            <c:extLst>
              <c:ext xmlns:c16="http://schemas.microsoft.com/office/drawing/2014/chart" uri="{C3380CC4-5D6E-409C-BE32-E72D297353CC}">
                <c16:uniqueId val="{0000001B-50B7-4ECA-BCC6-C189DF7EEFFF}"/>
              </c:ext>
            </c:extLst>
          </c:dPt>
          <c:dPt>
            <c:idx val="30"/>
            <c:marker>
              <c:spPr>
                <a:solidFill>
                  <a:schemeClr val="tx2"/>
                </a:solidFill>
                <a:ln>
                  <a:solidFill>
                    <a:schemeClr val="tx2"/>
                  </a:solidFill>
                </a:ln>
              </c:spPr>
            </c:marker>
            <c:bubble3D val="0"/>
            <c:extLst>
              <c:ext xmlns:c16="http://schemas.microsoft.com/office/drawing/2014/chart" uri="{C3380CC4-5D6E-409C-BE32-E72D297353CC}">
                <c16:uniqueId val="{0000001C-50B7-4ECA-BCC6-C189DF7EEFFF}"/>
              </c:ext>
            </c:extLst>
          </c:dPt>
          <c:dPt>
            <c:idx val="31"/>
            <c:marker>
              <c:spPr>
                <a:solidFill>
                  <a:srgbClr val="53565A"/>
                </a:solidFill>
                <a:ln>
                  <a:solidFill>
                    <a:srgbClr val="53565A"/>
                  </a:solidFill>
                </a:ln>
              </c:spPr>
            </c:marker>
            <c:bubble3D val="0"/>
            <c:extLst>
              <c:ext xmlns:c16="http://schemas.microsoft.com/office/drawing/2014/chart" uri="{C3380CC4-5D6E-409C-BE32-E72D297353CC}">
                <c16:uniqueId val="{0000001D-50B7-4ECA-BCC6-C189DF7EEFFF}"/>
              </c:ext>
            </c:extLst>
          </c:dPt>
          <c:dPt>
            <c:idx val="32"/>
            <c:bubble3D val="0"/>
            <c:extLst>
              <c:ext xmlns:c16="http://schemas.microsoft.com/office/drawing/2014/chart" uri="{C3380CC4-5D6E-409C-BE32-E72D297353CC}">
                <c16:uniqueId val="{0000001E-50B7-4ECA-BCC6-C189DF7EEFFF}"/>
              </c:ext>
            </c:extLst>
          </c:dPt>
          <c:dPt>
            <c:idx val="33"/>
            <c:marker>
              <c:spPr>
                <a:solidFill>
                  <a:srgbClr val="BFBFBF"/>
                </a:solidFill>
                <a:ln>
                  <a:solidFill>
                    <a:srgbClr val="BFBFBF">
                      <a:alpha val="99000"/>
                    </a:srgbClr>
                  </a:solidFill>
                </a:ln>
              </c:spPr>
            </c:marker>
            <c:bubble3D val="0"/>
            <c:extLst>
              <c:ext xmlns:c16="http://schemas.microsoft.com/office/drawing/2014/chart" uri="{C3380CC4-5D6E-409C-BE32-E72D297353CC}">
                <c16:uniqueId val="{0000001F-50B7-4ECA-BCC6-C189DF7EEFFF}"/>
              </c:ext>
            </c:extLst>
          </c:dPt>
          <c:dPt>
            <c:idx val="34"/>
            <c:marker>
              <c:spPr>
                <a:solidFill>
                  <a:schemeClr val="tx2"/>
                </a:solidFill>
                <a:ln>
                  <a:solidFill>
                    <a:schemeClr val="tx2"/>
                  </a:solidFill>
                </a:ln>
              </c:spPr>
            </c:marker>
            <c:bubble3D val="0"/>
            <c:extLst>
              <c:ext xmlns:c16="http://schemas.microsoft.com/office/drawing/2014/chart" uri="{C3380CC4-5D6E-409C-BE32-E72D297353CC}">
                <c16:uniqueId val="{00000020-50B7-4ECA-BCC6-C189DF7EEFFF}"/>
              </c:ext>
            </c:extLst>
          </c:dPt>
          <c:dPt>
            <c:idx val="35"/>
            <c:marker>
              <c:spPr>
                <a:solidFill>
                  <a:srgbClr val="53565A"/>
                </a:solidFill>
                <a:ln>
                  <a:solidFill>
                    <a:srgbClr val="53565A"/>
                  </a:solidFill>
                </a:ln>
              </c:spPr>
            </c:marker>
            <c:bubble3D val="0"/>
            <c:extLst>
              <c:ext xmlns:c16="http://schemas.microsoft.com/office/drawing/2014/chart" uri="{C3380CC4-5D6E-409C-BE32-E72D297353CC}">
                <c16:uniqueId val="{00000021-50B7-4ECA-BCC6-C189DF7EEFFF}"/>
              </c:ext>
            </c:extLst>
          </c:dPt>
          <c:dPt>
            <c:idx val="37"/>
            <c:marker>
              <c:spPr>
                <a:solidFill>
                  <a:srgbClr val="BFBFBF"/>
                </a:solidFill>
                <a:ln>
                  <a:solidFill>
                    <a:srgbClr val="BFBFBF"/>
                  </a:solidFill>
                </a:ln>
              </c:spPr>
            </c:marker>
            <c:bubble3D val="0"/>
            <c:extLst>
              <c:ext xmlns:c16="http://schemas.microsoft.com/office/drawing/2014/chart" uri="{C3380CC4-5D6E-409C-BE32-E72D297353CC}">
                <c16:uniqueId val="{00000022-50B7-4ECA-BCC6-C189DF7EEFFF}"/>
              </c:ext>
            </c:extLst>
          </c:dPt>
          <c:dPt>
            <c:idx val="38"/>
            <c:marker>
              <c:spPr>
                <a:solidFill>
                  <a:schemeClr val="tx2"/>
                </a:solidFill>
                <a:ln>
                  <a:solidFill>
                    <a:schemeClr val="tx2"/>
                  </a:solidFill>
                </a:ln>
              </c:spPr>
            </c:marker>
            <c:bubble3D val="0"/>
            <c:extLst>
              <c:ext xmlns:c16="http://schemas.microsoft.com/office/drawing/2014/chart" uri="{C3380CC4-5D6E-409C-BE32-E72D297353CC}">
                <c16:uniqueId val="{00000023-50B7-4ECA-BCC6-C189DF7EEFFF}"/>
              </c:ext>
            </c:extLst>
          </c:dPt>
          <c:dPt>
            <c:idx val="39"/>
            <c:marker>
              <c:spPr>
                <a:solidFill>
                  <a:srgbClr val="53565A"/>
                </a:solidFill>
                <a:ln>
                  <a:solidFill>
                    <a:srgbClr val="53565A"/>
                  </a:solidFill>
                </a:ln>
              </c:spPr>
            </c:marker>
            <c:bubble3D val="0"/>
            <c:extLst>
              <c:ext xmlns:c16="http://schemas.microsoft.com/office/drawing/2014/chart" uri="{C3380CC4-5D6E-409C-BE32-E72D297353CC}">
                <c16:uniqueId val="{00000024-50B7-4ECA-BCC6-C189DF7EEFFF}"/>
              </c:ext>
            </c:extLst>
          </c:dPt>
          <c:dPt>
            <c:idx val="41"/>
            <c:marker>
              <c:spPr>
                <a:solidFill>
                  <a:srgbClr val="FFFFFF">
                    <a:lumMod val="75000"/>
                  </a:srgbClr>
                </a:solidFill>
                <a:ln>
                  <a:noFill/>
                </a:ln>
              </c:spPr>
            </c:marker>
            <c:bubble3D val="0"/>
            <c:extLst>
              <c:ext xmlns:c16="http://schemas.microsoft.com/office/drawing/2014/chart" uri="{C3380CC4-5D6E-409C-BE32-E72D297353CC}">
                <c16:uniqueId val="{00000025-50B7-4ECA-BCC6-C189DF7EEFFF}"/>
              </c:ext>
            </c:extLst>
          </c:dPt>
          <c:dPt>
            <c:idx val="42"/>
            <c:marker>
              <c:spPr>
                <a:solidFill>
                  <a:schemeClr val="tx2"/>
                </a:solidFill>
                <a:ln>
                  <a:solidFill>
                    <a:schemeClr val="tx2"/>
                  </a:solidFill>
                </a:ln>
              </c:spPr>
            </c:marker>
            <c:bubble3D val="0"/>
            <c:extLst>
              <c:ext xmlns:c16="http://schemas.microsoft.com/office/drawing/2014/chart" uri="{C3380CC4-5D6E-409C-BE32-E72D297353CC}">
                <c16:uniqueId val="{00000026-50B7-4ECA-BCC6-C189DF7EEFFF}"/>
              </c:ext>
            </c:extLst>
          </c:dPt>
          <c:dPt>
            <c:idx val="43"/>
            <c:marker>
              <c:spPr>
                <a:solidFill>
                  <a:srgbClr val="53565A"/>
                </a:solidFill>
                <a:ln>
                  <a:solidFill>
                    <a:srgbClr val="53565A"/>
                  </a:solidFill>
                </a:ln>
              </c:spPr>
            </c:marker>
            <c:bubble3D val="0"/>
            <c:extLst>
              <c:ext xmlns:c16="http://schemas.microsoft.com/office/drawing/2014/chart" uri="{C3380CC4-5D6E-409C-BE32-E72D297353CC}">
                <c16:uniqueId val="{00000027-50B7-4ECA-BCC6-C189DF7EEFFF}"/>
              </c:ext>
            </c:extLst>
          </c:dPt>
          <c:dPt>
            <c:idx val="45"/>
            <c:marker>
              <c:spPr>
                <a:solidFill>
                  <a:srgbClr val="FFFFFF">
                    <a:lumMod val="75000"/>
                  </a:srgbClr>
                </a:solidFill>
                <a:ln>
                  <a:noFill/>
                </a:ln>
              </c:spPr>
            </c:marker>
            <c:bubble3D val="0"/>
            <c:extLst>
              <c:ext xmlns:c16="http://schemas.microsoft.com/office/drawing/2014/chart" uri="{C3380CC4-5D6E-409C-BE32-E72D297353CC}">
                <c16:uniqueId val="{00000028-50B7-4ECA-BCC6-C189DF7EEFFF}"/>
              </c:ext>
            </c:extLst>
          </c:dPt>
          <c:dPt>
            <c:idx val="46"/>
            <c:marker>
              <c:spPr>
                <a:solidFill>
                  <a:schemeClr val="tx2"/>
                </a:solidFill>
                <a:ln>
                  <a:solidFill>
                    <a:schemeClr val="tx2"/>
                  </a:solidFill>
                </a:ln>
              </c:spPr>
            </c:marker>
            <c:bubble3D val="0"/>
            <c:extLst>
              <c:ext xmlns:c16="http://schemas.microsoft.com/office/drawing/2014/chart" uri="{C3380CC4-5D6E-409C-BE32-E72D297353CC}">
                <c16:uniqueId val="{00000029-50B7-4ECA-BCC6-C189DF7EEFFF}"/>
              </c:ext>
            </c:extLst>
          </c:dPt>
          <c:dPt>
            <c:idx val="47"/>
            <c:marker>
              <c:spPr>
                <a:solidFill>
                  <a:srgbClr val="53565A"/>
                </a:solidFill>
                <a:ln>
                  <a:solidFill>
                    <a:srgbClr val="53565A"/>
                  </a:solidFill>
                </a:ln>
              </c:spPr>
            </c:marker>
            <c:bubble3D val="0"/>
            <c:extLst>
              <c:ext xmlns:c16="http://schemas.microsoft.com/office/drawing/2014/chart" uri="{C3380CC4-5D6E-409C-BE32-E72D297353CC}">
                <c16:uniqueId val="{0000002A-50B7-4ECA-BCC6-C189DF7EEFFF}"/>
              </c:ext>
            </c:extLst>
          </c:dPt>
          <c:dPt>
            <c:idx val="49"/>
            <c:marker>
              <c:spPr>
                <a:solidFill>
                  <a:srgbClr val="BFBFBF"/>
                </a:solidFill>
                <a:ln>
                  <a:solidFill>
                    <a:srgbClr val="BFBFBF"/>
                  </a:solidFill>
                </a:ln>
              </c:spPr>
            </c:marker>
            <c:bubble3D val="0"/>
            <c:extLst>
              <c:ext xmlns:c16="http://schemas.microsoft.com/office/drawing/2014/chart" uri="{C3380CC4-5D6E-409C-BE32-E72D297353CC}">
                <c16:uniqueId val="{0000002B-50B7-4ECA-BCC6-C189DF7EEFFF}"/>
              </c:ext>
            </c:extLst>
          </c:dPt>
          <c:dPt>
            <c:idx val="50"/>
            <c:marker>
              <c:spPr>
                <a:solidFill>
                  <a:schemeClr val="tx2"/>
                </a:solidFill>
                <a:ln>
                  <a:solidFill>
                    <a:schemeClr val="tx2"/>
                  </a:solidFill>
                </a:ln>
              </c:spPr>
            </c:marker>
            <c:bubble3D val="0"/>
            <c:extLst>
              <c:ext xmlns:c16="http://schemas.microsoft.com/office/drawing/2014/chart" uri="{C3380CC4-5D6E-409C-BE32-E72D297353CC}">
                <c16:uniqueId val="{0000002C-50B7-4ECA-BCC6-C189DF7EEFFF}"/>
              </c:ext>
            </c:extLst>
          </c:dPt>
          <c:dPt>
            <c:idx val="51"/>
            <c:marker>
              <c:spPr>
                <a:solidFill>
                  <a:srgbClr val="53565A"/>
                </a:solidFill>
                <a:ln>
                  <a:solidFill>
                    <a:srgbClr val="53565A"/>
                  </a:solidFill>
                </a:ln>
              </c:spPr>
            </c:marker>
            <c:bubble3D val="0"/>
            <c:extLst>
              <c:ext xmlns:c16="http://schemas.microsoft.com/office/drawing/2014/chart" uri="{C3380CC4-5D6E-409C-BE32-E72D297353CC}">
                <c16:uniqueId val="{0000002D-50B7-4ECA-BCC6-C189DF7EEFFF}"/>
              </c:ext>
            </c:extLst>
          </c:dPt>
          <c:dPt>
            <c:idx val="53"/>
            <c:marker>
              <c:spPr>
                <a:solidFill>
                  <a:srgbClr val="BFBFBF"/>
                </a:solidFill>
                <a:ln>
                  <a:solidFill>
                    <a:srgbClr val="BFBFBF"/>
                  </a:solidFill>
                </a:ln>
              </c:spPr>
            </c:marker>
            <c:bubble3D val="0"/>
            <c:extLst>
              <c:ext xmlns:c16="http://schemas.microsoft.com/office/drawing/2014/chart" uri="{C3380CC4-5D6E-409C-BE32-E72D297353CC}">
                <c16:uniqueId val="{0000002E-50B7-4ECA-BCC6-C189DF7EEFFF}"/>
              </c:ext>
            </c:extLst>
          </c:dPt>
          <c:dPt>
            <c:idx val="54"/>
            <c:marker>
              <c:spPr>
                <a:solidFill>
                  <a:schemeClr val="tx2"/>
                </a:solidFill>
                <a:ln>
                  <a:solidFill>
                    <a:schemeClr val="tx2"/>
                  </a:solidFill>
                </a:ln>
              </c:spPr>
            </c:marker>
            <c:bubble3D val="0"/>
            <c:extLst>
              <c:ext xmlns:c16="http://schemas.microsoft.com/office/drawing/2014/chart" uri="{C3380CC4-5D6E-409C-BE32-E72D297353CC}">
                <c16:uniqueId val="{0000002F-50B7-4ECA-BCC6-C189DF7EEFFF}"/>
              </c:ext>
            </c:extLst>
          </c:dPt>
          <c:dPt>
            <c:idx val="55"/>
            <c:marker>
              <c:spPr>
                <a:solidFill>
                  <a:srgbClr val="53565A"/>
                </a:solidFill>
                <a:ln>
                  <a:solidFill>
                    <a:srgbClr val="53565A"/>
                  </a:solidFill>
                </a:ln>
              </c:spPr>
            </c:marker>
            <c:bubble3D val="0"/>
            <c:extLst>
              <c:ext xmlns:c16="http://schemas.microsoft.com/office/drawing/2014/chart" uri="{C3380CC4-5D6E-409C-BE32-E72D297353CC}">
                <c16:uniqueId val="{00000030-50B7-4ECA-BCC6-C189DF7EEFFF}"/>
              </c:ext>
            </c:extLst>
          </c:dPt>
          <c:dPt>
            <c:idx val="57"/>
            <c:marker>
              <c:spPr>
                <a:solidFill>
                  <a:srgbClr val="BFBFBF"/>
                </a:solidFill>
                <a:ln>
                  <a:solidFill>
                    <a:srgbClr val="BFBFBF"/>
                  </a:solidFill>
                </a:ln>
              </c:spPr>
            </c:marker>
            <c:bubble3D val="0"/>
            <c:extLst>
              <c:ext xmlns:c16="http://schemas.microsoft.com/office/drawing/2014/chart" uri="{C3380CC4-5D6E-409C-BE32-E72D297353CC}">
                <c16:uniqueId val="{00000031-50B7-4ECA-BCC6-C189DF7EEFFF}"/>
              </c:ext>
            </c:extLst>
          </c:dPt>
          <c:dPt>
            <c:idx val="58"/>
            <c:marker>
              <c:spPr>
                <a:solidFill>
                  <a:schemeClr val="tx2"/>
                </a:solidFill>
                <a:ln>
                  <a:solidFill>
                    <a:schemeClr val="tx2"/>
                  </a:solidFill>
                </a:ln>
              </c:spPr>
            </c:marker>
            <c:bubble3D val="0"/>
            <c:extLst>
              <c:ext xmlns:c16="http://schemas.microsoft.com/office/drawing/2014/chart" uri="{C3380CC4-5D6E-409C-BE32-E72D297353CC}">
                <c16:uniqueId val="{00000032-50B7-4ECA-BCC6-C189DF7EEFFF}"/>
              </c:ext>
            </c:extLst>
          </c:dPt>
          <c:dPt>
            <c:idx val="59"/>
            <c:marker>
              <c:spPr>
                <a:solidFill>
                  <a:srgbClr val="53565A"/>
                </a:solidFill>
                <a:ln>
                  <a:solidFill>
                    <a:srgbClr val="53565A"/>
                  </a:solidFill>
                </a:ln>
              </c:spPr>
            </c:marker>
            <c:bubble3D val="0"/>
            <c:extLst>
              <c:ext xmlns:c16="http://schemas.microsoft.com/office/drawing/2014/chart" uri="{C3380CC4-5D6E-409C-BE32-E72D297353CC}">
                <c16:uniqueId val="{00000033-50B7-4ECA-BCC6-C189DF7EEFFF}"/>
              </c:ext>
            </c:extLst>
          </c:dPt>
          <c:dPt>
            <c:idx val="61"/>
            <c:marker>
              <c:spPr>
                <a:solidFill>
                  <a:srgbClr val="BFBFBF"/>
                </a:solidFill>
                <a:ln>
                  <a:solidFill>
                    <a:srgbClr val="BFBFBF"/>
                  </a:solidFill>
                </a:ln>
              </c:spPr>
            </c:marker>
            <c:bubble3D val="0"/>
            <c:extLst>
              <c:ext xmlns:c16="http://schemas.microsoft.com/office/drawing/2014/chart" uri="{C3380CC4-5D6E-409C-BE32-E72D297353CC}">
                <c16:uniqueId val="{00000034-50B7-4ECA-BCC6-C189DF7EEFFF}"/>
              </c:ext>
            </c:extLst>
          </c:dPt>
          <c:dPt>
            <c:idx val="62"/>
            <c:marker>
              <c:spPr>
                <a:solidFill>
                  <a:schemeClr val="tx2"/>
                </a:solidFill>
                <a:ln>
                  <a:solidFill>
                    <a:schemeClr val="tx2"/>
                  </a:solidFill>
                </a:ln>
              </c:spPr>
            </c:marker>
            <c:bubble3D val="0"/>
            <c:extLst>
              <c:ext xmlns:c16="http://schemas.microsoft.com/office/drawing/2014/chart" uri="{C3380CC4-5D6E-409C-BE32-E72D297353CC}">
                <c16:uniqueId val="{00000035-50B7-4ECA-BCC6-C189DF7EEFFF}"/>
              </c:ext>
            </c:extLst>
          </c:dPt>
          <c:dPt>
            <c:idx val="63"/>
            <c:marker>
              <c:spPr>
                <a:solidFill>
                  <a:srgbClr val="53565A"/>
                </a:solidFill>
                <a:ln>
                  <a:solidFill>
                    <a:srgbClr val="53565A"/>
                  </a:solidFill>
                </a:ln>
              </c:spPr>
            </c:marker>
            <c:bubble3D val="0"/>
            <c:extLst>
              <c:ext xmlns:c16="http://schemas.microsoft.com/office/drawing/2014/chart" uri="{C3380CC4-5D6E-409C-BE32-E72D297353CC}">
                <c16:uniqueId val="{00000036-50B7-4ECA-BCC6-C189DF7EEFFF}"/>
              </c:ext>
            </c:extLst>
          </c:dPt>
          <c:dPt>
            <c:idx val="65"/>
            <c:marker>
              <c:spPr>
                <a:solidFill>
                  <a:srgbClr val="BFBFBF"/>
                </a:solidFill>
                <a:ln>
                  <a:solidFill>
                    <a:srgbClr val="BFBFBF"/>
                  </a:solidFill>
                </a:ln>
              </c:spPr>
            </c:marker>
            <c:bubble3D val="0"/>
            <c:extLst>
              <c:ext xmlns:c16="http://schemas.microsoft.com/office/drawing/2014/chart" uri="{C3380CC4-5D6E-409C-BE32-E72D297353CC}">
                <c16:uniqueId val="{00000037-50B7-4ECA-BCC6-C189DF7EEFFF}"/>
              </c:ext>
            </c:extLst>
          </c:dPt>
          <c:dPt>
            <c:idx val="66"/>
            <c:marker>
              <c:spPr>
                <a:solidFill>
                  <a:schemeClr val="tx2"/>
                </a:solidFill>
                <a:ln>
                  <a:solidFill>
                    <a:srgbClr val="002776"/>
                  </a:solidFill>
                </a:ln>
              </c:spPr>
            </c:marker>
            <c:bubble3D val="0"/>
            <c:extLst>
              <c:ext xmlns:c16="http://schemas.microsoft.com/office/drawing/2014/chart" uri="{C3380CC4-5D6E-409C-BE32-E72D297353CC}">
                <c16:uniqueId val="{00000038-50B7-4ECA-BCC6-C189DF7EEFFF}"/>
              </c:ext>
            </c:extLst>
          </c:dPt>
          <c:dPt>
            <c:idx val="67"/>
            <c:marker>
              <c:spPr>
                <a:solidFill>
                  <a:srgbClr val="53565A"/>
                </a:solidFill>
                <a:ln>
                  <a:solidFill>
                    <a:srgbClr val="53565A"/>
                  </a:solidFill>
                </a:ln>
              </c:spPr>
            </c:marker>
            <c:bubble3D val="0"/>
            <c:extLst>
              <c:ext xmlns:c16="http://schemas.microsoft.com/office/drawing/2014/chart" uri="{C3380CC4-5D6E-409C-BE32-E72D297353CC}">
                <c16:uniqueId val="{00000039-50B7-4ECA-BCC6-C189DF7EEFFF}"/>
              </c:ext>
            </c:extLst>
          </c:dPt>
          <c:dPt>
            <c:idx val="69"/>
            <c:marker>
              <c:spPr>
                <a:solidFill>
                  <a:srgbClr val="BFBFBF"/>
                </a:solidFill>
                <a:ln>
                  <a:solidFill>
                    <a:srgbClr val="BFBFBF"/>
                  </a:solidFill>
                </a:ln>
              </c:spPr>
            </c:marker>
            <c:bubble3D val="0"/>
            <c:extLst>
              <c:ext xmlns:c16="http://schemas.microsoft.com/office/drawing/2014/chart" uri="{C3380CC4-5D6E-409C-BE32-E72D297353CC}">
                <c16:uniqueId val="{0000003A-50B7-4ECA-BCC6-C189DF7EEFFF}"/>
              </c:ext>
            </c:extLst>
          </c:dPt>
          <c:dPt>
            <c:idx val="70"/>
            <c:marker>
              <c:spPr>
                <a:solidFill>
                  <a:schemeClr val="tx2"/>
                </a:solidFill>
                <a:ln>
                  <a:solidFill>
                    <a:schemeClr val="tx2"/>
                  </a:solidFill>
                </a:ln>
              </c:spPr>
            </c:marker>
            <c:bubble3D val="0"/>
            <c:extLst>
              <c:ext xmlns:c16="http://schemas.microsoft.com/office/drawing/2014/chart" uri="{C3380CC4-5D6E-409C-BE32-E72D297353CC}">
                <c16:uniqueId val="{0000003B-50B7-4ECA-BCC6-C189DF7EEFFF}"/>
              </c:ext>
            </c:extLst>
          </c:dPt>
          <c:dPt>
            <c:idx val="71"/>
            <c:marker>
              <c:spPr>
                <a:solidFill>
                  <a:srgbClr val="53565A"/>
                </a:solidFill>
                <a:ln>
                  <a:solidFill>
                    <a:srgbClr val="53565A"/>
                  </a:solidFill>
                </a:ln>
              </c:spPr>
            </c:marker>
            <c:bubble3D val="0"/>
            <c:extLst>
              <c:ext xmlns:c16="http://schemas.microsoft.com/office/drawing/2014/chart" uri="{C3380CC4-5D6E-409C-BE32-E72D297353CC}">
                <c16:uniqueId val="{0000003C-50B7-4ECA-BCC6-C189DF7EEFFF}"/>
              </c:ext>
            </c:extLst>
          </c:dPt>
          <c:dPt>
            <c:idx val="73"/>
            <c:marker>
              <c:spPr>
                <a:solidFill>
                  <a:srgbClr val="BFBFBF"/>
                </a:solidFill>
                <a:ln>
                  <a:solidFill>
                    <a:srgbClr val="BFBFBF"/>
                  </a:solidFill>
                </a:ln>
              </c:spPr>
            </c:marker>
            <c:bubble3D val="0"/>
            <c:extLst>
              <c:ext xmlns:c16="http://schemas.microsoft.com/office/drawing/2014/chart" uri="{C3380CC4-5D6E-409C-BE32-E72D297353CC}">
                <c16:uniqueId val="{0000003D-50B7-4ECA-BCC6-C189DF7EEFFF}"/>
              </c:ext>
            </c:extLst>
          </c:dPt>
          <c:dPt>
            <c:idx val="74"/>
            <c:marker>
              <c:spPr>
                <a:solidFill>
                  <a:schemeClr val="tx2"/>
                </a:solidFill>
                <a:ln>
                  <a:solidFill>
                    <a:schemeClr val="tx2"/>
                  </a:solidFill>
                </a:ln>
              </c:spPr>
            </c:marker>
            <c:bubble3D val="0"/>
            <c:extLst>
              <c:ext xmlns:c16="http://schemas.microsoft.com/office/drawing/2014/chart" uri="{C3380CC4-5D6E-409C-BE32-E72D297353CC}">
                <c16:uniqueId val="{0000003E-50B7-4ECA-BCC6-C189DF7EEFFF}"/>
              </c:ext>
            </c:extLst>
          </c:dPt>
          <c:dPt>
            <c:idx val="75"/>
            <c:marker>
              <c:spPr>
                <a:solidFill>
                  <a:srgbClr val="53565A"/>
                </a:solidFill>
                <a:ln>
                  <a:solidFill>
                    <a:srgbClr val="53565A"/>
                  </a:solidFill>
                </a:ln>
              </c:spPr>
            </c:marker>
            <c:bubble3D val="0"/>
            <c:extLst>
              <c:ext xmlns:c16="http://schemas.microsoft.com/office/drawing/2014/chart" uri="{C3380CC4-5D6E-409C-BE32-E72D297353CC}">
                <c16:uniqueId val="{0000003F-50B7-4ECA-BCC6-C189DF7EEFFF}"/>
              </c:ext>
            </c:extLst>
          </c:dPt>
          <c:dPt>
            <c:idx val="77"/>
            <c:marker>
              <c:spPr>
                <a:solidFill>
                  <a:srgbClr val="BFBFBF"/>
                </a:solidFill>
                <a:ln>
                  <a:solidFill>
                    <a:srgbClr val="BFBFBF"/>
                  </a:solidFill>
                </a:ln>
              </c:spPr>
            </c:marker>
            <c:bubble3D val="0"/>
            <c:extLst>
              <c:ext xmlns:c16="http://schemas.microsoft.com/office/drawing/2014/chart" uri="{C3380CC4-5D6E-409C-BE32-E72D297353CC}">
                <c16:uniqueId val="{00000040-50B7-4ECA-BCC6-C189DF7EEFFF}"/>
              </c:ext>
            </c:extLst>
          </c:dPt>
          <c:dPt>
            <c:idx val="78"/>
            <c:marker>
              <c:spPr>
                <a:solidFill>
                  <a:schemeClr val="tx2"/>
                </a:solidFill>
                <a:ln>
                  <a:solidFill>
                    <a:schemeClr val="tx2"/>
                  </a:solidFill>
                </a:ln>
              </c:spPr>
            </c:marker>
            <c:bubble3D val="0"/>
            <c:extLst>
              <c:ext xmlns:c16="http://schemas.microsoft.com/office/drawing/2014/chart" uri="{C3380CC4-5D6E-409C-BE32-E72D297353CC}">
                <c16:uniqueId val="{00000041-50B7-4ECA-BCC6-C189DF7EEFFF}"/>
              </c:ext>
            </c:extLst>
          </c:dPt>
          <c:dPt>
            <c:idx val="79"/>
            <c:marker>
              <c:spPr>
                <a:solidFill>
                  <a:srgbClr val="53565A"/>
                </a:solidFill>
                <a:ln>
                  <a:solidFill>
                    <a:srgbClr val="53565A"/>
                  </a:solidFill>
                </a:ln>
              </c:spPr>
            </c:marker>
            <c:bubble3D val="0"/>
            <c:extLst>
              <c:ext xmlns:c16="http://schemas.microsoft.com/office/drawing/2014/chart" uri="{C3380CC4-5D6E-409C-BE32-E72D297353CC}">
                <c16:uniqueId val="{00000042-50B7-4ECA-BCC6-C189DF7EEFFF}"/>
              </c:ext>
            </c:extLst>
          </c:dPt>
          <c:dPt>
            <c:idx val="80"/>
            <c:bubble3D val="0"/>
            <c:extLst>
              <c:ext xmlns:c16="http://schemas.microsoft.com/office/drawing/2014/chart" uri="{C3380CC4-5D6E-409C-BE32-E72D297353CC}">
                <c16:uniqueId val="{00000043-50B7-4ECA-BCC6-C189DF7EEFFF}"/>
              </c:ext>
            </c:extLst>
          </c:dPt>
          <c:dPt>
            <c:idx val="81"/>
            <c:marker>
              <c:spPr>
                <a:solidFill>
                  <a:srgbClr val="BFBFBF"/>
                </a:solidFill>
                <a:ln>
                  <a:solidFill>
                    <a:srgbClr val="BFBFBF"/>
                  </a:solidFill>
                </a:ln>
              </c:spPr>
            </c:marker>
            <c:bubble3D val="0"/>
            <c:extLst>
              <c:ext xmlns:c16="http://schemas.microsoft.com/office/drawing/2014/chart" uri="{C3380CC4-5D6E-409C-BE32-E72D297353CC}">
                <c16:uniqueId val="{00000044-50B7-4ECA-BCC6-C189DF7EEFFF}"/>
              </c:ext>
            </c:extLst>
          </c:dPt>
          <c:dPt>
            <c:idx val="82"/>
            <c:marker>
              <c:spPr>
                <a:solidFill>
                  <a:schemeClr val="tx2"/>
                </a:solidFill>
                <a:ln>
                  <a:solidFill>
                    <a:srgbClr val="002776"/>
                  </a:solidFill>
                </a:ln>
              </c:spPr>
            </c:marker>
            <c:bubble3D val="0"/>
            <c:extLst>
              <c:ext xmlns:c16="http://schemas.microsoft.com/office/drawing/2014/chart" uri="{C3380CC4-5D6E-409C-BE32-E72D297353CC}">
                <c16:uniqueId val="{00000045-50B7-4ECA-BCC6-C189DF7EEFFF}"/>
              </c:ext>
            </c:extLst>
          </c:dPt>
          <c:dPt>
            <c:idx val="83"/>
            <c:marker>
              <c:spPr>
                <a:solidFill>
                  <a:srgbClr val="53565A"/>
                </a:solidFill>
                <a:ln>
                  <a:solidFill>
                    <a:srgbClr val="53565A"/>
                  </a:solidFill>
                </a:ln>
              </c:spPr>
            </c:marker>
            <c:bubble3D val="0"/>
            <c:extLst>
              <c:ext xmlns:c16="http://schemas.microsoft.com/office/drawing/2014/chart" uri="{C3380CC4-5D6E-409C-BE32-E72D297353CC}">
                <c16:uniqueId val="{00000046-50B7-4ECA-BCC6-C189DF7EEFFF}"/>
              </c:ext>
            </c:extLst>
          </c:dPt>
          <c:dPt>
            <c:idx val="85"/>
            <c:marker>
              <c:spPr>
                <a:solidFill>
                  <a:srgbClr val="BFBFBF"/>
                </a:solidFill>
                <a:ln>
                  <a:solidFill>
                    <a:srgbClr val="BFBFBF"/>
                  </a:solidFill>
                </a:ln>
              </c:spPr>
            </c:marker>
            <c:bubble3D val="0"/>
            <c:extLst>
              <c:ext xmlns:c16="http://schemas.microsoft.com/office/drawing/2014/chart" uri="{C3380CC4-5D6E-409C-BE32-E72D297353CC}">
                <c16:uniqueId val="{00000047-50B7-4ECA-BCC6-C189DF7EEFFF}"/>
              </c:ext>
            </c:extLst>
          </c:dPt>
          <c:dPt>
            <c:idx val="86"/>
            <c:marker>
              <c:spPr>
                <a:solidFill>
                  <a:schemeClr val="tx2"/>
                </a:solidFill>
                <a:ln>
                  <a:solidFill>
                    <a:schemeClr val="tx2"/>
                  </a:solidFill>
                </a:ln>
              </c:spPr>
            </c:marker>
            <c:bubble3D val="0"/>
            <c:extLst>
              <c:ext xmlns:c16="http://schemas.microsoft.com/office/drawing/2014/chart" uri="{C3380CC4-5D6E-409C-BE32-E72D297353CC}">
                <c16:uniqueId val="{00000048-50B7-4ECA-BCC6-C189DF7EEFFF}"/>
              </c:ext>
            </c:extLst>
          </c:dPt>
          <c:dPt>
            <c:idx val="87"/>
            <c:marker>
              <c:spPr>
                <a:solidFill>
                  <a:srgbClr val="53565A"/>
                </a:solidFill>
                <a:ln>
                  <a:solidFill>
                    <a:srgbClr val="53565A"/>
                  </a:solidFill>
                </a:ln>
              </c:spPr>
            </c:marker>
            <c:bubble3D val="0"/>
            <c:extLst>
              <c:ext xmlns:c16="http://schemas.microsoft.com/office/drawing/2014/chart" uri="{C3380CC4-5D6E-409C-BE32-E72D297353CC}">
                <c16:uniqueId val="{00000049-50B7-4ECA-BCC6-C189DF7EEFFF}"/>
              </c:ext>
            </c:extLst>
          </c:dPt>
          <c:dPt>
            <c:idx val="89"/>
            <c:marker>
              <c:spPr>
                <a:solidFill>
                  <a:srgbClr val="BFBFBF"/>
                </a:solidFill>
                <a:ln>
                  <a:solidFill>
                    <a:srgbClr val="BFBFBF"/>
                  </a:solidFill>
                </a:ln>
              </c:spPr>
            </c:marker>
            <c:bubble3D val="0"/>
            <c:extLst>
              <c:ext xmlns:c16="http://schemas.microsoft.com/office/drawing/2014/chart" uri="{C3380CC4-5D6E-409C-BE32-E72D297353CC}">
                <c16:uniqueId val="{0000004A-50B7-4ECA-BCC6-C189DF7EEFFF}"/>
              </c:ext>
            </c:extLst>
          </c:dPt>
          <c:dPt>
            <c:idx val="90"/>
            <c:marker>
              <c:spPr>
                <a:solidFill>
                  <a:schemeClr val="tx2"/>
                </a:solidFill>
                <a:ln>
                  <a:solidFill>
                    <a:schemeClr val="tx2"/>
                  </a:solidFill>
                </a:ln>
              </c:spPr>
            </c:marker>
            <c:bubble3D val="0"/>
            <c:extLst>
              <c:ext xmlns:c16="http://schemas.microsoft.com/office/drawing/2014/chart" uri="{C3380CC4-5D6E-409C-BE32-E72D297353CC}">
                <c16:uniqueId val="{0000004B-50B7-4ECA-BCC6-C189DF7EEFFF}"/>
              </c:ext>
            </c:extLst>
          </c:dPt>
          <c:dPt>
            <c:idx val="91"/>
            <c:marker>
              <c:spPr>
                <a:solidFill>
                  <a:srgbClr val="53565A"/>
                </a:solidFill>
                <a:ln>
                  <a:solidFill>
                    <a:srgbClr val="53565A"/>
                  </a:solidFill>
                </a:ln>
              </c:spPr>
            </c:marker>
            <c:bubble3D val="0"/>
            <c:extLst>
              <c:ext xmlns:c16="http://schemas.microsoft.com/office/drawing/2014/chart" uri="{C3380CC4-5D6E-409C-BE32-E72D297353CC}">
                <c16:uniqueId val="{0000004C-50B7-4ECA-BCC6-C189DF7EEFFF}"/>
              </c:ext>
            </c:extLst>
          </c:dPt>
          <c:cat>
            <c:strRef>
              <c:f>'Comp to Prev_All FOEs (17-20)'!$CV$6:$GI$6</c:f>
              <c:strCache>
                <c:ptCount val="92"/>
                <c:pt idx="0">
                  <c:v>MathSci (n=25)</c:v>
                </c:pt>
                <c:pt idx="1">
                  <c:v> (n=25)</c:v>
                </c:pt>
                <c:pt idx="2">
                  <c:v> (n=25)</c:v>
                </c:pt>
                <c:pt idx="3">
                  <c:v> (n=25)</c:v>
                </c:pt>
                <c:pt idx="4">
                  <c:v>MedicalSci (n=21)</c:v>
                </c:pt>
                <c:pt idx="5">
                  <c:v> (n=22)</c:v>
                </c:pt>
                <c:pt idx="6">
                  <c:v> (n=21)</c:v>
                </c:pt>
                <c:pt idx="7">
                  <c:v> (n=21)</c:v>
                </c:pt>
                <c:pt idx="8">
                  <c:v>OthNat-PhysSci (n=25)</c:v>
                </c:pt>
                <c:pt idx="9">
                  <c:v> (n=25)</c:v>
                </c:pt>
                <c:pt idx="10">
                  <c:v> (n=25)</c:v>
                </c:pt>
                <c:pt idx="11">
                  <c:v> (n=25)</c:v>
                </c:pt>
                <c:pt idx="12">
                  <c:v>InfoTech (n=25)</c:v>
                </c:pt>
                <c:pt idx="13">
                  <c:v> (n=25)</c:v>
                </c:pt>
                <c:pt idx="14">
                  <c:v> (n=25)</c:v>
                </c:pt>
                <c:pt idx="15">
                  <c:v> (n=25)</c:v>
                </c:pt>
                <c:pt idx="16">
                  <c:v>Eng&amp;Related (n=25)</c:v>
                </c:pt>
                <c:pt idx="17">
                  <c:v> (n=25)</c:v>
                </c:pt>
                <c:pt idx="18">
                  <c:v> (n=25)</c:v>
                </c:pt>
                <c:pt idx="19">
                  <c:v> (n=25)</c:v>
                </c:pt>
                <c:pt idx="20">
                  <c:v>Archi&amp;Build (n=20)</c:v>
                </c:pt>
                <c:pt idx="21">
                  <c:v> (n=20)</c:v>
                </c:pt>
                <c:pt idx="22">
                  <c:v> (n=20)</c:v>
                </c:pt>
                <c:pt idx="23">
                  <c:v> (n=20)</c:v>
                </c:pt>
                <c:pt idx="24">
                  <c:v>Environment (n=24)</c:v>
                </c:pt>
                <c:pt idx="25">
                  <c:v> (n=25)</c:v>
                </c:pt>
                <c:pt idx="26">
                  <c:v> (n=25)</c:v>
                </c:pt>
                <c:pt idx="27">
                  <c:v> (n=25)</c:v>
                </c:pt>
                <c:pt idx="28">
                  <c:v>OthAg&amp;Enviro (n=15)</c:v>
                </c:pt>
                <c:pt idx="29">
                  <c:v> (n=15)</c:v>
                </c:pt>
                <c:pt idx="30">
                  <c:v> (n=15)</c:v>
                </c:pt>
                <c:pt idx="31">
                  <c:v> (n=14)</c:v>
                </c:pt>
                <c:pt idx="32">
                  <c:v>MedicalStudies (n=20)</c:v>
                </c:pt>
                <c:pt idx="33">
                  <c:v> (n=19)</c:v>
                </c:pt>
                <c:pt idx="34">
                  <c:v> (n=19)</c:v>
                </c:pt>
                <c:pt idx="35">
                  <c:v> (n=19)</c:v>
                </c:pt>
                <c:pt idx="36">
                  <c:v>Nursing (n=23)</c:v>
                </c:pt>
                <c:pt idx="37">
                  <c:v> (n=23)</c:v>
                </c:pt>
                <c:pt idx="38">
                  <c:v> (n=23)</c:v>
                </c:pt>
                <c:pt idx="39">
                  <c:v> (n=23)</c:v>
                </c:pt>
                <c:pt idx="40">
                  <c:v>Dental (n=8)</c:v>
                </c:pt>
                <c:pt idx="41">
                  <c:v> (n=8)</c:v>
                </c:pt>
                <c:pt idx="42">
                  <c:v> (n=8)</c:v>
                </c:pt>
                <c:pt idx="43">
                  <c:v> (n=8)</c:v>
                </c:pt>
                <c:pt idx="44">
                  <c:v>Veterinary (n=6)</c:v>
                </c:pt>
                <c:pt idx="45">
                  <c:v> (n=6)</c:v>
                </c:pt>
                <c:pt idx="46">
                  <c:v> (n=6)</c:v>
                </c:pt>
                <c:pt idx="47">
                  <c:v> (n=6)</c:v>
                </c:pt>
                <c:pt idx="48">
                  <c:v>OthHealth (n=25)</c:v>
                </c:pt>
                <c:pt idx="49">
                  <c:v> (n=25)</c:v>
                </c:pt>
                <c:pt idx="50">
                  <c:v> (n=25)</c:v>
                </c:pt>
                <c:pt idx="51">
                  <c:v> (n=25)</c:v>
                </c:pt>
                <c:pt idx="52">
                  <c:v>Education (n=25)</c:v>
                </c:pt>
                <c:pt idx="53">
                  <c:v> (n=25)</c:v>
                </c:pt>
                <c:pt idx="54">
                  <c:v> (n=25)</c:v>
                </c:pt>
                <c:pt idx="55">
                  <c:v> (n=25)</c:v>
                </c:pt>
                <c:pt idx="56">
                  <c:v>Mgmt&amp;Comm (n=25)</c:v>
                </c:pt>
                <c:pt idx="57">
                  <c:v> (n=25)</c:v>
                </c:pt>
                <c:pt idx="58">
                  <c:v> (n=25)</c:v>
                </c:pt>
                <c:pt idx="59">
                  <c:v> (n=25)</c:v>
                </c:pt>
                <c:pt idx="60">
                  <c:v>ForeignLang (n=21)</c:v>
                </c:pt>
                <c:pt idx="61">
                  <c:v> (n=20)</c:v>
                </c:pt>
                <c:pt idx="62">
                  <c:v> (n=18)</c:v>
                </c:pt>
                <c:pt idx="63">
                  <c:v> (n=18)</c:v>
                </c:pt>
                <c:pt idx="64">
                  <c:v>Psych (n=25)</c:v>
                </c:pt>
                <c:pt idx="65">
                  <c:v> (n=25)</c:v>
                </c:pt>
                <c:pt idx="66">
                  <c:v> (n=25)</c:v>
                </c:pt>
                <c:pt idx="67">
                  <c:v> (n=25)</c:v>
                </c:pt>
                <c:pt idx="68">
                  <c:v>OtherSoc&amp;Cult (n=25)</c:v>
                </c:pt>
                <c:pt idx="69">
                  <c:v> (n=25)</c:v>
                </c:pt>
                <c:pt idx="70">
                  <c:v> (n=25)</c:v>
                </c:pt>
                <c:pt idx="71">
                  <c:v> (n=25)</c:v>
                </c:pt>
                <c:pt idx="72">
                  <c:v>Comms&amp;Media (n=25)</c:v>
                </c:pt>
                <c:pt idx="73">
                  <c:v> (n=25)</c:v>
                </c:pt>
                <c:pt idx="74">
                  <c:v> (n=25)</c:v>
                </c:pt>
                <c:pt idx="75">
                  <c:v> (n=25)</c:v>
                </c:pt>
                <c:pt idx="76">
                  <c:v>OthCreative (n=25)</c:v>
                </c:pt>
                <c:pt idx="77">
                  <c:v> (n=25)</c:v>
                </c:pt>
                <c:pt idx="78">
                  <c:v> (n=25)</c:v>
                </c:pt>
                <c:pt idx="79">
                  <c:v> (n=25)</c:v>
                </c:pt>
                <c:pt idx="80">
                  <c:v>FoodHosp&amp;Person (n=4)</c:v>
                </c:pt>
                <c:pt idx="81">
                  <c:v> (n=4)</c:v>
                </c:pt>
                <c:pt idx="82">
                  <c:v> (n=2)</c:v>
                </c:pt>
                <c:pt idx="83">
                  <c:v> (n=1)</c:v>
                </c:pt>
                <c:pt idx="84">
                  <c:v>MixedField (n=2)</c:v>
                </c:pt>
                <c:pt idx="85">
                  <c:v> (n=3)</c:v>
                </c:pt>
                <c:pt idx="86">
                  <c:v> (n=3)</c:v>
                </c:pt>
                <c:pt idx="87">
                  <c:v> (n=4)</c:v>
                </c:pt>
                <c:pt idx="88">
                  <c:v>Total (n=25)</c:v>
                </c:pt>
                <c:pt idx="89">
                  <c:v> (n=25)</c:v>
                </c:pt>
                <c:pt idx="90">
                  <c:v> (n=25)</c:v>
                </c:pt>
                <c:pt idx="91">
                  <c:v> (n=25)</c:v>
                </c:pt>
              </c:strCache>
            </c:strRef>
          </c:cat>
          <c:val>
            <c:numRef>
              <c:f>'Comp to Prev_All FOEs (17-20)'!$CV$39:$GI$39</c:f>
              <c:numCache>
                <c:formatCode>0.0</c:formatCode>
                <c:ptCount val="92"/>
                <c:pt idx="0">
                  <c:v>0.79103950446901306</c:v>
                </c:pt>
                <c:pt idx="1">
                  <c:v>0.81582340477443915</c:v>
                </c:pt>
                <c:pt idx="2">
                  <c:v>0.79554043164056221</c:v>
                </c:pt>
                <c:pt idx="3">
                  <c:v>0.78333637333515527</c:v>
                </c:pt>
                <c:pt idx="4">
                  <c:v>0.6631067920869641</c:v>
                </c:pt>
                <c:pt idx="5">
                  <c:v>0.68516568049590498</c:v>
                </c:pt>
                <c:pt idx="6">
                  <c:v>0.71394401831001431</c:v>
                </c:pt>
                <c:pt idx="7">
                  <c:v>0.68483675237199149</c:v>
                </c:pt>
                <c:pt idx="8">
                  <c:v>0.78035710821419646</c:v>
                </c:pt>
                <c:pt idx="9">
                  <c:v>0.77841189654204501</c:v>
                </c:pt>
                <c:pt idx="10">
                  <c:v>0.76565308122721853</c:v>
                </c:pt>
                <c:pt idx="11">
                  <c:v>0.73350410489607509</c:v>
                </c:pt>
                <c:pt idx="12">
                  <c:v>0.86399812999273018</c:v>
                </c:pt>
                <c:pt idx="13">
                  <c:v>0.85324520047563668</c:v>
                </c:pt>
                <c:pt idx="14">
                  <c:v>0.84600514131635718</c:v>
                </c:pt>
                <c:pt idx="15">
                  <c:v>0.82694772951723872</c:v>
                </c:pt>
                <c:pt idx="16">
                  <c:v>0.7916269141410327</c:v>
                </c:pt>
                <c:pt idx="17">
                  <c:v>0.7942675664173845</c:v>
                </c:pt>
                <c:pt idx="18">
                  <c:v>0.79586020248446521</c:v>
                </c:pt>
                <c:pt idx="19">
                  <c:v>0.78365236883848921</c:v>
                </c:pt>
                <c:pt idx="20" formatCode="0.000">
                  <c:v>0.89955770651472045</c:v>
                </c:pt>
                <c:pt idx="21">
                  <c:v>0.8876191400436404</c:v>
                </c:pt>
                <c:pt idx="22">
                  <c:v>0.8693171406223742</c:v>
                </c:pt>
                <c:pt idx="23" formatCode="0.00">
                  <c:v>0.8736530140448876</c:v>
                </c:pt>
                <c:pt idx="24">
                  <c:v>0.70298078806226849</c:v>
                </c:pt>
                <c:pt idx="25">
                  <c:v>0.75586168508777785</c:v>
                </c:pt>
                <c:pt idx="26">
                  <c:v>0.69725799869934968</c:v>
                </c:pt>
                <c:pt idx="27">
                  <c:v>0.66059224790893512</c:v>
                </c:pt>
                <c:pt idx="28">
                  <c:v>0.87040520498263774</c:v>
                </c:pt>
                <c:pt idx="29">
                  <c:v>0.87947937448005542</c:v>
                </c:pt>
                <c:pt idx="30">
                  <c:v>0.85581220442869699</c:v>
                </c:pt>
                <c:pt idx="31">
                  <c:v>0.84206635259766327</c:v>
                </c:pt>
                <c:pt idx="32">
                  <c:v>0.91574788388231654</c:v>
                </c:pt>
                <c:pt idx="33">
                  <c:v>0.89752170376081786</c:v>
                </c:pt>
                <c:pt idx="34">
                  <c:v>0.8520719658346928</c:v>
                </c:pt>
                <c:pt idx="35">
                  <c:v>0.82231540441259454</c:v>
                </c:pt>
                <c:pt idx="36">
                  <c:v>0.80146117515134774</c:v>
                </c:pt>
                <c:pt idx="37">
                  <c:v>0.82263532874742573</c:v>
                </c:pt>
                <c:pt idx="38">
                  <c:v>0.83442757755118824</c:v>
                </c:pt>
                <c:pt idx="39">
                  <c:v>0.84569792928123666</c:v>
                </c:pt>
                <c:pt idx="40">
                  <c:v>1.1207082374465129</c:v>
                </c:pt>
                <c:pt idx="41">
                  <c:v>1.199604668595641</c:v>
                </c:pt>
                <c:pt idx="42">
                  <c:v>1.1579557519254162</c:v>
                </c:pt>
                <c:pt idx="43">
                  <c:v>1.1647507099400149</c:v>
                </c:pt>
                <c:pt idx="44">
                  <c:v>1.4003487573268474</c:v>
                </c:pt>
                <c:pt idx="45">
                  <c:v>1.4930933624854803</c:v>
                </c:pt>
                <c:pt idx="46">
                  <c:v>1.4470194452091347</c:v>
                </c:pt>
                <c:pt idx="47">
                  <c:v>1.3789516190732212</c:v>
                </c:pt>
                <c:pt idx="48">
                  <c:v>0.94018096179094313</c:v>
                </c:pt>
                <c:pt idx="49">
                  <c:v>0.93552629559179834</c:v>
                </c:pt>
                <c:pt idx="50">
                  <c:v>0.93565522251113975</c:v>
                </c:pt>
                <c:pt idx="51">
                  <c:v>0.9249031200797424</c:v>
                </c:pt>
                <c:pt idx="52">
                  <c:v>0.87514152025378233</c:v>
                </c:pt>
                <c:pt idx="53">
                  <c:v>0.90743516840864313</c:v>
                </c:pt>
                <c:pt idx="54">
                  <c:v>0.88696314762250272</c:v>
                </c:pt>
                <c:pt idx="55">
                  <c:v>0.8666748194279118</c:v>
                </c:pt>
                <c:pt idx="56">
                  <c:v>1.1550866280892531</c:v>
                </c:pt>
                <c:pt idx="57">
                  <c:v>1.1607392209197032</c:v>
                </c:pt>
                <c:pt idx="58">
                  <c:v>1.1519280791108615</c:v>
                </c:pt>
                <c:pt idx="59">
                  <c:v>1.1710533578835267</c:v>
                </c:pt>
                <c:pt idx="60">
                  <c:v>0.94616389886036534</c:v>
                </c:pt>
                <c:pt idx="61">
                  <c:v>0.91076842988111717</c:v>
                </c:pt>
                <c:pt idx="62">
                  <c:v>0.87396369040435984</c:v>
                </c:pt>
                <c:pt idx="63">
                  <c:v>0.90739933860514188</c:v>
                </c:pt>
                <c:pt idx="64">
                  <c:v>0.88522203894541451</c:v>
                </c:pt>
                <c:pt idx="65">
                  <c:v>0.90008206018452286</c:v>
                </c:pt>
                <c:pt idx="66">
                  <c:v>0.90521752628607188</c:v>
                </c:pt>
                <c:pt idx="67">
                  <c:v>0.86450826863253438</c:v>
                </c:pt>
                <c:pt idx="68">
                  <c:v>0.99308834327613149</c:v>
                </c:pt>
                <c:pt idx="69">
                  <c:v>0.99799263052212628</c:v>
                </c:pt>
                <c:pt idx="70">
                  <c:v>0.98658481212759774</c:v>
                </c:pt>
                <c:pt idx="71">
                  <c:v>0.98899206958213359</c:v>
                </c:pt>
                <c:pt idx="72">
                  <c:v>0.78047647199263404</c:v>
                </c:pt>
                <c:pt idx="73">
                  <c:v>0.82816584998833354</c:v>
                </c:pt>
                <c:pt idx="74">
                  <c:v>0.80423932263864584</c:v>
                </c:pt>
                <c:pt idx="75">
                  <c:v>0.82239978820695492</c:v>
                </c:pt>
                <c:pt idx="76">
                  <c:v>1.036388086035785</c:v>
                </c:pt>
                <c:pt idx="77">
                  <c:v>1.0485939414530796</c:v>
                </c:pt>
                <c:pt idx="78">
                  <c:v>1.0419921591460422</c:v>
                </c:pt>
                <c:pt idx="79">
                  <c:v>1.0542835752225816</c:v>
                </c:pt>
                <c:pt idx="80">
                  <c:v>1.8489627360466607</c:v>
                </c:pt>
                <c:pt idx="81">
                  <c:v>2.079060419909263</c:v>
                </c:pt>
                <c:pt idx="82">
                  <c:v>1.1920488297543521</c:v>
                </c:pt>
                <c:pt idx="83" formatCode="0.00">
                  <c:v>0.96231837826141975</c:v>
                </c:pt>
                <c:pt idx="84" formatCode="0.000">
                  <c:v>0.75396792397456069</c:v>
                </c:pt>
                <c:pt idx="85">
                  <c:v>1.3031582043801433</c:v>
                </c:pt>
                <c:pt idx="86">
                  <c:v>0.85280956930905993</c:v>
                </c:pt>
                <c:pt idx="87">
                  <c:v>1.2490182809401074</c:v>
                </c:pt>
                <c:pt idx="88">
                  <c:v>0.89282097759751389</c:v>
                </c:pt>
                <c:pt idx="89">
                  <c:v>0.90117081604032001</c:v>
                </c:pt>
                <c:pt idx="90">
                  <c:v>0.89030234222057292</c:v>
                </c:pt>
                <c:pt idx="91">
                  <c:v>0.88257000089718074</c:v>
                </c:pt>
              </c:numCache>
            </c:numRef>
          </c:val>
          <c:smooth val="0"/>
          <c:extLst>
            <c:ext xmlns:c16="http://schemas.microsoft.com/office/drawing/2014/chart" uri="{C3380CC4-5D6E-409C-BE32-E72D297353CC}">
              <c16:uniqueId val="{0000004D-50B7-4ECA-BCC6-C189DF7EEFFF}"/>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6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4"/>
        <c:noMultiLvlLbl val="0"/>
      </c:catAx>
      <c:valAx>
        <c:axId val="932351327"/>
        <c:scaling>
          <c:orientation val="minMax"/>
        </c:scaling>
        <c:delete val="0"/>
        <c:axPos val="l"/>
        <c:majorGridlines>
          <c:spPr>
            <a:ln w="9525" cap="flat" cmpd="sng" algn="ctr">
              <a:noFill/>
              <a:round/>
            </a:ln>
            <a:effectLst/>
          </c:spPr>
        </c:majorGridlines>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977563940189477E-2"/>
          <c:y val="4.8006241138324732E-2"/>
          <c:w val="0.89646689071456298"/>
          <c:h val="0.72069365760898185"/>
        </c:manualLayout>
      </c:layout>
      <c:stockChart>
        <c:ser>
          <c:idx val="3"/>
          <c:order val="0"/>
          <c:tx>
            <c:strRef>
              <c:f>'Comp to Prev_All FOEs (17-20)'!$CU$16</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10F9-423C-9AA4-BF1E04D3180D}"/>
              </c:ext>
            </c:extLst>
          </c:dPt>
          <c:cat>
            <c:strRef>
              <c:f>'Comp to Prev_All FOEs (17-20)'!$CV$15:$GI$15</c:f>
              <c:strCache>
                <c:ptCount val="92"/>
                <c:pt idx="0">
                  <c:v>MathSci (n=16)</c:v>
                </c:pt>
                <c:pt idx="1">
                  <c:v> (n=18)</c:v>
                </c:pt>
                <c:pt idx="2">
                  <c:v> (n=16)</c:v>
                </c:pt>
                <c:pt idx="3">
                  <c:v> (n=15)</c:v>
                </c:pt>
                <c:pt idx="4">
                  <c:v>MedicalSci (n=0)</c:v>
                </c:pt>
                <c:pt idx="5">
                  <c:v> (n=1)</c:v>
                </c:pt>
                <c:pt idx="6">
                  <c:v> (n=1)</c:v>
                </c:pt>
                <c:pt idx="7">
                  <c:v> (n=1)</c:v>
                </c:pt>
                <c:pt idx="8">
                  <c:v>OthNat-PhysSci (n=13)</c:v>
                </c:pt>
                <c:pt idx="9">
                  <c:v> (n=15)</c:v>
                </c:pt>
                <c:pt idx="10">
                  <c:v> (n=15)</c:v>
                </c:pt>
                <c:pt idx="11">
                  <c:v> (n=16)</c:v>
                </c:pt>
                <c:pt idx="12">
                  <c:v>InfoTech (n=8)</c:v>
                </c:pt>
                <c:pt idx="13">
                  <c:v> (n=10)</c:v>
                </c:pt>
                <c:pt idx="14">
                  <c:v> (n=11)</c:v>
                </c:pt>
                <c:pt idx="15">
                  <c:v> (n=17)</c:v>
                </c:pt>
                <c:pt idx="16">
                  <c:v>Eng&amp;Related (n=7)</c:v>
                </c:pt>
                <c:pt idx="17">
                  <c:v> (n=8)</c:v>
                </c:pt>
                <c:pt idx="18">
                  <c:v> (n=7)</c:v>
                </c:pt>
                <c:pt idx="19">
                  <c:v> (n=10)</c:v>
                </c:pt>
                <c:pt idx="20">
                  <c:v>Archi&amp;Build (n=5)</c:v>
                </c:pt>
                <c:pt idx="21">
                  <c:v> (n=5)</c:v>
                </c:pt>
                <c:pt idx="22">
                  <c:v> (n=6)</c:v>
                </c:pt>
                <c:pt idx="23">
                  <c:v> (n=8)</c:v>
                </c:pt>
                <c:pt idx="24">
                  <c:v>Environment (n=3)</c:v>
                </c:pt>
                <c:pt idx="25">
                  <c:v> (n=3)</c:v>
                </c:pt>
                <c:pt idx="26">
                  <c:v> (n=4)</c:v>
                </c:pt>
                <c:pt idx="27">
                  <c:v> (n=4)</c:v>
                </c:pt>
                <c:pt idx="28">
                  <c:v>OthAg&amp;Enviro (n=2)</c:v>
                </c:pt>
                <c:pt idx="29">
                  <c:v> (n=3)</c:v>
                </c:pt>
                <c:pt idx="30">
                  <c:v> (n=3)</c:v>
                </c:pt>
                <c:pt idx="31">
                  <c:v> (n=4)</c:v>
                </c:pt>
                <c:pt idx="32">
                  <c:v>MedicalStudies (n=0)</c:v>
                </c:pt>
                <c:pt idx="33">
                  <c:v> (n=1)</c:v>
                </c:pt>
                <c:pt idx="34">
                  <c:v> (n=1)</c:v>
                </c:pt>
                <c:pt idx="35">
                  <c:v> (n=1)</c:v>
                </c:pt>
                <c:pt idx="36">
                  <c:v>Nursing (n=3)</c:v>
                </c:pt>
                <c:pt idx="37">
                  <c:v> (n=4)</c:v>
                </c:pt>
                <c:pt idx="38">
                  <c:v> (n=4)</c:v>
                </c:pt>
                <c:pt idx="39">
                  <c:v> (n=5)</c:v>
                </c:pt>
                <c:pt idx="40">
                  <c:v>Dental (n=0)</c:v>
                </c:pt>
                <c:pt idx="41">
                  <c:v> (n=0)</c:v>
                </c:pt>
                <c:pt idx="42">
                  <c:v> (n=0)</c:v>
                </c:pt>
                <c:pt idx="43">
                  <c:v> (n=0)</c:v>
                </c:pt>
                <c:pt idx="44">
                  <c:v>Veterinary (n=0)</c:v>
                </c:pt>
                <c:pt idx="45">
                  <c:v> (n=0)</c:v>
                </c:pt>
                <c:pt idx="46">
                  <c:v> (n=0)</c:v>
                </c:pt>
                <c:pt idx="47">
                  <c:v> (n=0)</c:v>
                </c:pt>
                <c:pt idx="48">
                  <c:v>OthHealth (n=5)</c:v>
                </c:pt>
                <c:pt idx="49">
                  <c:v> (n=5)</c:v>
                </c:pt>
                <c:pt idx="50">
                  <c:v> (n=8)</c:v>
                </c:pt>
                <c:pt idx="51">
                  <c:v> (n=9)</c:v>
                </c:pt>
                <c:pt idx="52">
                  <c:v>Education (n=9)</c:v>
                </c:pt>
                <c:pt idx="53">
                  <c:v> (n=8)</c:v>
                </c:pt>
                <c:pt idx="54">
                  <c:v> (n=9)</c:v>
                </c:pt>
                <c:pt idx="55">
                  <c:v> (n=14)</c:v>
                </c:pt>
                <c:pt idx="56">
                  <c:v>Mgmt&amp;Comm (n=12)</c:v>
                </c:pt>
                <c:pt idx="57">
                  <c:v> (n=15)</c:v>
                </c:pt>
                <c:pt idx="58">
                  <c:v> (n=14)</c:v>
                </c:pt>
                <c:pt idx="59">
                  <c:v> (n=15)</c:v>
                </c:pt>
                <c:pt idx="60">
                  <c:v>ForeignLang (n=13)</c:v>
                </c:pt>
                <c:pt idx="61">
                  <c:v> (n=15)</c:v>
                </c:pt>
                <c:pt idx="62">
                  <c:v> (n=13)</c:v>
                </c:pt>
                <c:pt idx="63">
                  <c:v> (n=12)</c:v>
                </c:pt>
                <c:pt idx="64">
                  <c:v>Psych (n=6)</c:v>
                </c:pt>
                <c:pt idx="65">
                  <c:v> (n=7)</c:v>
                </c:pt>
                <c:pt idx="66">
                  <c:v> (n=8)</c:v>
                </c:pt>
                <c:pt idx="67">
                  <c:v> (n=12)</c:v>
                </c:pt>
                <c:pt idx="68">
                  <c:v>OtherSoc&amp;Cult (n=18)</c:v>
                </c:pt>
                <c:pt idx="69">
                  <c:v> (n=19)</c:v>
                </c:pt>
                <c:pt idx="70">
                  <c:v> (n=19)</c:v>
                </c:pt>
                <c:pt idx="71">
                  <c:v> (n=19)</c:v>
                </c:pt>
                <c:pt idx="72">
                  <c:v>Comms&amp;Media (n=11)</c:v>
                </c:pt>
                <c:pt idx="73">
                  <c:v> (n=12)</c:v>
                </c:pt>
                <c:pt idx="74">
                  <c:v> (n=13)</c:v>
                </c:pt>
                <c:pt idx="75">
                  <c:v> (n=14)</c:v>
                </c:pt>
                <c:pt idx="76">
                  <c:v>OthCreative (n=12)</c:v>
                </c:pt>
                <c:pt idx="77">
                  <c:v> (n=11)</c:v>
                </c:pt>
                <c:pt idx="78">
                  <c:v> (n=11)</c:v>
                </c:pt>
                <c:pt idx="79">
                  <c:v> (n=10)</c:v>
                </c:pt>
                <c:pt idx="80">
                  <c:v>FoodHosp&amp;Person (n=0)</c:v>
                </c:pt>
                <c:pt idx="81">
                  <c:v> (n=0)</c:v>
                </c:pt>
                <c:pt idx="82">
                  <c:v> (n=0)</c:v>
                </c:pt>
                <c:pt idx="83">
                  <c:v> (n=0)</c:v>
                </c:pt>
                <c:pt idx="84">
                  <c:v>MixedField (n=1)</c:v>
                </c:pt>
                <c:pt idx="85">
                  <c:v> (n=1)</c:v>
                </c:pt>
                <c:pt idx="86">
                  <c:v> (n=1)</c:v>
                </c:pt>
                <c:pt idx="87">
                  <c:v> (n=2)</c:v>
                </c:pt>
                <c:pt idx="88">
                  <c:v>Total (n=20)</c:v>
                </c:pt>
                <c:pt idx="89">
                  <c:v> (n=23)</c:v>
                </c:pt>
                <c:pt idx="90">
                  <c:v> (n=23)</c:v>
                </c:pt>
                <c:pt idx="91">
                  <c:v> (n=24)</c:v>
                </c:pt>
              </c:strCache>
            </c:strRef>
          </c:cat>
          <c:val>
            <c:numRef>
              <c:f>'Comp to Prev_All FOEs (17-20)'!$CV$16:$GI$16</c:f>
              <c:numCache>
                <c:formatCode>"$"#,##0</c:formatCode>
                <c:ptCount val="92"/>
                <c:pt idx="0">
                  <c:v>27600.789137931039</c:v>
                </c:pt>
                <c:pt idx="1">
                  <c:v>22340.764187246103</c:v>
                </c:pt>
                <c:pt idx="2">
                  <c:v>23962.997224883973</c:v>
                </c:pt>
                <c:pt idx="3">
                  <c:v>22407.05204318235</c:v>
                </c:pt>
                <c:pt idx="4">
                  <c:v>0</c:v>
                </c:pt>
                <c:pt idx="5">
                  <c:v>24074.267783894684</c:v>
                </c:pt>
                <c:pt idx="6">
                  <c:v>24001.126516801822</c:v>
                </c:pt>
                <c:pt idx="7">
                  <c:v>36351.577492295852</c:v>
                </c:pt>
                <c:pt idx="8">
                  <c:v>47660.181561595018</c:v>
                </c:pt>
                <c:pt idx="9">
                  <c:v>29336.065256444304</c:v>
                </c:pt>
                <c:pt idx="10">
                  <c:v>48776.273047036993</c:v>
                </c:pt>
                <c:pt idx="11">
                  <c:v>45027.485388653717</c:v>
                </c:pt>
                <c:pt idx="12">
                  <c:v>27815.624829999782</c:v>
                </c:pt>
                <c:pt idx="13">
                  <c:v>29178.506214180969</c:v>
                </c:pt>
                <c:pt idx="14">
                  <c:v>39696.646240768823</c:v>
                </c:pt>
                <c:pt idx="15">
                  <c:v>33980.601959184962</c:v>
                </c:pt>
                <c:pt idx="16">
                  <c:v>31495.131165800165</c:v>
                </c:pt>
                <c:pt idx="17">
                  <c:v>34604.326636153099</c:v>
                </c:pt>
                <c:pt idx="18">
                  <c:v>47510.182011175144</c:v>
                </c:pt>
                <c:pt idx="19">
                  <c:v>52265.70456351641</c:v>
                </c:pt>
                <c:pt idx="20">
                  <c:v>32066.947860509506</c:v>
                </c:pt>
                <c:pt idx="21">
                  <c:v>25436.669272727271</c:v>
                </c:pt>
                <c:pt idx="22">
                  <c:v>31338.124434353133</c:v>
                </c:pt>
                <c:pt idx="23">
                  <c:v>28066.722381332373</c:v>
                </c:pt>
                <c:pt idx="24">
                  <c:v>44289.024687469326</c:v>
                </c:pt>
                <c:pt idx="25">
                  <c:v>31443.042482392306</c:v>
                </c:pt>
                <c:pt idx="26">
                  <c:v>51868.934031916528</c:v>
                </c:pt>
                <c:pt idx="27">
                  <c:v>24817.126669609603</c:v>
                </c:pt>
                <c:pt idx="28">
                  <c:v>36835.832897979824</c:v>
                </c:pt>
                <c:pt idx="29">
                  <c:v>33843.033242605263</c:v>
                </c:pt>
                <c:pt idx="30">
                  <c:v>68998.231232082471</c:v>
                </c:pt>
                <c:pt idx="31">
                  <c:v>50696.673968685944</c:v>
                </c:pt>
                <c:pt idx="32">
                  <c:v>0</c:v>
                </c:pt>
                <c:pt idx="33">
                  <c:v>16826.022829177462</c:v>
                </c:pt>
                <c:pt idx="34">
                  <c:v>24810.410765988243</c:v>
                </c:pt>
                <c:pt idx="35">
                  <c:v>22967.758780745586</c:v>
                </c:pt>
                <c:pt idx="36">
                  <c:v>15280.193767811517</c:v>
                </c:pt>
                <c:pt idx="37">
                  <c:v>20805.892291444579</c:v>
                </c:pt>
                <c:pt idx="38">
                  <c:v>17518.014939872723</c:v>
                </c:pt>
                <c:pt idx="39">
                  <c:v>19084.359445366415</c:v>
                </c:pt>
                <c:pt idx="41">
                  <c:v>0</c:v>
                </c:pt>
                <c:pt idx="45">
                  <c:v>0</c:v>
                </c:pt>
                <c:pt idx="48">
                  <c:v>19531.983046892143</c:v>
                </c:pt>
                <c:pt idx="49">
                  <c:v>19676.465772712862</c:v>
                </c:pt>
                <c:pt idx="50">
                  <c:v>24399.339805507345</c:v>
                </c:pt>
                <c:pt idx="51">
                  <c:v>22049.271725646424</c:v>
                </c:pt>
                <c:pt idx="52">
                  <c:v>19016.176551604585</c:v>
                </c:pt>
                <c:pt idx="53">
                  <c:v>24954.174119010317</c:v>
                </c:pt>
                <c:pt idx="54">
                  <c:v>24677.743416136382</c:v>
                </c:pt>
                <c:pt idx="55">
                  <c:v>30836.030310094637</c:v>
                </c:pt>
                <c:pt idx="56">
                  <c:v>25920.769181932868</c:v>
                </c:pt>
                <c:pt idx="57">
                  <c:v>29121.322548224605</c:v>
                </c:pt>
                <c:pt idx="58">
                  <c:v>32996.542709610861</c:v>
                </c:pt>
                <c:pt idx="59">
                  <c:v>29920.545894899475</c:v>
                </c:pt>
                <c:pt idx="60">
                  <c:v>37950.832592592589</c:v>
                </c:pt>
                <c:pt idx="61">
                  <c:v>37121.50097742318</c:v>
                </c:pt>
                <c:pt idx="62">
                  <c:v>27636.269275055674</c:v>
                </c:pt>
                <c:pt idx="63">
                  <c:v>27145.474165047646</c:v>
                </c:pt>
                <c:pt idx="64">
                  <c:v>21142.019438202253</c:v>
                </c:pt>
                <c:pt idx="65">
                  <c:v>19008.910410590637</c:v>
                </c:pt>
                <c:pt idx="66">
                  <c:v>23301.045135688735</c:v>
                </c:pt>
                <c:pt idx="67">
                  <c:v>23952.204190500543</c:v>
                </c:pt>
                <c:pt idx="68">
                  <c:v>23147.897810361683</c:v>
                </c:pt>
                <c:pt idx="69">
                  <c:v>22949.605851703403</c:v>
                </c:pt>
                <c:pt idx="70">
                  <c:v>26276.291252050287</c:v>
                </c:pt>
                <c:pt idx="71">
                  <c:v>21202.399779619704</c:v>
                </c:pt>
                <c:pt idx="72">
                  <c:v>22983.822920353985</c:v>
                </c:pt>
                <c:pt idx="73">
                  <c:v>27594.871198156685</c:v>
                </c:pt>
                <c:pt idx="74">
                  <c:v>22540.40452748059</c:v>
                </c:pt>
                <c:pt idx="75">
                  <c:v>25316.963977945601</c:v>
                </c:pt>
                <c:pt idx="76">
                  <c:v>34200.283135216167</c:v>
                </c:pt>
                <c:pt idx="77">
                  <c:v>40946.224768133274</c:v>
                </c:pt>
                <c:pt idx="78">
                  <c:v>25902.757054045582</c:v>
                </c:pt>
                <c:pt idx="79">
                  <c:v>27698.817364239345</c:v>
                </c:pt>
                <c:pt idx="80">
                  <c:v>0</c:v>
                </c:pt>
                <c:pt idx="81">
                  <c:v>0</c:v>
                </c:pt>
                <c:pt idx="82">
                  <c:v>#N/A</c:v>
                </c:pt>
                <c:pt idx="83">
                  <c:v>#N/A</c:v>
                </c:pt>
                <c:pt idx="84">
                  <c:v>12995.03133570759</c:v>
                </c:pt>
                <c:pt idx="85">
                  <c:v>13396.142480663088</c:v>
                </c:pt>
                <c:pt idx="86">
                  <c:v>9864.6077138624296</c:v>
                </c:pt>
                <c:pt idx="87">
                  <c:v>9812.2234776741279</c:v>
                </c:pt>
                <c:pt idx="88">
                  <c:v>28200.904040650395</c:v>
                </c:pt>
                <c:pt idx="89">
                  <c:v>22982.731556038383</c:v>
                </c:pt>
                <c:pt idx="90">
                  <c:v>#N/A</c:v>
                </c:pt>
                <c:pt idx="91">
                  <c:v>#N/A</c:v>
                </c:pt>
              </c:numCache>
            </c:numRef>
          </c:val>
          <c:smooth val="0"/>
          <c:extLst>
            <c:ext xmlns:c16="http://schemas.microsoft.com/office/drawing/2014/chart" uri="{C3380CC4-5D6E-409C-BE32-E72D297353CC}">
              <c16:uniqueId val="{00000001-10F9-423C-9AA4-BF1E04D3180D}"/>
            </c:ext>
          </c:extLst>
        </c:ser>
        <c:ser>
          <c:idx val="4"/>
          <c:order val="1"/>
          <c:tx>
            <c:strRef>
              <c:f>'Comp to Prev_All FOEs (17-20)'!$CU$17</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10F9-423C-9AA4-BF1E04D3180D}"/>
              </c:ext>
            </c:extLst>
          </c:dPt>
          <c:cat>
            <c:strRef>
              <c:f>'Comp to Prev_All FOEs (17-20)'!$CV$15:$GI$15</c:f>
              <c:strCache>
                <c:ptCount val="92"/>
                <c:pt idx="0">
                  <c:v>MathSci (n=16)</c:v>
                </c:pt>
                <c:pt idx="1">
                  <c:v> (n=18)</c:v>
                </c:pt>
                <c:pt idx="2">
                  <c:v> (n=16)</c:v>
                </c:pt>
                <c:pt idx="3">
                  <c:v> (n=15)</c:v>
                </c:pt>
                <c:pt idx="4">
                  <c:v>MedicalSci (n=0)</c:v>
                </c:pt>
                <c:pt idx="5">
                  <c:v> (n=1)</c:v>
                </c:pt>
                <c:pt idx="6">
                  <c:v> (n=1)</c:v>
                </c:pt>
                <c:pt idx="7">
                  <c:v> (n=1)</c:v>
                </c:pt>
                <c:pt idx="8">
                  <c:v>OthNat-PhysSci (n=13)</c:v>
                </c:pt>
                <c:pt idx="9">
                  <c:v> (n=15)</c:v>
                </c:pt>
                <c:pt idx="10">
                  <c:v> (n=15)</c:v>
                </c:pt>
                <c:pt idx="11">
                  <c:v> (n=16)</c:v>
                </c:pt>
                <c:pt idx="12">
                  <c:v>InfoTech (n=8)</c:v>
                </c:pt>
                <c:pt idx="13">
                  <c:v> (n=10)</c:v>
                </c:pt>
                <c:pt idx="14">
                  <c:v> (n=11)</c:v>
                </c:pt>
                <c:pt idx="15">
                  <c:v> (n=17)</c:v>
                </c:pt>
                <c:pt idx="16">
                  <c:v>Eng&amp;Related (n=7)</c:v>
                </c:pt>
                <c:pt idx="17">
                  <c:v> (n=8)</c:v>
                </c:pt>
                <c:pt idx="18">
                  <c:v> (n=7)</c:v>
                </c:pt>
                <c:pt idx="19">
                  <c:v> (n=10)</c:v>
                </c:pt>
                <c:pt idx="20">
                  <c:v>Archi&amp;Build (n=5)</c:v>
                </c:pt>
                <c:pt idx="21">
                  <c:v> (n=5)</c:v>
                </c:pt>
                <c:pt idx="22">
                  <c:v> (n=6)</c:v>
                </c:pt>
                <c:pt idx="23">
                  <c:v> (n=8)</c:v>
                </c:pt>
                <c:pt idx="24">
                  <c:v>Environment (n=3)</c:v>
                </c:pt>
                <c:pt idx="25">
                  <c:v> (n=3)</c:v>
                </c:pt>
                <c:pt idx="26">
                  <c:v> (n=4)</c:v>
                </c:pt>
                <c:pt idx="27">
                  <c:v> (n=4)</c:v>
                </c:pt>
                <c:pt idx="28">
                  <c:v>OthAg&amp;Enviro (n=2)</c:v>
                </c:pt>
                <c:pt idx="29">
                  <c:v> (n=3)</c:v>
                </c:pt>
                <c:pt idx="30">
                  <c:v> (n=3)</c:v>
                </c:pt>
                <c:pt idx="31">
                  <c:v> (n=4)</c:v>
                </c:pt>
                <c:pt idx="32">
                  <c:v>MedicalStudies (n=0)</c:v>
                </c:pt>
                <c:pt idx="33">
                  <c:v> (n=1)</c:v>
                </c:pt>
                <c:pt idx="34">
                  <c:v> (n=1)</c:v>
                </c:pt>
                <c:pt idx="35">
                  <c:v> (n=1)</c:v>
                </c:pt>
                <c:pt idx="36">
                  <c:v>Nursing (n=3)</c:v>
                </c:pt>
                <c:pt idx="37">
                  <c:v> (n=4)</c:v>
                </c:pt>
                <c:pt idx="38">
                  <c:v> (n=4)</c:v>
                </c:pt>
                <c:pt idx="39">
                  <c:v> (n=5)</c:v>
                </c:pt>
                <c:pt idx="40">
                  <c:v>Dental (n=0)</c:v>
                </c:pt>
                <c:pt idx="41">
                  <c:v> (n=0)</c:v>
                </c:pt>
                <c:pt idx="42">
                  <c:v> (n=0)</c:v>
                </c:pt>
                <c:pt idx="43">
                  <c:v> (n=0)</c:v>
                </c:pt>
                <c:pt idx="44">
                  <c:v>Veterinary (n=0)</c:v>
                </c:pt>
                <c:pt idx="45">
                  <c:v> (n=0)</c:v>
                </c:pt>
                <c:pt idx="46">
                  <c:v> (n=0)</c:v>
                </c:pt>
                <c:pt idx="47">
                  <c:v> (n=0)</c:v>
                </c:pt>
                <c:pt idx="48">
                  <c:v>OthHealth (n=5)</c:v>
                </c:pt>
                <c:pt idx="49">
                  <c:v> (n=5)</c:v>
                </c:pt>
                <c:pt idx="50">
                  <c:v> (n=8)</c:v>
                </c:pt>
                <c:pt idx="51">
                  <c:v> (n=9)</c:v>
                </c:pt>
                <c:pt idx="52">
                  <c:v>Education (n=9)</c:v>
                </c:pt>
                <c:pt idx="53">
                  <c:v> (n=8)</c:v>
                </c:pt>
                <c:pt idx="54">
                  <c:v> (n=9)</c:v>
                </c:pt>
                <c:pt idx="55">
                  <c:v> (n=14)</c:v>
                </c:pt>
                <c:pt idx="56">
                  <c:v>Mgmt&amp;Comm (n=12)</c:v>
                </c:pt>
                <c:pt idx="57">
                  <c:v> (n=15)</c:v>
                </c:pt>
                <c:pt idx="58">
                  <c:v> (n=14)</c:v>
                </c:pt>
                <c:pt idx="59">
                  <c:v> (n=15)</c:v>
                </c:pt>
                <c:pt idx="60">
                  <c:v>ForeignLang (n=13)</c:v>
                </c:pt>
                <c:pt idx="61">
                  <c:v> (n=15)</c:v>
                </c:pt>
                <c:pt idx="62">
                  <c:v> (n=13)</c:v>
                </c:pt>
                <c:pt idx="63">
                  <c:v> (n=12)</c:v>
                </c:pt>
                <c:pt idx="64">
                  <c:v>Psych (n=6)</c:v>
                </c:pt>
                <c:pt idx="65">
                  <c:v> (n=7)</c:v>
                </c:pt>
                <c:pt idx="66">
                  <c:v> (n=8)</c:v>
                </c:pt>
                <c:pt idx="67">
                  <c:v> (n=12)</c:v>
                </c:pt>
                <c:pt idx="68">
                  <c:v>OtherSoc&amp;Cult (n=18)</c:v>
                </c:pt>
                <c:pt idx="69">
                  <c:v> (n=19)</c:v>
                </c:pt>
                <c:pt idx="70">
                  <c:v> (n=19)</c:v>
                </c:pt>
                <c:pt idx="71">
                  <c:v> (n=19)</c:v>
                </c:pt>
                <c:pt idx="72">
                  <c:v>Comms&amp;Media (n=11)</c:v>
                </c:pt>
                <c:pt idx="73">
                  <c:v> (n=12)</c:v>
                </c:pt>
                <c:pt idx="74">
                  <c:v> (n=13)</c:v>
                </c:pt>
                <c:pt idx="75">
                  <c:v> (n=14)</c:v>
                </c:pt>
                <c:pt idx="76">
                  <c:v>OthCreative (n=12)</c:v>
                </c:pt>
                <c:pt idx="77">
                  <c:v> (n=11)</c:v>
                </c:pt>
                <c:pt idx="78">
                  <c:v> (n=11)</c:v>
                </c:pt>
                <c:pt idx="79">
                  <c:v> (n=10)</c:v>
                </c:pt>
                <c:pt idx="80">
                  <c:v>FoodHosp&amp;Person (n=0)</c:v>
                </c:pt>
                <c:pt idx="81">
                  <c:v> (n=0)</c:v>
                </c:pt>
                <c:pt idx="82">
                  <c:v> (n=0)</c:v>
                </c:pt>
                <c:pt idx="83">
                  <c:v> (n=0)</c:v>
                </c:pt>
                <c:pt idx="84">
                  <c:v>MixedField (n=1)</c:v>
                </c:pt>
                <c:pt idx="85">
                  <c:v> (n=1)</c:v>
                </c:pt>
                <c:pt idx="86">
                  <c:v> (n=1)</c:v>
                </c:pt>
                <c:pt idx="87">
                  <c:v> (n=2)</c:v>
                </c:pt>
                <c:pt idx="88">
                  <c:v>Total (n=20)</c:v>
                </c:pt>
                <c:pt idx="89">
                  <c:v> (n=23)</c:v>
                </c:pt>
                <c:pt idx="90">
                  <c:v> (n=23)</c:v>
                </c:pt>
                <c:pt idx="91">
                  <c:v> (n=24)</c:v>
                </c:pt>
              </c:strCache>
            </c:strRef>
          </c:cat>
          <c:val>
            <c:numRef>
              <c:f>'Comp to Prev_All FOEs (17-20)'!$CV$17:$GI$17</c:f>
              <c:numCache>
                <c:formatCode>"$"#,##0</c:formatCode>
                <c:ptCount val="92"/>
                <c:pt idx="0">
                  <c:v>4153.2230937919758</c:v>
                </c:pt>
                <c:pt idx="1">
                  <c:v>9392.3645552512535</c:v>
                </c:pt>
                <c:pt idx="2">
                  <c:v>11613.785764328712</c:v>
                </c:pt>
                <c:pt idx="3">
                  <c:v>8388.2397072285894</c:v>
                </c:pt>
                <c:pt idx="4">
                  <c:v>0</c:v>
                </c:pt>
                <c:pt idx="5">
                  <c:v>24074.267783894684</c:v>
                </c:pt>
                <c:pt idx="6">
                  <c:v>24001.126516801822</c:v>
                </c:pt>
                <c:pt idx="7">
                  <c:v>36351.577492295852</c:v>
                </c:pt>
                <c:pt idx="8">
                  <c:v>15591.272862419366</c:v>
                </c:pt>
                <c:pt idx="9">
                  <c:v>12768.262710042318</c:v>
                </c:pt>
                <c:pt idx="10">
                  <c:v>6999.4262093455809</c:v>
                </c:pt>
                <c:pt idx="11">
                  <c:v>8288.9159959157751</c:v>
                </c:pt>
                <c:pt idx="12">
                  <c:v>10340.055339682107</c:v>
                </c:pt>
                <c:pt idx="13">
                  <c:v>14827.645618003877</c:v>
                </c:pt>
                <c:pt idx="14">
                  <c:v>6619.5731852393492</c:v>
                </c:pt>
                <c:pt idx="15">
                  <c:v>3131.7040504824308</c:v>
                </c:pt>
                <c:pt idx="16">
                  <c:v>16405.315457051678</c:v>
                </c:pt>
                <c:pt idx="17">
                  <c:v>14693.019568835203</c:v>
                </c:pt>
                <c:pt idx="18">
                  <c:v>17742.337517389435</c:v>
                </c:pt>
                <c:pt idx="19">
                  <c:v>8486.1984876155657</c:v>
                </c:pt>
                <c:pt idx="20">
                  <c:v>15439.581472506794</c:v>
                </c:pt>
                <c:pt idx="21">
                  <c:v>15060.299875494507</c:v>
                </c:pt>
                <c:pt idx="22">
                  <c:v>7773.2277474048606</c:v>
                </c:pt>
                <c:pt idx="23">
                  <c:v>6702.6279723200105</c:v>
                </c:pt>
                <c:pt idx="24">
                  <c:v>15520.217241292024</c:v>
                </c:pt>
                <c:pt idx="25">
                  <c:v>21409.86952750702</c:v>
                </c:pt>
                <c:pt idx="26">
                  <c:v>16419.526299849069</c:v>
                </c:pt>
                <c:pt idx="27">
                  <c:v>16365.12072025632</c:v>
                </c:pt>
                <c:pt idx="28">
                  <c:v>31267.015484296026</c:v>
                </c:pt>
                <c:pt idx="29">
                  <c:v>23044.833894767984</c:v>
                </c:pt>
                <c:pt idx="30">
                  <c:v>24895.689900603778</c:v>
                </c:pt>
                <c:pt idx="31">
                  <c:v>25091.719740971035</c:v>
                </c:pt>
                <c:pt idx="32">
                  <c:v>0</c:v>
                </c:pt>
                <c:pt idx="33">
                  <c:v>16826.022829177462</c:v>
                </c:pt>
                <c:pt idx="34">
                  <c:v>24810.410765988243</c:v>
                </c:pt>
                <c:pt idx="35">
                  <c:v>22967.758780745586</c:v>
                </c:pt>
                <c:pt idx="36">
                  <c:v>12860.387388509471</c:v>
                </c:pt>
                <c:pt idx="37">
                  <c:v>13623.969656293015</c:v>
                </c:pt>
                <c:pt idx="38">
                  <c:v>13864.666625295349</c:v>
                </c:pt>
                <c:pt idx="39">
                  <c:v>15491.24449152912</c:v>
                </c:pt>
                <c:pt idx="41">
                  <c:v>0</c:v>
                </c:pt>
                <c:pt idx="45">
                  <c:v>0</c:v>
                </c:pt>
                <c:pt idx="48">
                  <c:v>13007.913252685668</c:v>
                </c:pt>
                <c:pt idx="49">
                  <c:v>14808.991539346194</c:v>
                </c:pt>
                <c:pt idx="50">
                  <c:v>7684.4619008657901</c:v>
                </c:pt>
                <c:pt idx="51">
                  <c:v>9744.5956376285503</c:v>
                </c:pt>
                <c:pt idx="52">
                  <c:v>3430.2489899863458</c:v>
                </c:pt>
                <c:pt idx="53">
                  <c:v>11065.457698240503</c:v>
                </c:pt>
                <c:pt idx="54">
                  <c:v>13045.360330376525</c:v>
                </c:pt>
                <c:pt idx="55">
                  <c:v>2362.4252607832777</c:v>
                </c:pt>
                <c:pt idx="56">
                  <c:v>2239.020303800336</c:v>
                </c:pt>
                <c:pt idx="57">
                  <c:v>11316.454826714342</c:v>
                </c:pt>
                <c:pt idx="58">
                  <c:v>8748.9965022039833</c:v>
                </c:pt>
                <c:pt idx="59">
                  <c:v>8351.4346833690033</c:v>
                </c:pt>
                <c:pt idx="60">
                  <c:v>12715.211685029728</c:v>
                </c:pt>
                <c:pt idx="61">
                  <c:v>11609.642394391358</c:v>
                </c:pt>
                <c:pt idx="62">
                  <c:v>7599.6810615312506</c:v>
                </c:pt>
                <c:pt idx="63">
                  <c:v>7736.8640050865433</c:v>
                </c:pt>
                <c:pt idx="64">
                  <c:v>10532.078108961054</c:v>
                </c:pt>
                <c:pt idx="65">
                  <c:v>10133.369399476031</c:v>
                </c:pt>
                <c:pt idx="66">
                  <c:v>7387.3744353376342</c:v>
                </c:pt>
                <c:pt idx="67">
                  <c:v>5296.8164360144638</c:v>
                </c:pt>
                <c:pt idx="68">
                  <c:v>9105.6345867230848</c:v>
                </c:pt>
                <c:pt idx="69">
                  <c:v>10995.189857741987</c:v>
                </c:pt>
                <c:pt idx="70">
                  <c:v>9116.2453870666777</c:v>
                </c:pt>
                <c:pt idx="71">
                  <c:v>5317.2091131574325</c:v>
                </c:pt>
                <c:pt idx="72">
                  <c:v>8430.9255678908576</c:v>
                </c:pt>
                <c:pt idx="73">
                  <c:v>11631.627071823204</c:v>
                </c:pt>
                <c:pt idx="74">
                  <c:v>7161.4614855719692</c:v>
                </c:pt>
                <c:pt idx="75">
                  <c:v>8885.6795644919366</c:v>
                </c:pt>
                <c:pt idx="76">
                  <c:v>13038.024216353271</c:v>
                </c:pt>
                <c:pt idx="77">
                  <c:v>14571.76989146967</c:v>
                </c:pt>
                <c:pt idx="78">
                  <c:v>7643.5795292311359</c:v>
                </c:pt>
                <c:pt idx="79">
                  <c:v>9122.1052501447684</c:v>
                </c:pt>
                <c:pt idx="80">
                  <c:v>0</c:v>
                </c:pt>
                <c:pt idx="81">
                  <c:v>0</c:v>
                </c:pt>
                <c:pt idx="82">
                  <c:v>#N/A</c:v>
                </c:pt>
                <c:pt idx="83">
                  <c:v>#N/A</c:v>
                </c:pt>
                <c:pt idx="84">
                  <c:v>12995.03133570759</c:v>
                </c:pt>
                <c:pt idx="85">
                  <c:v>13396.142480663088</c:v>
                </c:pt>
                <c:pt idx="86">
                  <c:v>9864.6077138624296</c:v>
                </c:pt>
                <c:pt idx="87">
                  <c:v>4225.3287552675502</c:v>
                </c:pt>
                <c:pt idx="88">
                  <c:v>9017.6981607976795</c:v>
                </c:pt>
                <c:pt idx="89">
                  <c:v>11457.400467623454</c:v>
                </c:pt>
                <c:pt idx="90">
                  <c:v>#N/A</c:v>
                </c:pt>
                <c:pt idx="91">
                  <c:v>#N/A</c:v>
                </c:pt>
              </c:numCache>
            </c:numRef>
          </c:val>
          <c:smooth val="0"/>
          <c:extLst>
            <c:ext xmlns:c16="http://schemas.microsoft.com/office/drawing/2014/chart" uri="{C3380CC4-5D6E-409C-BE32-E72D297353CC}">
              <c16:uniqueId val="{00000003-10F9-423C-9AA4-BF1E04D3180D}"/>
            </c:ext>
          </c:extLst>
        </c:ser>
        <c:ser>
          <c:idx val="5"/>
          <c:order val="2"/>
          <c:tx>
            <c:strRef>
              <c:f>'Comp to Prev_All FOEs (17-20)'!$CU$18</c:f>
              <c:strCache>
                <c:ptCount val="1"/>
                <c:pt idx="0">
                  <c:v>Mean</c:v>
                </c:pt>
              </c:strCache>
            </c:strRef>
          </c:tx>
          <c:spPr>
            <a:ln w="28575" cap="rnd">
              <a:noFill/>
              <a:round/>
            </a:ln>
            <a:effectLst/>
          </c:spPr>
          <c:marker>
            <c:symbol val="diamond"/>
            <c:size val="7"/>
            <c:spPr>
              <a:solidFill>
                <a:srgbClr val="00ABAB"/>
              </a:solidFill>
              <a:ln>
                <a:solidFill>
                  <a:srgbClr val="00ABAB"/>
                </a:solidFill>
              </a:ln>
            </c:spPr>
          </c:marker>
          <c:dPt>
            <c:idx val="1"/>
            <c:marker>
              <c:spPr>
                <a:solidFill>
                  <a:srgbClr val="BFBFBF"/>
                </a:solidFill>
                <a:ln>
                  <a:solidFill>
                    <a:srgbClr val="BFBFBF"/>
                  </a:solidFill>
                </a:ln>
              </c:spPr>
            </c:marker>
            <c:bubble3D val="0"/>
            <c:extLst>
              <c:ext xmlns:c16="http://schemas.microsoft.com/office/drawing/2014/chart" uri="{C3380CC4-5D6E-409C-BE32-E72D297353CC}">
                <c16:uniqueId val="{00000004-10F9-423C-9AA4-BF1E04D3180D}"/>
              </c:ext>
            </c:extLst>
          </c:dPt>
          <c:dPt>
            <c:idx val="2"/>
            <c:marker>
              <c:spPr>
                <a:solidFill>
                  <a:schemeClr val="tx2"/>
                </a:solidFill>
                <a:ln>
                  <a:solidFill>
                    <a:schemeClr val="tx2"/>
                  </a:solidFill>
                </a:ln>
              </c:spPr>
            </c:marker>
            <c:bubble3D val="0"/>
            <c:extLst>
              <c:ext xmlns:c16="http://schemas.microsoft.com/office/drawing/2014/chart" uri="{C3380CC4-5D6E-409C-BE32-E72D297353CC}">
                <c16:uniqueId val="{00000005-10F9-423C-9AA4-BF1E04D3180D}"/>
              </c:ext>
            </c:extLst>
          </c:dPt>
          <c:dPt>
            <c:idx val="3"/>
            <c:marker>
              <c:spPr>
                <a:solidFill>
                  <a:srgbClr val="53565A"/>
                </a:solidFill>
                <a:ln>
                  <a:solidFill>
                    <a:srgbClr val="53565A"/>
                  </a:solidFill>
                </a:ln>
              </c:spPr>
            </c:marker>
            <c:bubble3D val="0"/>
            <c:extLst>
              <c:ext xmlns:c16="http://schemas.microsoft.com/office/drawing/2014/chart" uri="{C3380CC4-5D6E-409C-BE32-E72D297353CC}">
                <c16:uniqueId val="{00000006-10F9-423C-9AA4-BF1E04D3180D}"/>
              </c:ext>
            </c:extLst>
          </c:dPt>
          <c:dPt>
            <c:idx val="4"/>
            <c:marker>
              <c:spPr>
                <a:noFill/>
                <a:ln>
                  <a:noFill/>
                </a:ln>
              </c:spPr>
            </c:marker>
            <c:bubble3D val="0"/>
            <c:extLst>
              <c:ext xmlns:c16="http://schemas.microsoft.com/office/drawing/2014/chart" uri="{C3380CC4-5D6E-409C-BE32-E72D297353CC}">
                <c16:uniqueId val="{00000007-10F9-423C-9AA4-BF1E04D3180D}"/>
              </c:ext>
            </c:extLst>
          </c:dPt>
          <c:dPt>
            <c:idx val="5"/>
            <c:marker>
              <c:spPr>
                <a:solidFill>
                  <a:srgbClr val="BFBFBF"/>
                </a:solidFill>
                <a:ln>
                  <a:solidFill>
                    <a:srgbClr val="BFBFBF"/>
                  </a:solidFill>
                </a:ln>
              </c:spPr>
            </c:marker>
            <c:bubble3D val="0"/>
            <c:extLst>
              <c:ext xmlns:c16="http://schemas.microsoft.com/office/drawing/2014/chart" uri="{C3380CC4-5D6E-409C-BE32-E72D297353CC}">
                <c16:uniqueId val="{00000008-10F9-423C-9AA4-BF1E04D3180D}"/>
              </c:ext>
            </c:extLst>
          </c:dPt>
          <c:dPt>
            <c:idx val="6"/>
            <c:marker>
              <c:spPr>
                <a:solidFill>
                  <a:schemeClr val="tx2"/>
                </a:solidFill>
                <a:ln>
                  <a:solidFill>
                    <a:schemeClr val="tx2"/>
                  </a:solidFill>
                </a:ln>
              </c:spPr>
            </c:marker>
            <c:bubble3D val="0"/>
            <c:extLst>
              <c:ext xmlns:c16="http://schemas.microsoft.com/office/drawing/2014/chart" uri="{C3380CC4-5D6E-409C-BE32-E72D297353CC}">
                <c16:uniqueId val="{00000009-10F9-423C-9AA4-BF1E04D3180D}"/>
              </c:ext>
            </c:extLst>
          </c:dPt>
          <c:dPt>
            <c:idx val="7"/>
            <c:marker>
              <c:spPr>
                <a:solidFill>
                  <a:srgbClr val="53565A"/>
                </a:solidFill>
                <a:ln>
                  <a:solidFill>
                    <a:srgbClr val="53565A"/>
                  </a:solidFill>
                </a:ln>
              </c:spPr>
            </c:marker>
            <c:bubble3D val="0"/>
            <c:extLst>
              <c:ext xmlns:c16="http://schemas.microsoft.com/office/drawing/2014/chart" uri="{C3380CC4-5D6E-409C-BE32-E72D297353CC}">
                <c16:uniqueId val="{0000000A-10F9-423C-9AA4-BF1E04D3180D}"/>
              </c:ext>
            </c:extLst>
          </c:dPt>
          <c:dPt>
            <c:idx val="9"/>
            <c:marker>
              <c:spPr>
                <a:solidFill>
                  <a:srgbClr val="BFBFBF"/>
                </a:solidFill>
                <a:ln>
                  <a:solidFill>
                    <a:srgbClr val="BFBFBF"/>
                  </a:solidFill>
                </a:ln>
              </c:spPr>
            </c:marker>
            <c:bubble3D val="0"/>
            <c:extLst>
              <c:ext xmlns:c16="http://schemas.microsoft.com/office/drawing/2014/chart" uri="{C3380CC4-5D6E-409C-BE32-E72D297353CC}">
                <c16:uniqueId val="{0000000B-10F9-423C-9AA4-BF1E04D3180D}"/>
              </c:ext>
            </c:extLst>
          </c:dPt>
          <c:dPt>
            <c:idx val="10"/>
            <c:marker>
              <c:spPr>
                <a:solidFill>
                  <a:schemeClr val="tx2"/>
                </a:solidFill>
                <a:ln>
                  <a:solidFill>
                    <a:schemeClr val="tx2"/>
                  </a:solidFill>
                </a:ln>
              </c:spPr>
            </c:marker>
            <c:bubble3D val="0"/>
            <c:extLst>
              <c:ext xmlns:c16="http://schemas.microsoft.com/office/drawing/2014/chart" uri="{C3380CC4-5D6E-409C-BE32-E72D297353CC}">
                <c16:uniqueId val="{0000000C-10F9-423C-9AA4-BF1E04D3180D}"/>
              </c:ext>
            </c:extLst>
          </c:dPt>
          <c:dPt>
            <c:idx val="11"/>
            <c:marker>
              <c:spPr>
                <a:solidFill>
                  <a:srgbClr val="53565A"/>
                </a:solidFill>
                <a:ln>
                  <a:solidFill>
                    <a:srgbClr val="53565A"/>
                  </a:solidFill>
                </a:ln>
              </c:spPr>
            </c:marker>
            <c:bubble3D val="0"/>
            <c:extLst>
              <c:ext xmlns:c16="http://schemas.microsoft.com/office/drawing/2014/chart" uri="{C3380CC4-5D6E-409C-BE32-E72D297353CC}">
                <c16:uniqueId val="{0000000D-10F9-423C-9AA4-BF1E04D3180D}"/>
              </c:ext>
            </c:extLst>
          </c:dPt>
          <c:dPt>
            <c:idx val="13"/>
            <c:marker>
              <c:spPr>
                <a:solidFill>
                  <a:srgbClr val="BFBFBF"/>
                </a:solidFill>
                <a:ln>
                  <a:solidFill>
                    <a:srgbClr val="BFBFBF"/>
                  </a:solidFill>
                </a:ln>
              </c:spPr>
            </c:marker>
            <c:bubble3D val="0"/>
            <c:extLst>
              <c:ext xmlns:c16="http://schemas.microsoft.com/office/drawing/2014/chart" uri="{C3380CC4-5D6E-409C-BE32-E72D297353CC}">
                <c16:uniqueId val="{0000000E-10F9-423C-9AA4-BF1E04D3180D}"/>
              </c:ext>
            </c:extLst>
          </c:dPt>
          <c:dPt>
            <c:idx val="14"/>
            <c:marker>
              <c:spPr>
                <a:solidFill>
                  <a:schemeClr val="tx2"/>
                </a:solidFill>
                <a:ln>
                  <a:solidFill>
                    <a:schemeClr val="tx2"/>
                  </a:solidFill>
                </a:ln>
              </c:spPr>
            </c:marker>
            <c:bubble3D val="0"/>
            <c:extLst>
              <c:ext xmlns:c16="http://schemas.microsoft.com/office/drawing/2014/chart" uri="{C3380CC4-5D6E-409C-BE32-E72D297353CC}">
                <c16:uniqueId val="{0000000F-10F9-423C-9AA4-BF1E04D3180D}"/>
              </c:ext>
            </c:extLst>
          </c:dPt>
          <c:dPt>
            <c:idx val="15"/>
            <c:marker>
              <c:spPr>
                <a:solidFill>
                  <a:srgbClr val="53565A"/>
                </a:solidFill>
                <a:ln>
                  <a:solidFill>
                    <a:srgbClr val="53565A"/>
                  </a:solidFill>
                </a:ln>
              </c:spPr>
            </c:marker>
            <c:bubble3D val="0"/>
            <c:extLst>
              <c:ext xmlns:c16="http://schemas.microsoft.com/office/drawing/2014/chart" uri="{C3380CC4-5D6E-409C-BE32-E72D297353CC}">
                <c16:uniqueId val="{00000010-10F9-423C-9AA4-BF1E04D3180D}"/>
              </c:ext>
            </c:extLst>
          </c:dPt>
          <c:dPt>
            <c:idx val="17"/>
            <c:marker>
              <c:spPr>
                <a:solidFill>
                  <a:srgbClr val="BFBFBF"/>
                </a:solidFill>
                <a:ln>
                  <a:solidFill>
                    <a:srgbClr val="BFBFBF"/>
                  </a:solidFill>
                </a:ln>
              </c:spPr>
            </c:marker>
            <c:bubble3D val="0"/>
            <c:extLst>
              <c:ext xmlns:c16="http://schemas.microsoft.com/office/drawing/2014/chart" uri="{C3380CC4-5D6E-409C-BE32-E72D297353CC}">
                <c16:uniqueId val="{00000011-10F9-423C-9AA4-BF1E04D3180D}"/>
              </c:ext>
            </c:extLst>
          </c:dPt>
          <c:dPt>
            <c:idx val="18"/>
            <c:marker>
              <c:spPr>
                <a:solidFill>
                  <a:schemeClr val="tx2"/>
                </a:solidFill>
                <a:ln>
                  <a:solidFill>
                    <a:schemeClr val="tx2"/>
                  </a:solidFill>
                </a:ln>
              </c:spPr>
            </c:marker>
            <c:bubble3D val="0"/>
            <c:extLst>
              <c:ext xmlns:c16="http://schemas.microsoft.com/office/drawing/2014/chart" uri="{C3380CC4-5D6E-409C-BE32-E72D297353CC}">
                <c16:uniqueId val="{00000012-10F9-423C-9AA4-BF1E04D3180D}"/>
              </c:ext>
            </c:extLst>
          </c:dPt>
          <c:dPt>
            <c:idx val="19"/>
            <c:marker>
              <c:spPr>
                <a:solidFill>
                  <a:srgbClr val="53565A"/>
                </a:solidFill>
                <a:ln>
                  <a:solidFill>
                    <a:srgbClr val="53565A"/>
                  </a:solidFill>
                </a:ln>
              </c:spPr>
            </c:marker>
            <c:bubble3D val="0"/>
            <c:extLst>
              <c:ext xmlns:c16="http://schemas.microsoft.com/office/drawing/2014/chart" uri="{C3380CC4-5D6E-409C-BE32-E72D297353CC}">
                <c16:uniqueId val="{00000013-10F9-423C-9AA4-BF1E04D3180D}"/>
              </c:ext>
            </c:extLst>
          </c:dPt>
          <c:dPt>
            <c:idx val="20"/>
            <c:bubble3D val="0"/>
            <c:extLst>
              <c:ext xmlns:c16="http://schemas.microsoft.com/office/drawing/2014/chart" uri="{C3380CC4-5D6E-409C-BE32-E72D297353CC}">
                <c16:uniqueId val="{00000014-10F9-423C-9AA4-BF1E04D3180D}"/>
              </c:ext>
            </c:extLst>
          </c:dPt>
          <c:dPt>
            <c:idx val="21"/>
            <c:marker>
              <c:spPr>
                <a:solidFill>
                  <a:srgbClr val="BFBFBF"/>
                </a:solidFill>
                <a:ln>
                  <a:solidFill>
                    <a:srgbClr val="BFBFBF"/>
                  </a:solidFill>
                </a:ln>
              </c:spPr>
            </c:marker>
            <c:bubble3D val="0"/>
            <c:extLst>
              <c:ext xmlns:c16="http://schemas.microsoft.com/office/drawing/2014/chart" uri="{C3380CC4-5D6E-409C-BE32-E72D297353CC}">
                <c16:uniqueId val="{00000015-10F9-423C-9AA4-BF1E04D3180D}"/>
              </c:ext>
            </c:extLst>
          </c:dPt>
          <c:dPt>
            <c:idx val="22"/>
            <c:marker>
              <c:spPr>
                <a:solidFill>
                  <a:schemeClr val="tx2"/>
                </a:solidFill>
                <a:ln>
                  <a:solidFill>
                    <a:schemeClr val="tx2"/>
                  </a:solidFill>
                </a:ln>
              </c:spPr>
            </c:marker>
            <c:bubble3D val="0"/>
            <c:extLst>
              <c:ext xmlns:c16="http://schemas.microsoft.com/office/drawing/2014/chart" uri="{C3380CC4-5D6E-409C-BE32-E72D297353CC}">
                <c16:uniqueId val="{00000016-10F9-423C-9AA4-BF1E04D3180D}"/>
              </c:ext>
            </c:extLst>
          </c:dPt>
          <c:dPt>
            <c:idx val="23"/>
            <c:marker>
              <c:spPr>
                <a:solidFill>
                  <a:srgbClr val="53565A"/>
                </a:solidFill>
                <a:ln>
                  <a:solidFill>
                    <a:srgbClr val="53565A"/>
                  </a:solidFill>
                </a:ln>
              </c:spPr>
            </c:marker>
            <c:bubble3D val="0"/>
            <c:extLst>
              <c:ext xmlns:c16="http://schemas.microsoft.com/office/drawing/2014/chart" uri="{C3380CC4-5D6E-409C-BE32-E72D297353CC}">
                <c16:uniqueId val="{00000017-10F9-423C-9AA4-BF1E04D3180D}"/>
              </c:ext>
            </c:extLst>
          </c:dPt>
          <c:dPt>
            <c:idx val="25"/>
            <c:marker>
              <c:spPr>
                <a:solidFill>
                  <a:srgbClr val="BFBFBF"/>
                </a:solidFill>
                <a:ln>
                  <a:solidFill>
                    <a:srgbClr val="BFBFBF"/>
                  </a:solidFill>
                </a:ln>
              </c:spPr>
            </c:marker>
            <c:bubble3D val="0"/>
            <c:extLst>
              <c:ext xmlns:c16="http://schemas.microsoft.com/office/drawing/2014/chart" uri="{C3380CC4-5D6E-409C-BE32-E72D297353CC}">
                <c16:uniqueId val="{00000018-10F9-423C-9AA4-BF1E04D3180D}"/>
              </c:ext>
            </c:extLst>
          </c:dPt>
          <c:dPt>
            <c:idx val="26"/>
            <c:marker>
              <c:spPr>
                <a:solidFill>
                  <a:schemeClr val="tx2"/>
                </a:solidFill>
                <a:ln>
                  <a:solidFill>
                    <a:schemeClr val="tx2"/>
                  </a:solidFill>
                </a:ln>
              </c:spPr>
            </c:marker>
            <c:bubble3D val="0"/>
            <c:extLst>
              <c:ext xmlns:c16="http://schemas.microsoft.com/office/drawing/2014/chart" uri="{C3380CC4-5D6E-409C-BE32-E72D297353CC}">
                <c16:uniqueId val="{00000019-10F9-423C-9AA4-BF1E04D3180D}"/>
              </c:ext>
            </c:extLst>
          </c:dPt>
          <c:dPt>
            <c:idx val="27"/>
            <c:marker>
              <c:spPr>
                <a:solidFill>
                  <a:srgbClr val="53565A"/>
                </a:solidFill>
                <a:ln>
                  <a:solidFill>
                    <a:srgbClr val="53565A"/>
                  </a:solidFill>
                </a:ln>
              </c:spPr>
            </c:marker>
            <c:bubble3D val="0"/>
            <c:extLst>
              <c:ext xmlns:c16="http://schemas.microsoft.com/office/drawing/2014/chart" uri="{C3380CC4-5D6E-409C-BE32-E72D297353CC}">
                <c16:uniqueId val="{0000001A-10F9-423C-9AA4-BF1E04D3180D}"/>
              </c:ext>
            </c:extLst>
          </c:dPt>
          <c:dPt>
            <c:idx val="29"/>
            <c:marker>
              <c:spPr>
                <a:solidFill>
                  <a:srgbClr val="BFBFBF"/>
                </a:solidFill>
                <a:ln>
                  <a:solidFill>
                    <a:srgbClr val="BFBFBF"/>
                  </a:solidFill>
                </a:ln>
              </c:spPr>
            </c:marker>
            <c:bubble3D val="0"/>
            <c:extLst>
              <c:ext xmlns:c16="http://schemas.microsoft.com/office/drawing/2014/chart" uri="{C3380CC4-5D6E-409C-BE32-E72D297353CC}">
                <c16:uniqueId val="{0000001B-10F9-423C-9AA4-BF1E04D3180D}"/>
              </c:ext>
            </c:extLst>
          </c:dPt>
          <c:dPt>
            <c:idx val="30"/>
            <c:marker>
              <c:spPr>
                <a:solidFill>
                  <a:schemeClr val="tx2"/>
                </a:solidFill>
                <a:ln>
                  <a:solidFill>
                    <a:schemeClr val="tx2"/>
                  </a:solidFill>
                </a:ln>
              </c:spPr>
            </c:marker>
            <c:bubble3D val="0"/>
            <c:extLst>
              <c:ext xmlns:c16="http://schemas.microsoft.com/office/drawing/2014/chart" uri="{C3380CC4-5D6E-409C-BE32-E72D297353CC}">
                <c16:uniqueId val="{0000001C-10F9-423C-9AA4-BF1E04D3180D}"/>
              </c:ext>
            </c:extLst>
          </c:dPt>
          <c:dPt>
            <c:idx val="31"/>
            <c:marker>
              <c:spPr>
                <a:solidFill>
                  <a:srgbClr val="53565A"/>
                </a:solidFill>
                <a:ln>
                  <a:solidFill>
                    <a:srgbClr val="53565A"/>
                  </a:solidFill>
                </a:ln>
              </c:spPr>
            </c:marker>
            <c:bubble3D val="0"/>
            <c:extLst>
              <c:ext xmlns:c16="http://schemas.microsoft.com/office/drawing/2014/chart" uri="{C3380CC4-5D6E-409C-BE32-E72D297353CC}">
                <c16:uniqueId val="{0000001D-10F9-423C-9AA4-BF1E04D3180D}"/>
              </c:ext>
            </c:extLst>
          </c:dPt>
          <c:dPt>
            <c:idx val="32"/>
            <c:marker>
              <c:spPr>
                <a:noFill/>
                <a:ln>
                  <a:noFill/>
                </a:ln>
              </c:spPr>
            </c:marker>
            <c:bubble3D val="0"/>
            <c:extLst>
              <c:ext xmlns:c16="http://schemas.microsoft.com/office/drawing/2014/chart" uri="{C3380CC4-5D6E-409C-BE32-E72D297353CC}">
                <c16:uniqueId val="{0000001E-10F9-423C-9AA4-BF1E04D3180D}"/>
              </c:ext>
            </c:extLst>
          </c:dPt>
          <c:dPt>
            <c:idx val="33"/>
            <c:marker>
              <c:spPr>
                <a:solidFill>
                  <a:srgbClr val="BFBFBF"/>
                </a:solidFill>
                <a:ln>
                  <a:solidFill>
                    <a:srgbClr val="BFBFBF">
                      <a:alpha val="99000"/>
                    </a:srgbClr>
                  </a:solidFill>
                </a:ln>
              </c:spPr>
            </c:marker>
            <c:bubble3D val="0"/>
            <c:extLst>
              <c:ext xmlns:c16="http://schemas.microsoft.com/office/drawing/2014/chart" uri="{C3380CC4-5D6E-409C-BE32-E72D297353CC}">
                <c16:uniqueId val="{0000001F-10F9-423C-9AA4-BF1E04D3180D}"/>
              </c:ext>
            </c:extLst>
          </c:dPt>
          <c:dPt>
            <c:idx val="34"/>
            <c:marker>
              <c:spPr>
                <a:solidFill>
                  <a:schemeClr val="tx2"/>
                </a:solidFill>
                <a:ln>
                  <a:solidFill>
                    <a:schemeClr val="tx2"/>
                  </a:solidFill>
                </a:ln>
              </c:spPr>
            </c:marker>
            <c:bubble3D val="0"/>
            <c:extLst>
              <c:ext xmlns:c16="http://schemas.microsoft.com/office/drawing/2014/chart" uri="{C3380CC4-5D6E-409C-BE32-E72D297353CC}">
                <c16:uniqueId val="{00000020-10F9-423C-9AA4-BF1E04D3180D}"/>
              </c:ext>
            </c:extLst>
          </c:dPt>
          <c:dPt>
            <c:idx val="35"/>
            <c:marker>
              <c:spPr>
                <a:solidFill>
                  <a:srgbClr val="53565A"/>
                </a:solidFill>
                <a:ln>
                  <a:solidFill>
                    <a:srgbClr val="53565A"/>
                  </a:solidFill>
                </a:ln>
              </c:spPr>
            </c:marker>
            <c:bubble3D val="0"/>
            <c:extLst>
              <c:ext xmlns:c16="http://schemas.microsoft.com/office/drawing/2014/chart" uri="{C3380CC4-5D6E-409C-BE32-E72D297353CC}">
                <c16:uniqueId val="{00000021-10F9-423C-9AA4-BF1E04D3180D}"/>
              </c:ext>
            </c:extLst>
          </c:dPt>
          <c:dPt>
            <c:idx val="37"/>
            <c:marker>
              <c:spPr>
                <a:solidFill>
                  <a:srgbClr val="BFBFBF"/>
                </a:solidFill>
                <a:ln>
                  <a:solidFill>
                    <a:srgbClr val="BFBFBF"/>
                  </a:solidFill>
                </a:ln>
              </c:spPr>
            </c:marker>
            <c:bubble3D val="0"/>
            <c:extLst>
              <c:ext xmlns:c16="http://schemas.microsoft.com/office/drawing/2014/chart" uri="{C3380CC4-5D6E-409C-BE32-E72D297353CC}">
                <c16:uniqueId val="{00000022-10F9-423C-9AA4-BF1E04D3180D}"/>
              </c:ext>
            </c:extLst>
          </c:dPt>
          <c:dPt>
            <c:idx val="38"/>
            <c:marker>
              <c:spPr>
                <a:solidFill>
                  <a:schemeClr val="tx2"/>
                </a:solidFill>
                <a:ln>
                  <a:solidFill>
                    <a:schemeClr val="tx2"/>
                  </a:solidFill>
                </a:ln>
              </c:spPr>
            </c:marker>
            <c:bubble3D val="0"/>
            <c:extLst>
              <c:ext xmlns:c16="http://schemas.microsoft.com/office/drawing/2014/chart" uri="{C3380CC4-5D6E-409C-BE32-E72D297353CC}">
                <c16:uniqueId val="{00000023-10F9-423C-9AA4-BF1E04D3180D}"/>
              </c:ext>
            </c:extLst>
          </c:dPt>
          <c:dPt>
            <c:idx val="39"/>
            <c:marker>
              <c:spPr>
                <a:solidFill>
                  <a:srgbClr val="53565A"/>
                </a:solidFill>
                <a:ln>
                  <a:solidFill>
                    <a:srgbClr val="53565A"/>
                  </a:solidFill>
                </a:ln>
              </c:spPr>
            </c:marker>
            <c:bubble3D val="0"/>
            <c:extLst>
              <c:ext xmlns:c16="http://schemas.microsoft.com/office/drawing/2014/chart" uri="{C3380CC4-5D6E-409C-BE32-E72D297353CC}">
                <c16:uniqueId val="{00000024-10F9-423C-9AA4-BF1E04D3180D}"/>
              </c:ext>
            </c:extLst>
          </c:dPt>
          <c:dPt>
            <c:idx val="41"/>
            <c:marker>
              <c:spPr>
                <a:noFill/>
                <a:ln>
                  <a:noFill/>
                </a:ln>
              </c:spPr>
            </c:marker>
            <c:bubble3D val="0"/>
            <c:extLst>
              <c:ext xmlns:c16="http://schemas.microsoft.com/office/drawing/2014/chart" uri="{C3380CC4-5D6E-409C-BE32-E72D297353CC}">
                <c16:uniqueId val="{00000025-10F9-423C-9AA4-BF1E04D3180D}"/>
              </c:ext>
            </c:extLst>
          </c:dPt>
          <c:dPt>
            <c:idx val="42"/>
            <c:marker>
              <c:spPr>
                <a:solidFill>
                  <a:schemeClr val="tx2"/>
                </a:solidFill>
                <a:ln>
                  <a:solidFill>
                    <a:schemeClr val="tx2"/>
                  </a:solidFill>
                </a:ln>
              </c:spPr>
            </c:marker>
            <c:bubble3D val="0"/>
            <c:extLst>
              <c:ext xmlns:c16="http://schemas.microsoft.com/office/drawing/2014/chart" uri="{C3380CC4-5D6E-409C-BE32-E72D297353CC}">
                <c16:uniqueId val="{00000026-10F9-423C-9AA4-BF1E04D3180D}"/>
              </c:ext>
            </c:extLst>
          </c:dPt>
          <c:dPt>
            <c:idx val="43"/>
            <c:marker>
              <c:spPr>
                <a:solidFill>
                  <a:srgbClr val="53565A"/>
                </a:solidFill>
                <a:ln>
                  <a:solidFill>
                    <a:srgbClr val="53565A"/>
                  </a:solidFill>
                </a:ln>
              </c:spPr>
            </c:marker>
            <c:bubble3D val="0"/>
            <c:extLst>
              <c:ext xmlns:c16="http://schemas.microsoft.com/office/drawing/2014/chart" uri="{C3380CC4-5D6E-409C-BE32-E72D297353CC}">
                <c16:uniqueId val="{00000027-10F9-423C-9AA4-BF1E04D3180D}"/>
              </c:ext>
            </c:extLst>
          </c:dPt>
          <c:dPt>
            <c:idx val="45"/>
            <c:marker>
              <c:spPr>
                <a:noFill/>
                <a:ln>
                  <a:noFill/>
                </a:ln>
              </c:spPr>
            </c:marker>
            <c:bubble3D val="0"/>
            <c:extLst>
              <c:ext xmlns:c16="http://schemas.microsoft.com/office/drawing/2014/chart" uri="{C3380CC4-5D6E-409C-BE32-E72D297353CC}">
                <c16:uniqueId val="{00000028-10F9-423C-9AA4-BF1E04D3180D}"/>
              </c:ext>
            </c:extLst>
          </c:dPt>
          <c:dPt>
            <c:idx val="46"/>
            <c:marker>
              <c:spPr>
                <a:solidFill>
                  <a:schemeClr val="tx2"/>
                </a:solidFill>
                <a:ln>
                  <a:solidFill>
                    <a:schemeClr val="tx2"/>
                  </a:solidFill>
                </a:ln>
              </c:spPr>
            </c:marker>
            <c:bubble3D val="0"/>
            <c:extLst>
              <c:ext xmlns:c16="http://schemas.microsoft.com/office/drawing/2014/chart" uri="{C3380CC4-5D6E-409C-BE32-E72D297353CC}">
                <c16:uniqueId val="{00000029-10F9-423C-9AA4-BF1E04D3180D}"/>
              </c:ext>
            </c:extLst>
          </c:dPt>
          <c:dPt>
            <c:idx val="47"/>
            <c:marker>
              <c:spPr>
                <a:solidFill>
                  <a:srgbClr val="53565A"/>
                </a:solidFill>
                <a:ln>
                  <a:solidFill>
                    <a:srgbClr val="53565A"/>
                  </a:solidFill>
                </a:ln>
              </c:spPr>
            </c:marker>
            <c:bubble3D val="0"/>
            <c:extLst>
              <c:ext xmlns:c16="http://schemas.microsoft.com/office/drawing/2014/chart" uri="{C3380CC4-5D6E-409C-BE32-E72D297353CC}">
                <c16:uniqueId val="{0000002A-10F9-423C-9AA4-BF1E04D3180D}"/>
              </c:ext>
            </c:extLst>
          </c:dPt>
          <c:dPt>
            <c:idx val="49"/>
            <c:marker>
              <c:spPr>
                <a:solidFill>
                  <a:srgbClr val="BFBFBF"/>
                </a:solidFill>
                <a:ln>
                  <a:solidFill>
                    <a:srgbClr val="BFBFBF"/>
                  </a:solidFill>
                </a:ln>
              </c:spPr>
            </c:marker>
            <c:bubble3D val="0"/>
            <c:extLst>
              <c:ext xmlns:c16="http://schemas.microsoft.com/office/drawing/2014/chart" uri="{C3380CC4-5D6E-409C-BE32-E72D297353CC}">
                <c16:uniqueId val="{0000002B-10F9-423C-9AA4-BF1E04D3180D}"/>
              </c:ext>
            </c:extLst>
          </c:dPt>
          <c:dPt>
            <c:idx val="50"/>
            <c:marker>
              <c:spPr>
                <a:solidFill>
                  <a:schemeClr val="tx2"/>
                </a:solidFill>
                <a:ln>
                  <a:solidFill>
                    <a:schemeClr val="tx2"/>
                  </a:solidFill>
                </a:ln>
              </c:spPr>
            </c:marker>
            <c:bubble3D val="0"/>
            <c:extLst>
              <c:ext xmlns:c16="http://schemas.microsoft.com/office/drawing/2014/chart" uri="{C3380CC4-5D6E-409C-BE32-E72D297353CC}">
                <c16:uniqueId val="{0000002C-10F9-423C-9AA4-BF1E04D3180D}"/>
              </c:ext>
            </c:extLst>
          </c:dPt>
          <c:dPt>
            <c:idx val="51"/>
            <c:marker>
              <c:spPr>
                <a:solidFill>
                  <a:srgbClr val="53565A"/>
                </a:solidFill>
                <a:ln>
                  <a:solidFill>
                    <a:srgbClr val="53565A"/>
                  </a:solidFill>
                </a:ln>
              </c:spPr>
            </c:marker>
            <c:bubble3D val="0"/>
            <c:extLst>
              <c:ext xmlns:c16="http://schemas.microsoft.com/office/drawing/2014/chart" uri="{C3380CC4-5D6E-409C-BE32-E72D297353CC}">
                <c16:uniqueId val="{0000002D-10F9-423C-9AA4-BF1E04D3180D}"/>
              </c:ext>
            </c:extLst>
          </c:dPt>
          <c:dPt>
            <c:idx val="53"/>
            <c:marker>
              <c:spPr>
                <a:solidFill>
                  <a:srgbClr val="BFBFBF"/>
                </a:solidFill>
                <a:ln>
                  <a:solidFill>
                    <a:srgbClr val="BFBFBF"/>
                  </a:solidFill>
                </a:ln>
              </c:spPr>
            </c:marker>
            <c:bubble3D val="0"/>
            <c:extLst>
              <c:ext xmlns:c16="http://schemas.microsoft.com/office/drawing/2014/chart" uri="{C3380CC4-5D6E-409C-BE32-E72D297353CC}">
                <c16:uniqueId val="{0000002E-10F9-423C-9AA4-BF1E04D3180D}"/>
              </c:ext>
            </c:extLst>
          </c:dPt>
          <c:dPt>
            <c:idx val="54"/>
            <c:marker>
              <c:spPr>
                <a:solidFill>
                  <a:schemeClr val="tx2"/>
                </a:solidFill>
                <a:ln>
                  <a:solidFill>
                    <a:schemeClr val="tx2"/>
                  </a:solidFill>
                </a:ln>
              </c:spPr>
            </c:marker>
            <c:bubble3D val="0"/>
            <c:extLst>
              <c:ext xmlns:c16="http://schemas.microsoft.com/office/drawing/2014/chart" uri="{C3380CC4-5D6E-409C-BE32-E72D297353CC}">
                <c16:uniqueId val="{0000002F-10F9-423C-9AA4-BF1E04D3180D}"/>
              </c:ext>
            </c:extLst>
          </c:dPt>
          <c:dPt>
            <c:idx val="55"/>
            <c:marker>
              <c:spPr>
                <a:solidFill>
                  <a:srgbClr val="53565A"/>
                </a:solidFill>
                <a:ln>
                  <a:solidFill>
                    <a:srgbClr val="53565A"/>
                  </a:solidFill>
                </a:ln>
              </c:spPr>
            </c:marker>
            <c:bubble3D val="0"/>
            <c:extLst>
              <c:ext xmlns:c16="http://schemas.microsoft.com/office/drawing/2014/chart" uri="{C3380CC4-5D6E-409C-BE32-E72D297353CC}">
                <c16:uniqueId val="{00000030-10F9-423C-9AA4-BF1E04D3180D}"/>
              </c:ext>
            </c:extLst>
          </c:dPt>
          <c:dPt>
            <c:idx val="57"/>
            <c:marker>
              <c:spPr>
                <a:solidFill>
                  <a:srgbClr val="BFBFBF"/>
                </a:solidFill>
                <a:ln>
                  <a:solidFill>
                    <a:srgbClr val="BFBFBF"/>
                  </a:solidFill>
                </a:ln>
              </c:spPr>
            </c:marker>
            <c:bubble3D val="0"/>
            <c:extLst>
              <c:ext xmlns:c16="http://schemas.microsoft.com/office/drawing/2014/chart" uri="{C3380CC4-5D6E-409C-BE32-E72D297353CC}">
                <c16:uniqueId val="{00000031-10F9-423C-9AA4-BF1E04D3180D}"/>
              </c:ext>
            </c:extLst>
          </c:dPt>
          <c:dPt>
            <c:idx val="58"/>
            <c:marker>
              <c:spPr>
                <a:solidFill>
                  <a:schemeClr val="tx2"/>
                </a:solidFill>
                <a:ln>
                  <a:solidFill>
                    <a:schemeClr val="tx2"/>
                  </a:solidFill>
                </a:ln>
              </c:spPr>
            </c:marker>
            <c:bubble3D val="0"/>
            <c:extLst>
              <c:ext xmlns:c16="http://schemas.microsoft.com/office/drawing/2014/chart" uri="{C3380CC4-5D6E-409C-BE32-E72D297353CC}">
                <c16:uniqueId val="{00000032-10F9-423C-9AA4-BF1E04D3180D}"/>
              </c:ext>
            </c:extLst>
          </c:dPt>
          <c:dPt>
            <c:idx val="59"/>
            <c:marker>
              <c:spPr>
                <a:solidFill>
                  <a:srgbClr val="53565A"/>
                </a:solidFill>
                <a:ln>
                  <a:solidFill>
                    <a:srgbClr val="53565A"/>
                  </a:solidFill>
                </a:ln>
              </c:spPr>
            </c:marker>
            <c:bubble3D val="0"/>
            <c:extLst>
              <c:ext xmlns:c16="http://schemas.microsoft.com/office/drawing/2014/chart" uri="{C3380CC4-5D6E-409C-BE32-E72D297353CC}">
                <c16:uniqueId val="{00000033-10F9-423C-9AA4-BF1E04D3180D}"/>
              </c:ext>
            </c:extLst>
          </c:dPt>
          <c:dPt>
            <c:idx val="61"/>
            <c:marker>
              <c:spPr>
                <a:solidFill>
                  <a:srgbClr val="BFBFBF"/>
                </a:solidFill>
                <a:ln>
                  <a:solidFill>
                    <a:srgbClr val="BFBFBF"/>
                  </a:solidFill>
                </a:ln>
              </c:spPr>
            </c:marker>
            <c:bubble3D val="0"/>
            <c:extLst>
              <c:ext xmlns:c16="http://schemas.microsoft.com/office/drawing/2014/chart" uri="{C3380CC4-5D6E-409C-BE32-E72D297353CC}">
                <c16:uniqueId val="{00000034-10F9-423C-9AA4-BF1E04D3180D}"/>
              </c:ext>
            </c:extLst>
          </c:dPt>
          <c:dPt>
            <c:idx val="62"/>
            <c:marker>
              <c:spPr>
                <a:solidFill>
                  <a:schemeClr val="tx2"/>
                </a:solidFill>
                <a:ln>
                  <a:solidFill>
                    <a:schemeClr val="tx2"/>
                  </a:solidFill>
                </a:ln>
              </c:spPr>
            </c:marker>
            <c:bubble3D val="0"/>
            <c:extLst>
              <c:ext xmlns:c16="http://schemas.microsoft.com/office/drawing/2014/chart" uri="{C3380CC4-5D6E-409C-BE32-E72D297353CC}">
                <c16:uniqueId val="{00000035-10F9-423C-9AA4-BF1E04D3180D}"/>
              </c:ext>
            </c:extLst>
          </c:dPt>
          <c:dPt>
            <c:idx val="63"/>
            <c:marker>
              <c:spPr>
                <a:solidFill>
                  <a:srgbClr val="53565A"/>
                </a:solidFill>
                <a:ln>
                  <a:solidFill>
                    <a:srgbClr val="53565A"/>
                  </a:solidFill>
                </a:ln>
              </c:spPr>
            </c:marker>
            <c:bubble3D val="0"/>
            <c:extLst>
              <c:ext xmlns:c16="http://schemas.microsoft.com/office/drawing/2014/chart" uri="{C3380CC4-5D6E-409C-BE32-E72D297353CC}">
                <c16:uniqueId val="{00000036-10F9-423C-9AA4-BF1E04D3180D}"/>
              </c:ext>
            </c:extLst>
          </c:dPt>
          <c:dPt>
            <c:idx val="65"/>
            <c:marker>
              <c:spPr>
                <a:solidFill>
                  <a:srgbClr val="BFBFBF"/>
                </a:solidFill>
                <a:ln>
                  <a:solidFill>
                    <a:srgbClr val="BFBFBF"/>
                  </a:solidFill>
                </a:ln>
              </c:spPr>
            </c:marker>
            <c:bubble3D val="0"/>
            <c:extLst>
              <c:ext xmlns:c16="http://schemas.microsoft.com/office/drawing/2014/chart" uri="{C3380CC4-5D6E-409C-BE32-E72D297353CC}">
                <c16:uniqueId val="{00000037-10F9-423C-9AA4-BF1E04D3180D}"/>
              </c:ext>
            </c:extLst>
          </c:dPt>
          <c:dPt>
            <c:idx val="66"/>
            <c:marker>
              <c:spPr>
                <a:solidFill>
                  <a:schemeClr val="tx2"/>
                </a:solidFill>
                <a:ln>
                  <a:solidFill>
                    <a:srgbClr val="002776"/>
                  </a:solidFill>
                </a:ln>
              </c:spPr>
            </c:marker>
            <c:bubble3D val="0"/>
            <c:extLst>
              <c:ext xmlns:c16="http://schemas.microsoft.com/office/drawing/2014/chart" uri="{C3380CC4-5D6E-409C-BE32-E72D297353CC}">
                <c16:uniqueId val="{00000038-10F9-423C-9AA4-BF1E04D3180D}"/>
              </c:ext>
            </c:extLst>
          </c:dPt>
          <c:dPt>
            <c:idx val="67"/>
            <c:marker>
              <c:spPr>
                <a:solidFill>
                  <a:srgbClr val="53565A"/>
                </a:solidFill>
                <a:ln>
                  <a:solidFill>
                    <a:srgbClr val="53565A"/>
                  </a:solidFill>
                </a:ln>
              </c:spPr>
            </c:marker>
            <c:bubble3D val="0"/>
            <c:extLst>
              <c:ext xmlns:c16="http://schemas.microsoft.com/office/drawing/2014/chart" uri="{C3380CC4-5D6E-409C-BE32-E72D297353CC}">
                <c16:uniqueId val="{00000039-10F9-423C-9AA4-BF1E04D3180D}"/>
              </c:ext>
            </c:extLst>
          </c:dPt>
          <c:dPt>
            <c:idx val="69"/>
            <c:marker>
              <c:spPr>
                <a:solidFill>
                  <a:srgbClr val="BFBFBF"/>
                </a:solidFill>
                <a:ln>
                  <a:solidFill>
                    <a:srgbClr val="BFBFBF"/>
                  </a:solidFill>
                </a:ln>
              </c:spPr>
            </c:marker>
            <c:bubble3D val="0"/>
            <c:extLst>
              <c:ext xmlns:c16="http://schemas.microsoft.com/office/drawing/2014/chart" uri="{C3380CC4-5D6E-409C-BE32-E72D297353CC}">
                <c16:uniqueId val="{0000003A-10F9-423C-9AA4-BF1E04D3180D}"/>
              </c:ext>
            </c:extLst>
          </c:dPt>
          <c:dPt>
            <c:idx val="70"/>
            <c:marker>
              <c:spPr>
                <a:solidFill>
                  <a:schemeClr val="tx2"/>
                </a:solidFill>
                <a:ln>
                  <a:solidFill>
                    <a:schemeClr val="tx2"/>
                  </a:solidFill>
                </a:ln>
              </c:spPr>
            </c:marker>
            <c:bubble3D val="0"/>
            <c:extLst>
              <c:ext xmlns:c16="http://schemas.microsoft.com/office/drawing/2014/chart" uri="{C3380CC4-5D6E-409C-BE32-E72D297353CC}">
                <c16:uniqueId val="{0000003B-10F9-423C-9AA4-BF1E04D3180D}"/>
              </c:ext>
            </c:extLst>
          </c:dPt>
          <c:dPt>
            <c:idx val="71"/>
            <c:marker>
              <c:spPr>
                <a:solidFill>
                  <a:srgbClr val="53565A"/>
                </a:solidFill>
                <a:ln>
                  <a:solidFill>
                    <a:srgbClr val="53565A"/>
                  </a:solidFill>
                </a:ln>
              </c:spPr>
            </c:marker>
            <c:bubble3D val="0"/>
            <c:extLst>
              <c:ext xmlns:c16="http://schemas.microsoft.com/office/drawing/2014/chart" uri="{C3380CC4-5D6E-409C-BE32-E72D297353CC}">
                <c16:uniqueId val="{0000003C-10F9-423C-9AA4-BF1E04D3180D}"/>
              </c:ext>
            </c:extLst>
          </c:dPt>
          <c:dPt>
            <c:idx val="73"/>
            <c:marker>
              <c:spPr>
                <a:solidFill>
                  <a:srgbClr val="BFBFBF"/>
                </a:solidFill>
                <a:ln>
                  <a:solidFill>
                    <a:srgbClr val="BFBFBF"/>
                  </a:solidFill>
                </a:ln>
              </c:spPr>
            </c:marker>
            <c:bubble3D val="0"/>
            <c:extLst>
              <c:ext xmlns:c16="http://schemas.microsoft.com/office/drawing/2014/chart" uri="{C3380CC4-5D6E-409C-BE32-E72D297353CC}">
                <c16:uniqueId val="{0000003D-10F9-423C-9AA4-BF1E04D3180D}"/>
              </c:ext>
            </c:extLst>
          </c:dPt>
          <c:dPt>
            <c:idx val="74"/>
            <c:marker>
              <c:spPr>
                <a:solidFill>
                  <a:schemeClr val="tx2"/>
                </a:solidFill>
                <a:ln>
                  <a:solidFill>
                    <a:schemeClr val="tx2"/>
                  </a:solidFill>
                </a:ln>
              </c:spPr>
            </c:marker>
            <c:bubble3D val="0"/>
            <c:extLst>
              <c:ext xmlns:c16="http://schemas.microsoft.com/office/drawing/2014/chart" uri="{C3380CC4-5D6E-409C-BE32-E72D297353CC}">
                <c16:uniqueId val="{0000003E-10F9-423C-9AA4-BF1E04D3180D}"/>
              </c:ext>
            </c:extLst>
          </c:dPt>
          <c:dPt>
            <c:idx val="75"/>
            <c:marker>
              <c:spPr>
                <a:solidFill>
                  <a:srgbClr val="53565A"/>
                </a:solidFill>
                <a:ln>
                  <a:solidFill>
                    <a:srgbClr val="53565A"/>
                  </a:solidFill>
                </a:ln>
              </c:spPr>
            </c:marker>
            <c:bubble3D val="0"/>
            <c:extLst>
              <c:ext xmlns:c16="http://schemas.microsoft.com/office/drawing/2014/chart" uri="{C3380CC4-5D6E-409C-BE32-E72D297353CC}">
                <c16:uniqueId val="{0000003F-10F9-423C-9AA4-BF1E04D3180D}"/>
              </c:ext>
            </c:extLst>
          </c:dPt>
          <c:dPt>
            <c:idx val="77"/>
            <c:marker>
              <c:spPr>
                <a:solidFill>
                  <a:srgbClr val="BFBFBF"/>
                </a:solidFill>
                <a:ln>
                  <a:solidFill>
                    <a:srgbClr val="BFBFBF"/>
                  </a:solidFill>
                </a:ln>
              </c:spPr>
            </c:marker>
            <c:bubble3D val="0"/>
            <c:extLst>
              <c:ext xmlns:c16="http://schemas.microsoft.com/office/drawing/2014/chart" uri="{C3380CC4-5D6E-409C-BE32-E72D297353CC}">
                <c16:uniqueId val="{00000040-10F9-423C-9AA4-BF1E04D3180D}"/>
              </c:ext>
            </c:extLst>
          </c:dPt>
          <c:dPt>
            <c:idx val="78"/>
            <c:marker>
              <c:spPr>
                <a:solidFill>
                  <a:schemeClr val="tx2"/>
                </a:solidFill>
                <a:ln>
                  <a:solidFill>
                    <a:schemeClr val="tx2"/>
                  </a:solidFill>
                </a:ln>
              </c:spPr>
            </c:marker>
            <c:bubble3D val="0"/>
            <c:extLst>
              <c:ext xmlns:c16="http://schemas.microsoft.com/office/drawing/2014/chart" uri="{C3380CC4-5D6E-409C-BE32-E72D297353CC}">
                <c16:uniqueId val="{00000041-10F9-423C-9AA4-BF1E04D3180D}"/>
              </c:ext>
            </c:extLst>
          </c:dPt>
          <c:dPt>
            <c:idx val="79"/>
            <c:marker>
              <c:spPr>
                <a:solidFill>
                  <a:srgbClr val="53565A"/>
                </a:solidFill>
                <a:ln>
                  <a:solidFill>
                    <a:srgbClr val="53565A"/>
                  </a:solidFill>
                </a:ln>
              </c:spPr>
            </c:marker>
            <c:bubble3D val="0"/>
            <c:extLst>
              <c:ext xmlns:c16="http://schemas.microsoft.com/office/drawing/2014/chart" uri="{C3380CC4-5D6E-409C-BE32-E72D297353CC}">
                <c16:uniqueId val="{00000042-10F9-423C-9AA4-BF1E04D3180D}"/>
              </c:ext>
            </c:extLst>
          </c:dPt>
          <c:dPt>
            <c:idx val="80"/>
            <c:marker>
              <c:spPr>
                <a:noFill/>
                <a:ln>
                  <a:noFill/>
                </a:ln>
              </c:spPr>
            </c:marker>
            <c:bubble3D val="0"/>
            <c:extLst>
              <c:ext xmlns:c16="http://schemas.microsoft.com/office/drawing/2014/chart" uri="{C3380CC4-5D6E-409C-BE32-E72D297353CC}">
                <c16:uniqueId val="{00000043-10F9-423C-9AA4-BF1E04D3180D}"/>
              </c:ext>
            </c:extLst>
          </c:dPt>
          <c:dPt>
            <c:idx val="81"/>
            <c:marker>
              <c:spPr>
                <a:noFill/>
                <a:ln>
                  <a:noFill/>
                </a:ln>
              </c:spPr>
            </c:marker>
            <c:bubble3D val="0"/>
            <c:extLst>
              <c:ext xmlns:c16="http://schemas.microsoft.com/office/drawing/2014/chart" uri="{C3380CC4-5D6E-409C-BE32-E72D297353CC}">
                <c16:uniqueId val="{00000044-10F9-423C-9AA4-BF1E04D3180D}"/>
              </c:ext>
            </c:extLst>
          </c:dPt>
          <c:dPt>
            <c:idx val="82"/>
            <c:marker>
              <c:spPr>
                <a:solidFill>
                  <a:schemeClr val="tx2"/>
                </a:solidFill>
                <a:ln>
                  <a:solidFill>
                    <a:srgbClr val="002776"/>
                  </a:solidFill>
                </a:ln>
              </c:spPr>
            </c:marker>
            <c:bubble3D val="0"/>
            <c:extLst>
              <c:ext xmlns:c16="http://schemas.microsoft.com/office/drawing/2014/chart" uri="{C3380CC4-5D6E-409C-BE32-E72D297353CC}">
                <c16:uniqueId val="{00000045-10F9-423C-9AA4-BF1E04D3180D}"/>
              </c:ext>
            </c:extLst>
          </c:dPt>
          <c:dPt>
            <c:idx val="83"/>
            <c:marker>
              <c:spPr>
                <a:solidFill>
                  <a:srgbClr val="53565A"/>
                </a:solidFill>
                <a:ln>
                  <a:solidFill>
                    <a:srgbClr val="53565A"/>
                  </a:solidFill>
                </a:ln>
              </c:spPr>
            </c:marker>
            <c:bubble3D val="0"/>
            <c:extLst>
              <c:ext xmlns:c16="http://schemas.microsoft.com/office/drawing/2014/chart" uri="{C3380CC4-5D6E-409C-BE32-E72D297353CC}">
                <c16:uniqueId val="{00000046-10F9-423C-9AA4-BF1E04D3180D}"/>
              </c:ext>
            </c:extLst>
          </c:dPt>
          <c:dPt>
            <c:idx val="85"/>
            <c:marker>
              <c:spPr>
                <a:solidFill>
                  <a:srgbClr val="BFBFBF"/>
                </a:solidFill>
                <a:ln>
                  <a:solidFill>
                    <a:srgbClr val="BFBFBF"/>
                  </a:solidFill>
                </a:ln>
              </c:spPr>
            </c:marker>
            <c:bubble3D val="0"/>
            <c:extLst>
              <c:ext xmlns:c16="http://schemas.microsoft.com/office/drawing/2014/chart" uri="{C3380CC4-5D6E-409C-BE32-E72D297353CC}">
                <c16:uniqueId val="{00000047-10F9-423C-9AA4-BF1E04D3180D}"/>
              </c:ext>
            </c:extLst>
          </c:dPt>
          <c:dPt>
            <c:idx val="86"/>
            <c:marker>
              <c:spPr>
                <a:solidFill>
                  <a:schemeClr val="tx2"/>
                </a:solidFill>
                <a:ln>
                  <a:solidFill>
                    <a:schemeClr val="tx2"/>
                  </a:solidFill>
                </a:ln>
              </c:spPr>
            </c:marker>
            <c:bubble3D val="0"/>
            <c:extLst>
              <c:ext xmlns:c16="http://schemas.microsoft.com/office/drawing/2014/chart" uri="{C3380CC4-5D6E-409C-BE32-E72D297353CC}">
                <c16:uniqueId val="{00000048-10F9-423C-9AA4-BF1E04D3180D}"/>
              </c:ext>
            </c:extLst>
          </c:dPt>
          <c:dPt>
            <c:idx val="87"/>
            <c:marker>
              <c:spPr>
                <a:solidFill>
                  <a:srgbClr val="53565A"/>
                </a:solidFill>
                <a:ln>
                  <a:solidFill>
                    <a:srgbClr val="53565A"/>
                  </a:solidFill>
                </a:ln>
              </c:spPr>
            </c:marker>
            <c:bubble3D val="0"/>
            <c:extLst>
              <c:ext xmlns:c16="http://schemas.microsoft.com/office/drawing/2014/chart" uri="{C3380CC4-5D6E-409C-BE32-E72D297353CC}">
                <c16:uniqueId val="{00000049-10F9-423C-9AA4-BF1E04D3180D}"/>
              </c:ext>
            </c:extLst>
          </c:dPt>
          <c:dPt>
            <c:idx val="89"/>
            <c:marker>
              <c:spPr>
                <a:solidFill>
                  <a:srgbClr val="BFBFBF"/>
                </a:solidFill>
                <a:ln>
                  <a:solidFill>
                    <a:srgbClr val="BFBFBF"/>
                  </a:solidFill>
                </a:ln>
              </c:spPr>
            </c:marker>
            <c:bubble3D val="0"/>
            <c:extLst>
              <c:ext xmlns:c16="http://schemas.microsoft.com/office/drawing/2014/chart" uri="{C3380CC4-5D6E-409C-BE32-E72D297353CC}">
                <c16:uniqueId val="{0000004A-10F9-423C-9AA4-BF1E04D3180D}"/>
              </c:ext>
            </c:extLst>
          </c:dPt>
          <c:dPt>
            <c:idx val="90"/>
            <c:marker>
              <c:spPr>
                <a:solidFill>
                  <a:schemeClr val="tx2"/>
                </a:solidFill>
                <a:ln>
                  <a:solidFill>
                    <a:schemeClr val="tx2"/>
                  </a:solidFill>
                </a:ln>
              </c:spPr>
            </c:marker>
            <c:bubble3D val="0"/>
            <c:extLst>
              <c:ext xmlns:c16="http://schemas.microsoft.com/office/drawing/2014/chart" uri="{C3380CC4-5D6E-409C-BE32-E72D297353CC}">
                <c16:uniqueId val="{0000004B-10F9-423C-9AA4-BF1E04D3180D}"/>
              </c:ext>
            </c:extLst>
          </c:dPt>
          <c:dPt>
            <c:idx val="91"/>
            <c:marker>
              <c:spPr>
                <a:solidFill>
                  <a:srgbClr val="53565A"/>
                </a:solidFill>
                <a:ln>
                  <a:solidFill>
                    <a:srgbClr val="53565A"/>
                  </a:solidFill>
                </a:ln>
              </c:spPr>
            </c:marker>
            <c:bubble3D val="0"/>
            <c:extLst>
              <c:ext xmlns:c16="http://schemas.microsoft.com/office/drawing/2014/chart" uri="{C3380CC4-5D6E-409C-BE32-E72D297353CC}">
                <c16:uniqueId val="{0000004C-10F9-423C-9AA4-BF1E04D3180D}"/>
              </c:ext>
            </c:extLst>
          </c:dPt>
          <c:cat>
            <c:strRef>
              <c:f>'Comp to Prev_All FOEs (17-20)'!$CV$15:$GI$15</c:f>
              <c:strCache>
                <c:ptCount val="92"/>
                <c:pt idx="0">
                  <c:v>MathSci (n=16)</c:v>
                </c:pt>
                <c:pt idx="1">
                  <c:v> (n=18)</c:v>
                </c:pt>
                <c:pt idx="2">
                  <c:v> (n=16)</c:v>
                </c:pt>
                <c:pt idx="3">
                  <c:v> (n=15)</c:v>
                </c:pt>
                <c:pt idx="4">
                  <c:v>MedicalSci (n=0)</c:v>
                </c:pt>
                <c:pt idx="5">
                  <c:v> (n=1)</c:v>
                </c:pt>
                <c:pt idx="6">
                  <c:v> (n=1)</c:v>
                </c:pt>
                <c:pt idx="7">
                  <c:v> (n=1)</c:v>
                </c:pt>
                <c:pt idx="8">
                  <c:v>OthNat-PhysSci (n=13)</c:v>
                </c:pt>
                <c:pt idx="9">
                  <c:v> (n=15)</c:v>
                </c:pt>
                <c:pt idx="10">
                  <c:v> (n=15)</c:v>
                </c:pt>
                <c:pt idx="11">
                  <c:v> (n=16)</c:v>
                </c:pt>
                <c:pt idx="12">
                  <c:v>InfoTech (n=8)</c:v>
                </c:pt>
                <c:pt idx="13">
                  <c:v> (n=10)</c:v>
                </c:pt>
                <c:pt idx="14">
                  <c:v> (n=11)</c:v>
                </c:pt>
                <c:pt idx="15">
                  <c:v> (n=17)</c:v>
                </c:pt>
                <c:pt idx="16">
                  <c:v>Eng&amp;Related (n=7)</c:v>
                </c:pt>
                <c:pt idx="17">
                  <c:v> (n=8)</c:v>
                </c:pt>
                <c:pt idx="18">
                  <c:v> (n=7)</c:v>
                </c:pt>
                <c:pt idx="19">
                  <c:v> (n=10)</c:v>
                </c:pt>
                <c:pt idx="20">
                  <c:v>Archi&amp;Build (n=5)</c:v>
                </c:pt>
                <c:pt idx="21">
                  <c:v> (n=5)</c:v>
                </c:pt>
                <c:pt idx="22">
                  <c:v> (n=6)</c:v>
                </c:pt>
                <c:pt idx="23">
                  <c:v> (n=8)</c:v>
                </c:pt>
                <c:pt idx="24">
                  <c:v>Environment (n=3)</c:v>
                </c:pt>
                <c:pt idx="25">
                  <c:v> (n=3)</c:v>
                </c:pt>
                <c:pt idx="26">
                  <c:v> (n=4)</c:v>
                </c:pt>
                <c:pt idx="27">
                  <c:v> (n=4)</c:v>
                </c:pt>
                <c:pt idx="28">
                  <c:v>OthAg&amp;Enviro (n=2)</c:v>
                </c:pt>
                <c:pt idx="29">
                  <c:v> (n=3)</c:v>
                </c:pt>
                <c:pt idx="30">
                  <c:v> (n=3)</c:v>
                </c:pt>
                <c:pt idx="31">
                  <c:v> (n=4)</c:v>
                </c:pt>
                <c:pt idx="32">
                  <c:v>MedicalStudies (n=0)</c:v>
                </c:pt>
                <c:pt idx="33">
                  <c:v> (n=1)</c:v>
                </c:pt>
                <c:pt idx="34">
                  <c:v> (n=1)</c:v>
                </c:pt>
                <c:pt idx="35">
                  <c:v> (n=1)</c:v>
                </c:pt>
                <c:pt idx="36">
                  <c:v>Nursing (n=3)</c:v>
                </c:pt>
                <c:pt idx="37">
                  <c:v> (n=4)</c:v>
                </c:pt>
                <c:pt idx="38">
                  <c:v> (n=4)</c:v>
                </c:pt>
                <c:pt idx="39">
                  <c:v> (n=5)</c:v>
                </c:pt>
                <c:pt idx="40">
                  <c:v>Dental (n=0)</c:v>
                </c:pt>
                <c:pt idx="41">
                  <c:v> (n=0)</c:v>
                </c:pt>
                <c:pt idx="42">
                  <c:v> (n=0)</c:v>
                </c:pt>
                <c:pt idx="43">
                  <c:v> (n=0)</c:v>
                </c:pt>
                <c:pt idx="44">
                  <c:v>Veterinary (n=0)</c:v>
                </c:pt>
                <c:pt idx="45">
                  <c:v> (n=0)</c:v>
                </c:pt>
                <c:pt idx="46">
                  <c:v> (n=0)</c:v>
                </c:pt>
                <c:pt idx="47">
                  <c:v> (n=0)</c:v>
                </c:pt>
                <c:pt idx="48">
                  <c:v>OthHealth (n=5)</c:v>
                </c:pt>
                <c:pt idx="49">
                  <c:v> (n=5)</c:v>
                </c:pt>
                <c:pt idx="50">
                  <c:v> (n=8)</c:v>
                </c:pt>
                <c:pt idx="51">
                  <c:v> (n=9)</c:v>
                </c:pt>
                <c:pt idx="52">
                  <c:v>Education (n=9)</c:v>
                </c:pt>
                <c:pt idx="53">
                  <c:v> (n=8)</c:v>
                </c:pt>
                <c:pt idx="54">
                  <c:v> (n=9)</c:v>
                </c:pt>
                <c:pt idx="55">
                  <c:v> (n=14)</c:v>
                </c:pt>
                <c:pt idx="56">
                  <c:v>Mgmt&amp;Comm (n=12)</c:v>
                </c:pt>
                <c:pt idx="57">
                  <c:v> (n=15)</c:v>
                </c:pt>
                <c:pt idx="58">
                  <c:v> (n=14)</c:v>
                </c:pt>
                <c:pt idx="59">
                  <c:v> (n=15)</c:v>
                </c:pt>
                <c:pt idx="60">
                  <c:v>ForeignLang (n=13)</c:v>
                </c:pt>
                <c:pt idx="61">
                  <c:v> (n=15)</c:v>
                </c:pt>
                <c:pt idx="62">
                  <c:v> (n=13)</c:v>
                </c:pt>
                <c:pt idx="63">
                  <c:v> (n=12)</c:v>
                </c:pt>
                <c:pt idx="64">
                  <c:v>Psych (n=6)</c:v>
                </c:pt>
                <c:pt idx="65">
                  <c:v> (n=7)</c:v>
                </c:pt>
                <c:pt idx="66">
                  <c:v> (n=8)</c:v>
                </c:pt>
                <c:pt idx="67">
                  <c:v> (n=12)</c:v>
                </c:pt>
                <c:pt idx="68">
                  <c:v>OtherSoc&amp;Cult (n=18)</c:v>
                </c:pt>
                <c:pt idx="69">
                  <c:v> (n=19)</c:v>
                </c:pt>
                <c:pt idx="70">
                  <c:v> (n=19)</c:v>
                </c:pt>
                <c:pt idx="71">
                  <c:v> (n=19)</c:v>
                </c:pt>
                <c:pt idx="72">
                  <c:v>Comms&amp;Media (n=11)</c:v>
                </c:pt>
                <c:pt idx="73">
                  <c:v> (n=12)</c:v>
                </c:pt>
                <c:pt idx="74">
                  <c:v> (n=13)</c:v>
                </c:pt>
                <c:pt idx="75">
                  <c:v> (n=14)</c:v>
                </c:pt>
                <c:pt idx="76">
                  <c:v>OthCreative (n=12)</c:v>
                </c:pt>
                <c:pt idx="77">
                  <c:v> (n=11)</c:v>
                </c:pt>
                <c:pt idx="78">
                  <c:v> (n=11)</c:v>
                </c:pt>
                <c:pt idx="79">
                  <c:v> (n=10)</c:v>
                </c:pt>
                <c:pt idx="80">
                  <c:v>FoodHosp&amp;Person (n=0)</c:v>
                </c:pt>
                <c:pt idx="81">
                  <c:v> (n=0)</c:v>
                </c:pt>
                <c:pt idx="82">
                  <c:v> (n=0)</c:v>
                </c:pt>
                <c:pt idx="83">
                  <c:v> (n=0)</c:v>
                </c:pt>
                <c:pt idx="84">
                  <c:v>MixedField (n=1)</c:v>
                </c:pt>
                <c:pt idx="85">
                  <c:v> (n=1)</c:v>
                </c:pt>
                <c:pt idx="86">
                  <c:v> (n=1)</c:v>
                </c:pt>
                <c:pt idx="87">
                  <c:v> (n=2)</c:v>
                </c:pt>
                <c:pt idx="88">
                  <c:v>Total (n=20)</c:v>
                </c:pt>
                <c:pt idx="89">
                  <c:v> (n=23)</c:v>
                </c:pt>
                <c:pt idx="90">
                  <c:v> (n=23)</c:v>
                </c:pt>
                <c:pt idx="91">
                  <c:v> (n=24)</c:v>
                </c:pt>
              </c:strCache>
            </c:strRef>
          </c:cat>
          <c:val>
            <c:numRef>
              <c:f>'Comp to Prev_All FOEs (17-20)'!$CV$18:$GI$18</c:f>
              <c:numCache>
                <c:formatCode>"$"#,##0</c:formatCode>
                <c:ptCount val="92"/>
                <c:pt idx="0">
                  <c:v>16361.633856904111</c:v>
                </c:pt>
                <c:pt idx="1">
                  <c:v>17434.662777872491</c:v>
                </c:pt>
                <c:pt idx="2">
                  <c:v>18119.596018058899</c:v>
                </c:pt>
                <c:pt idx="3">
                  <c:v>18064.807492121414</c:v>
                </c:pt>
                <c:pt idx="4">
                  <c:v>0</c:v>
                </c:pt>
                <c:pt idx="5">
                  <c:v>24074.267783894684</c:v>
                </c:pt>
                <c:pt idx="6">
                  <c:v>24001.126516801822</c:v>
                </c:pt>
                <c:pt idx="7">
                  <c:v>36351.577492295852</c:v>
                </c:pt>
                <c:pt idx="8">
                  <c:v>21385.799120792737</c:v>
                </c:pt>
                <c:pt idx="9">
                  <c:v>21186.070722673128</c:v>
                </c:pt>
                <c:pt idx="10">
                  <c:v>25077.493655549388</c:v>
                </c:pt>
                <c:pt idx="11">
                  <c:v>23533.71945161662</c:v>
                </c:pt>
                <c:pt idx="12">
                  <c:v>19837.380932189484</c:v>
                </c:pt>
                <c:pt idx="13">
                  <c:v>19786.347299556961</c:v>
                </c:pt>
                <c:pt idx="14">
                  <c:v>21287.246218506338</c:v>
                </c:pt>
                <c:pt idx="15">
                  <c:v>18218.612776402795</c:v>
                </c:pt>
                <c:pt idx="16">
                  <c:v>21229.121274473971</c:v>
                </c:pt>
                <c:pt idx="17">
                  <c:v>22552.523833608175</c:v>
                </c:pt>
                <c:pt idx="18">
                  <c:v>26075.23575433519</c:v>
                </c:pt>
                <c:pt idx="19">
                  <c:v>25668.708083374728</c:v>
                </c:pt>
                <c:pt idx="20">
                  <c:v>22622.204816515619</c:v>
                </c:pt>
                <c:pt idx="21">
                  <c:v>18905.396432936439</c:v>
                </c:pt>
                <c:pt idx="22">
                  <c:v>19065.024570978065</c:v>
                </c:pt>
                <c:pt idx="23">
                  <c:v>18291.134472227957</c:v>
                </c:pt>
                <c:pt idx="24">
                  <c:v>22321.417275915588</c:v>
                </c:pt>
                <c:pt idx="25">
                  <c:v>24526.840981291811</c:v>
                </c:pt>
                <c:pt idx="26">
                  <c:v>24731.264980973971</c:v>
                </c:pt>
                <c:pt idx="27">
                  <c:v>16689.3314018009</c:v>
                </c:pt>
                <c:pt idx="28">
                  <c:v>35695.231740960247</c:v>
                </c:pt>
                <c:pt idx="29">
                  <c:v>27093.659519970301</c:v>
                </c:pt>
                <c:pt idx="30">
                  <c:v>50110.832872182524</c:v>
                </c:pt>
                <c:pt idx="31">
                  <c:v>33076.05937157345</c:v>
                </c:pt>
                <c:pt idx="32">
                  <c:v>0</c:v>
                </c:pt>
                <c:pt idx="33">
                  <c:v>16826.022829177462</c:v>
                </c:pt>
                <c:pt idx="34">
                  <c:v>24810.410765988243</c:v>
                </c:pt>
                <c:pt idx="35">
                  <c:v>22967.758780745586</c:v>
                </c:pt>
                <c:pt idx="36">
                  <c:v>14395.608498382633</c:v>
                </c:pt>
                <c:pt idx="37">
                  <c:v>14924.623696099139</c:v>
                </c:pt>
                <c:pt idx="38">
                  <c:v>15735.872234666356</c:v>
                </c:pt>
                <c:pt idx="39">
                  <c:v>16223.077848542029</c:v>
                </c:pt>
                <c:pt idx="41">
                  <c:v>0</c:v>
                </c:pt>
                <c:pt idx="45">
                  <c:v>0</c:v>
                </c:pt>
                <c:pt idx="48">
                  <c:v>16619.793588946028</c:v>
                </c:pt>
                <c:pt idx="49">
                  <c:v>18665.313732427512</c:v>
                </c:pt>
                <c:pt idx="50">
                  <c:v>17265.79079973383</c:v>
                </c:pt>
                <c:pt idx="51">
                  <c:v>17883.313873456787</c:v>
                </c:pt>
                <c:pt idx="52">
                  <c:v>12538.300609802758</c:v>
                </c:pt>
                <c:pt idx="53">
                  <c:v>16493.751886383761</c:v>
                </c:pt>
                <c:pt idx="54">
                  <c:v>18533.681449641488</c:v>
                </c:pt>
                <c:pt idx="55">
                  <c:v>15723.436260146462</c:v>
                </c:pt>
                <c:pt idx="56">
                  <c:v>14787.674196015681</c:v>
                </c:pt>
                <c:pt idx="57">
                  <c:v>16361.853024503114</c:v>
                </c:pt>
                <c:pt idx="58">
                  <c:v>17330.217433733287</c:v>
                </c:pt>
                <c:pt idx="59">
                  <c:v>17541.365207430961</c:v>
                </c:pt>
                <c:pt idx="60">
                  <c:v>19329.508488641695</c:v>
                </c:pt>
                <c:pt idx="61">
                  <c:v>17609.221414953059</c:v>
                </c:pt>
                <c:pt idx="62">
                  <c:v>18842.574522689527</c:v>
                </c:pt>
                <c:pt idx="63">
                  <c:v>19139.461365840329</c:v>
                </c:pt>
                <c:pt idx="64">
                  <c:v>17011.250231516373</c:v>
                </c:pt>
                <c:pt idx="65">
                  <c:v>13875.401972421389</c:v>
                </c:pt>
                <c:pt idx="66">
                  <c:v>14453.757135937125</c:v>
                </c:pt>
                <c:pt idx="67">
                  <c:v>14690.475320605856</c:v>
                </c:pt>
                <c:pt idx="68">
                  <c:v>11992.472383087244</c:v>
                </c:pt>
                <c:pt idx="69">
                  <c:v>13044.392707334788</c:v>
                </c:pt>
                <c:pt idx="70">
                  <c:v>12892.870520118231</c:v>
                </c:pt>
                <c:pt idx="71">
                  <c:v>9755.6165893879897</c:v>
                </c:pt>
                <c:pt idx="72">
                  <c:v>14763.348739925075</c:v>
                </c:pt>
                <c:pt idx="73">
                  <c:v>15189.349670543526</c:v>
                </c:pt>
                <c:pt idx="74">
                  <c:v>14499.063191106683</c:v>
                </c:pt>
                <c:pt idx="75">
                  <c:v>14476.260866735414</c:v>
                </c:pt>
                <c:pt idx="76">
                  <c:v>19551.290466369701</c:v>
                </c:pt>
                <c:pt idx="77">
                  <c:v>21474.921832274274</c:v>
                </c:pt>
                <c:pt idx="78">
                  <c:v>22347.770084182794</c:v>
                </c:pt>
                <c:pt idx="79">
                  <c:v>19912.205340560129</c:v>
                </c:pt>
                <c:pt idx="80">
                  <c:v>0</c:v>
                </c:pt>
                <c:pt idx="81">
                  <c:v>0</c:v>
                </c:pt>
                <c:pt idx="82">
                  <c:v>#N/A</c:v>
                </c:pt>
                <c:pt idx="83">
                  <c:v>#N/A</c:v>
                </c:pt>
                <c:pt idx="84">
                  <c:v>12995.03133570759</c:v>
                </c:pt>
                <c:pt idx="85">
                  <c:v>13396.142480663088</c:v>
                </c:pt>
                <c:pt idx="86">
                  <c:v>9864.6077138624296</c:v>
                </c:pt>
                <c:pt idx="87">
                  <c:v>8751.4206822804736</c:v>
                </c:pt>
                <c:pt idx="88">
                  <c:v>15885.867239237463</c:v>
                </c:pt>
                <c:pt idx="89">
                  <c:v>16471.689718260055</c:v>
                </c:pt>
                <c:pt idx="90">
                  <c:v>17353.451179967364</c:v>
                </c:pt>
                <c:pt idx="91">
                  <c:v>15854.959893670873</c:v>
                </c:pt>
              </c:numCache>
            </c:numRef>
          </c:val>
          <c:smooth val="0"/>
          <c:extLst>
            <c:ext xmlns:c16="http://schemas.microsoft.com/office/drawing/2014/chart" uri="{C3380CC4-5D6E-409C-BE32-E72D297353CC}">
              <c16:uniqueId val="{0000004D-10F9-423C-9AA4-BF1E04D3180D}"/>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5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4"/>
        <c:noMultiLvlLbl val="0"/>
      </c:catAx>
      <c:valAx>
        <c:axId val="932351327"/>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343730158730157E-2"/>
          <c:y val="4.8006241138324732E-2"/>
          <c:w val="0.88810071428571424"/>
          <c:h val="0.72069365760898185"/>
        </c:manualLayout>
      </c:layout>
      <c:stockChart>
        <c:ser>
          <c:idx val="3"/>
          <c:order val="0"/>
          <c:tx>
            <c:strRef>
              <c:f>'Comp to Prev_All FOEs (17-20)'!$CU$23</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C048-49A1-9551-ADC15C85F884}"/>
              </c:ext>
            </c:extLst>
          </c:dPt>
          <c:cat>
            <c:strRef>
              <c:f>'Comp to Prev_All FOEs (17-20)'!$CV$22:$GI$22</c:f>
              <c:strCache>
                <c:ptCount val="92"/>
                <c:pt idx="0">
                  <c:v>MathSci (n=25)</c:v>
                </c:pt>
                <c:pt idx="1">
                  <c:v> (n=25)</c:v>
                </c:pt>
                <c:pt idx="2">
                  <c:v> (n=25)</c:v>
                </c:pt>
                <c:pt idx="3">
                  <c:v> (n=25)</c:v>
                </c:pt>
                <c:pt idx="4">
                  <c:v>MedicalSci (n=21)</c:v>
                </c:pt>
                <c:pt idx="5">
                  <c:v> (n=22)</c:v>
                </c:pt>
                <c:pt idx="6">
                  <c:v> (n=21)</c:v>
                </c:pt>
                <c:pt idx="7">
                  <c:v> (n=21)</c:v>
                </c:pt>
                <c:pt idx="8">
                  <c:v>OthNat-PhysSci (n=25)</c:v>
                </c:pt>
                <c:pt idx="9">
                  <c:v> (n=25)</c:v>
                </c:pt>
                <c:pt idx="10">
                  <c:v> (n=25)</c:v>
                </c:pt>
                <c:pt idx="11">
                  <c:v> (n=25)</c:v>
                </c:pt>
                <c:pt idx="12">
                  <c:v>InfoTech (n=25)</c:v>
                </c:pt>
                <c:pt idx="13">
                  <c:v> (n=25)</c:v>
                </c:pt>
                <c:pt idx="14">
                  <c:v> (n=25)</c:v>
                </c:pt>
                <c:pt idx="15">
                  <c:v> (n=25)</c:v>
                </c:pt>
                <c:pt idx="16">
                  <c:v>Eng&amp;Related (n=25)</c:v>
                </c:pt>
                <c:pt idx="17">
                  <c:v> (n=25)</c:v>
                </c:pt>
                <c:pt idx="18">
                  <c:v> (n=25)</c:v>
                </c:pt>
                <c:pt idx="19">
                  <c:v> (n=25)</c:v>
                </c:pt>
                <c:pt idx="20">
                  <c:v>Archi&amp;Build (n=20)</c:v>
                </c:pt>
                <c:pt idx="21">
                  <c:v> (n=20)</c:v>
                </c:pt>
                <c:pt idx="22">
                  <c:v> (n=20)</c:v>
                </c:pt>
                <c:pt idx="23">
                  <c:v> (n=20)</c:v>
                </c:pt>
                <c:pt idx="24">
                  <c:v>Environment (n=24)</c:v>
                </c:pt>
                <c:pt idx="25">
                  <c:v> (n=25)</c:v>
                </c:pt>
                <c:pt idx="26">
                  <c:v> (n=25)</c:v>
                </c:pt>
                <c:pt idx="27">
                  <c:v> (n=25)</c:v>
                </c:pt>
                <c:pt idx="28">
                  <c:v>OthAg&amp;Enviro (n=15)</c:v>
                </c:pt>
                <c:pt idx="29">
                  <c:v> (n=15)</c:v>
                </c:pt>
                <c:pt idx="30">
                  <c:v> (n=15)</c:v>
                </c:pt>
                <c:pt idx="31">
                  <c:v> (n=14)</c:v>
                </c:pt>
                <c:pt idx="32">
                  <c:v>MedicalStudies (n=20)</c:v>
                </c:pt>
                <c:pt idx="33">
                  <c:v> (n=19)</c:v>
                </c:pt>
                <c:pt idx="34">
                  <c:v> (n=19)</c:v>
                </c:pt>
                <c:pt idx="35">
                  <c:v> (n=19)</c:v>
                </c:pt>
                <c:pt idx="36">
                  <c:v>Nursing (n=23)</c:v>
                </c:pt>
                <c:pt idx="37">
                  <c:v> (n=23)</c:v>
                </c:pt>
                <c:pt idx="38">
                  <c:v> (n=23)</c:v>
                </c:pt>
                <c:pt idx="39">
                  <c:v> (n=23)</c:v>
                </c:pt>
                <c:pt idx="40">
                  <c:v>Dental (n=8)</c:v>
                </c:pt>
                <c:pt idx="41">
                  <c:v> (n=8)</c:v>
                </c:pt>
                <c:pt idx="42">
                  <c:v> (n=8)</c:v>
                </c:pt>
                <c:pt idx="43">
                  <c:v> (n=8)</c:v>
                </c:pt>
                <c:pt idx="44">
                  <c:v>Veterinary (n=6)</c:v>
                </c:pt>
                <c:pt idx="45">
                  <c:v> (n=6)</c:v>
                </c:pt>
                <c:pt idx="46">
                  <c:v> (n=6)</c:v>
                </c:pt>
                <c:pt idx="47">
                  <c:v> (n=6)</c:v>
                </c:pt>
                <c:pt idx="48">
                  <c:v>OthHealth (n=25)</c:v>
                </c:pt>
                <c:pt idx="49">
                  <c:v> (n=25)</c:v>
                </c:pt>
                <c:pt idx="50">
                  <c:v> (n=25)</c:v>
                </c:pt>
                <c:pt idx="51">
                  <c:v> (n=25)</c:v>
                </c:pt>
                <c:pt idx="52">
                  <c:v>Education (n=25)</c:v>
                </c:pt>
                <c:pt idx="53">
                  <c:v> (n=25)</c:v>
                </c:pt>
                <c:pt idx="54">
                  <c:v> (n=25)</c:v>
                </c:pt>
                <c:pt idx="55">
                  <c:v> (n=25)</c:v>
                </c:pt>
                <c:pt idx="56">
                  <c:v>Mgmt&amp;Comm (n=25)</c:v>
                </c:pt>
                <c:pt idx="57">
                  <c:v> (n=25)</c:v>
                </c:pt>
                <c:pt idx="58">
                  <c:v> (n=25)</c:v>
                </c:pt>
                <c:pt idx="59">
                  <c:v> (n=25)</c:v>
                </c:pt>
                <c:pt idx="60">
                  <c:v>ForeignLang (n=21)</c:v>
                </c:pt>
                <c:pt idx="61">
                  <c:v> (n=20)</c:v>
                </c:pt>
                <c:pt idx="62">
                  <c:v> (n=18)</c:v>
                </c:pt>
                <c:pt idx="63">
                  <c:v> (n=18)</c:v>
                </c:pt>
                <c:pt idx="64">
                  <c:v>Psych (n=25)</c:v>
                </c:pt>
                <c:pt idx="65">
                  <c:v> (n=25)</c:v>
                </c:pt>
                <c:pt idx="66">
                  <c:v> (n=25)</c:v>
                </c:pt>
                <c:pt idx="67">
                  <c:v> (n=25)</c:v>
                </c:pt>
                <c:pt idx="68">
                  <c:v>OtherSoc&amp;Cult (n=25)</c:v>
                </c:pt>
                <c:pt idx="69">
                  <c:v> (n=25)</c:v>
                </c:pt>
                <c:pt idx="70">
                  <c:v> (n=25)</c:v>
                </c:pt>
                <c:pt idx="71">
                  <c:v> (n=25)</c:v>
                </c:pt>
                <c:pt idx="72">
                  <c:v>Comms&amp;Media (n=25)</c:v>
                </c:pt>
                <c:pt idx="73">
                  <c:v> (n=25)</c:v>
                </c:pt>
                <c:pt idx="74">
                  <c:v> (n=25)</c:v>
                </c:pt>
                <c:pt idx="75">
                  <c:v> (n=25)</c:v>
                </c:pt>
                <c:pt idx="76">
                  <c:v>OthCreative (n=25)</c:v>
                </c:pt>
                <c:pt idx="77">
                  <c:v> (n=25)</c:v>
                </c:pt>
                <c:pt idx="78">
                  <c:v> (n=25)</c:v>
                </c:pt>
                <c:pt idx="79">
                  <c:v> (n=25)</c:v>
                </c:pt>
                <c:pt idx="80">
                  <c:v>FoodHosp&amp;Person (n=4)</c:v>
                </c:pt>
                <c:pt idx="81">
                  <c:v> (n=4)</c:v>
                </c:pt>
                <c:pt idx="82">
                  <c:v> (n=2)</c:v>
                </c:pt>
                <c:pt idx="83">
                  <c:v> (n=1)</c:v>
                </c:pt>
                <c:pt idx="84">
                  <c:v>MixedField (n=2)</c:v>
                </c:pt>
                <c:pt idx="85">
                  <c:v> (n=3)</c:v>
                </c:pt>
                <c:pt idx="86">
                  <c:v> (n=3)</c:v>
                </c:pt>
                <c:pt idx="87">
                  <c:v> (n=4)</c:v>
                </c:pt>
                <c:pt idx="88">
                  <c:v>Total (n=25)</c:v>
                </c:pt>
                <c:pt idx="89">
                  <c:v> (n=25)</c:v>
                </c:pt>
                <c:pt idx="90">
                  <c:v> (n=25)</c:v>
                </c:pt>
                <c:pt idx="91">
                  <c:v> (n=25)</c:v>
                </c:pt>
              </c:strCache>
            </c:strRef>
          </c:cat>
          <c:val>
            <c:numRef>
              <c:f>'Comp to Prev_All FOEs (17-20)'!$CV$23:$GI$23</c:f>
              <c:numCache>
                <c:formatCode>"$"#,##0</c:formatCode>
                <c:ptCount val="92"/>
                <c:pt idx="0">
                  <c:v>30149.717001670841</c:v>
                </c:pt>
                <c:pt idx="1">
                  <c:v>24089.842114662224</c:v>
                </c:pt>
                <c:pt idx="2">
                  <c:v>30959.842869226159</c:v>
                </c:pt>
                <c:pt idx="3">
                  <c:v>35582.902510157299</c:v>
                </c:pt>
                <c:pt idx="4">
                  <c:v>36294.081505905488</c:v>
                </c:pt>
                <c:pt idx="5">
                  <c:v>40180.884760197718</c:v>
                </c:pt>
                <c:pt idx="6">
                  <c:v>40380.491920093344</c:v>
                </c:pt>
                <c:pt idx="7">
                  <c:v>40159.365594755094</c:v>
                </c:pt>
                <c:pt idx="8">
                  <c:v>28759.257592884802</c:v>
                </c:pt>
                <c:pt idx="9">
                  <c:v>28667.811317433421</c:v>
                </c:pt>
                <c:pt idx="10">
                  <c:v>33817.454865255466</c:v>
                </c:pt>
                <c:pt idx="11">
                  <c:v>30701.735663411517</c:v>
                </c:pt>
                <c:pt idx="12">
                  <c:v>32021.091668676327</c:v>
                </c:pt>
                <c:pt idx="13">
                  <c:v>23065.343484665958</c:v>
                </c:pt>
                <c:pt idx="14">
                  <c:v>28445.604629978563</c:v>
                </c:pt>
                <c:pt idx="15">
                  <c:v>31439.467904342768</c:v>
                </c:pt>
                <c:pt idx="16">
                  <c:v>45627.271336618644</c:v>
                </c:pt>
                <c:pt idx="17">
                  <c:v>51975.472779784912</c:v>
                </c:pt>
                <c:pt idx="18">
                  <c:v>37684.349301943352</c:v>
                </c:pt>
                <c:pt idx="19">
                  <c:v>37122.590948453275</c:v>
                </c:pt>
                <c:pt idx="20">
                  <c:v>31625.256426983298</c:v>
                </c:pt>
                <c:pt idx="21">
                  <c:v>27475.808673109754</c:v>
                </c:pt>
                <c:pt idx="22">
                  <c:v>29538.624379155834</c:v>
                </c:pt>
                <c:pt idx="23">
                  <c:v>28758.014533072877</c:v>
                </c:pt>
                <c:pt idx="24">
                  <c:v>34133.931994081875</c:v>
                </c:pt>
                <c:pt idx="25">
                  <c:v>47457.613436522362</c:v>
                </c:pt>
                <c:pt idx="26">
                  <c:v>65927.415058823521</c:v>
                </c:pt>
                <c:pt idx="27">
                  <c:v>60493.906829268293</c:v>
                </c:pt>
                <c:pt idx="28">
                  <c:v>41220.691457383982</c:v>
                </c:pt>
                <c:pt idx="29">
                  <c:v>41884.423678211147</c:v>
                </c:pt>
                <c:pt idx="30">
                  <c:v>41985.672789023694</c:v>
                </c:pt>
                <c:pt idx="31">
                  <c:v>43676.353704066059</c:v>
                </c:pt>
                <c:pt idx="32">
                  <c:v>42874.716957975594</c:v>
                </c:pt>
                <c:pt idx="33">
                  <c:v>44999.261473233943</c:v>
                </c:pt>
                <c:pt idx="34">
                  <c:v>41566.91189808528</c:v>
                </c:pt>
                <c:pt idx="35">
                  <c:v>34085.623833046957</c:v>
                </c:pt>
                <c:pt idx="36">
                  <c:v>24920.698567865427</c:v>
                </c:pt>
                <c:pt idx="37">
                  <c:v>23127.035328354446</c:v>
                </c:pt>
                <c:pt idx="38">
                  <c:v>22783.456225720034</c:v>
                </c:pt>
                <c:pt idx="39">
                  <c:v>25985.185311320605</c:v>
                </c:pt>
                <c:pt idx="40">
                  <c:v>57069.855505098152</c:v>
                </c:pt>
                <c:pt idx="41">
                  <c:v>62368.233115944684</c:v>
                </c:pt>
                <c:pt idx="42">
                  <c:v>55953.497364255985</c:v>
                </c:pt>
                <c:pt idx="43">
                  <c:v>57419.876064550641</c:v>
                </c:pt>
                <c:pt idx="44">
                  <c:v>75234.913812411367</c:v>
                </c:pt>
                <c:pt idx="45">
                  <c:v>64802.035391180652</c:v>
                </c:pt>
                <c:pt idx="46">
                  <c:v>56701.561365286856</c:v>
                </c:pt>
                <c:pt idx="47">
                  <c:v>64300.169383529188</c:v>
                </c:pt>
                <c:pt idx="48">
                  <c:v>49260.303581000066</c:v>
                </c:pt>
                <c:pt idx="49">
                  <c:v>34527.751493498778</c:v>
                </c:pt>
                <c:pt idx="50">
                  <c:v>25902.693444995242</c:v>
                </c:pt>
                <c:pt idx="51">
                  <c:v>33603.01579754566</c:v>
                </c:pt>
                <c:pt idx="52">
                  <c:v>23844.634854046177</c:v>
                </c:pt>
                <c:pt idx="53">
                  <c:v>23135.17834445705</c:v>
                </c:pt>
                <c:pt idx="54">
                  <c:v>24677.743416136382</c:v>
                </c:pt>
                <c:pt idx="55">
                  <c:v>28084.7644109635</c:v>
                </c:pt>
                <c:pt idx="56">
                  <c:v>30886.805225928943</c:v>
                </c:pt>
                <c:pt idx="57">
                  <c:v>25078.82291729323</c:v>
                </c:pt>
                <c:pt idx="58">
                  <c:v>23627.931647305908</c:v>
                </c:pt>
                <c:pt idx="59">
                  <c:v>24460.594003791051</c:v>
                </c:pt>
                <c:pt idx="60">
                  <c:v>37950.832592592582</c:v>
                </c:pt>
                <c:pt idx="61">
                  <c:v>36689.849296110006</c:v>
                </c:pt>
                <c:pt idx="62">
                  <c:v>31965.769453507335</c:v>
                </c:pt>
                <c:pt idx="63">
                  <c:v>26186.238738244247</c:v>
                </c:pt>
                <c:pt idx="64">
                  <c:v>22103.356418261275</c:v>
                </c:pt>
                <c:pt idx="65">
                  <c:v>24925.269313255918</c:v>
                </c:pt>
                <c:pt idx="66">
                  <c:v>32269.874660098983</c:v>
                </c:pt>
                <c:pt idx="67">
                  <c:v>31601.955297958179</c:v>
                </c:pt>
                <c:pt idx="68">
                  <c:v>23147.897810361683</c:v>
                </c:pt>
                <c:pt idx="69">
                  <c:v>24932.199280014123</c:v>
                </c:pt>
                <c:pt idx="70">
                  <c:v>25507.073054024855</c:v>
                </c:pt>
                <c:pt idx="71">
                  <c:v>24345.863590911282</c:v>
                </c:pt>
                <c:pt idx="72">
                  <c:v>22983.822920353981</c:v>
                </c:pt>
                <c:pt idx="73">
                  <c:v>27594.871198156681</c:v>
                </c:pt>
                <c:pt idx="74">
                  <c:v>24109.02754017858</c:v>
                </c:pt>
                <c:pt idx="75">
                  <c:v>23508.756731709709</c:v>
                </c:pt>
                <c:pt idx="76">
                  <c:v>32854.888344148021</c:v>
                </c:pt>
                <c:pt idx="77">
                  <c:v>26570.913015757455</c:v>
                </c:pt>
                <c:pt idx="78">
                  <c:v>34446.112883575734</c:v>
                </c:pt>
                <c:pt idx="79">
                  <c:v>34923.43986112321</c:v>
                </c:pt>
                <c:pt idx="80">
                  <c:v>35649.079430677652</c:v>
                </c:pt>
                <c:pt idx="81">
                  <c:v>53051.616206671919</c:v>
                </c:pt>
                <c:pt idx="82">
                  <c:v>30040.185663424691</c:v>
                </c:pt>
                <c:pt idx="83">
                  <c:v>12623.692486033304</c:v>
                </c:pt>
                <c:pt idx="84">
                  <c:v>10551.264262849931</c:v>
                </c:pt>
                <c:pt idx="85">
                  <c:v>19420.120088638054</c:v>
                </c:pt>
                <c:pt idx="86">
                  <c:v>12976.241999159955</c:v>
                </c:pt>
                <c:pt idx="87">
                  <c:v>67994.279492810121</c:v>
                </c:pt>
                <c:pt idx="88">
                  <c:v>22733.488837431516</c:v>
                </c:pt>
                <c:pt idx="89">
                  <c:v>23282.212269651485</c:v>
                </c:pt>
                <c:pt idx="90">
                  <c:v>24368.560271898536</c:v>
                </c:pt>
                <c:pt idx="91">
                  <c:v>25682.678111644484</c:v>
                </c:pt>
              </c:numCache>
            </c:numRef>
          </c:val>
          <c:smooth val="0"/>
          <c:extLst>
            <c:ext xmlns:c16="http://schemas.microsoft.com/office/drawing/2014/chart" uri="{C3380CC4-5D6E-409C-BE32-E72D297353CC}">
              <c16:uniqueId val="{00000001-C048-49A1-9551-ADC15C85F884}"/>
            </c:ext>
          </c:extLst>
        </c:ser>
        <c:ser>
          <c:idx val="4"/>
          <c:order val="1"/>
          <c:tx>
            <c:strRef>
              <c:f>'Comp to Prev_All FOEs (17-20)'!$CU$24</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C048-49A1-9551-ADC15C85F884}"/>
              </c:ext>
            </c:extLst>
          </c:dPt>
          <c:cat>
            <c:strRef>
              <c:f>'Comp to Prev_All FOEs (17-20)'!$CV$22:$GI$22</c:f>
              <c:strCache>
                <c:ptCount val="92"/>
                <c:pt idx="0">
                  <c:v>MathSci (n=25)</c:v>
                </c:pt>
                <c:pt idx="1">
                  <c:v> (n=25)</c:v>
                </c:pt>
                <c:pt idx="2">
                  <c:v> (n=25)</c:v>
                </c:pt>
                <c:pt idx="3">
                  <c:v> (n=25)</c:v>
                </c:pt>
                <c:pt idx="4">
                  <c:v>MedicalSci (n=21)</c:v>
                </c:pt>
                <c:pt idx="5">
                  <c:v> (n=22)</c:v>
                </c:pt>
                <c:pt idx="6">
                  <c:v> (n=21)</c:v>
                </c:pt>
                <c:pt idx="7">
                  <c:v> (n=21)</c:v>
                </c:pt>
                <c:pt idx="8">
                  <c:v>OthNat-PhysSci (n=25)</c:v>
                </c:pt>
                <c:pt idx="9">
                  <c:v> (n=25)</c:v>
                </c:pt>
                <c:pt idx="10">
                  <c:v> (n=25)</c:v>
                </c:pt>
                <c:pt idx="11">
                  <c:v> (n=25)</c:v>
                </c:pt>
                <c:pt idx="12">
                  <c:v>InfoTech (n=25)</c:v>
                </c:pt>
                <c:pt idx="13">
                  <c:v> (n=25)</c:v>
                </c:pt>
                <c:pt idx="14">
                  <c:v> (n=25)</c:v>
                </c:pt>
                <c:pt idx="15">
                  <c:v> (n=25)</c:v>
                </c:pt>
                <c:pt idx="16">
                  <c:v>Eng&amp;Related (n=25)</c:v>
                </c:pt>
                <c:pt idx="17">
                  <c:v> (n=25)</c:v>
                </c:pt>
                <c:pt idx="18">
                  <c:v> (n=25)</c:v>
                </c:pt>
                <c:pt idx="19">
                  <c:v> (n=25)</c:v>
                </c:pt>
                <c:pt idx="20">
                  <c:v>Archi&amp;Build (n=20)</c:v>
                </c:pt>
                <c:pt idx="21">
                  <c:v> (n=20)</c:v>
                </c:pt>
                <c:pt idx="22">
                  <c:v> (n=20)</c:v>
                </c:pt>
                <c:pt idx="23">
                  <c:v> (n=20)</c:v>
                </c:pt>
                <c:pt idx="24">
                  <c:v>Environment (n=24)</c:v>
                </c:pt>
                <c:pt idx="25">
                  <c:v> (n=25)</c:v>
                </c:pt>
                <c:pt idx="26">
                  <c:v> (n=25)</c:v>
                </c:pt>
                <c:pt idx="27">
                  <c:v> (n=25)</c:v>
                </c:pt>
                <c:pt idx="28">
                  <c:v>OthAg&amp;Enviro (n=15)</c:v>
                </c:pt>
                <c:pt idx="29">
                  <c:v> (n=15)</c:v>
                </c:pt>
                <c:pt idx="30">
                  <c:v> (n=15)</c:v>
                </c:pt>
                <c:pt idx="31">
                  <c:v> (n=14)</c:v>
                </c:pt>
                <c:pt idx="32">
                  <c:v>MedicalStudies (n=20)</c:v>
                </c:pt>
                <c:pt idx="33">
                  <c:v> (n=19)</c:v>
                </c:pt>
                <c:pt idx="34">
                  <c:v> (n=19)</c:v>
                </c:pt>
                <c:pt idx="35">
                  <c:v> (n=19)</c:v>
                </c:pt>
                <c:pt idx="36">
                  <c:v>Nursing (n=23)</c:v>
                </c:pt>
                <c:pt idx="37">
                  <c:v> (n=23)</c:v>
                </c:pt>
                <c:pt idx="38">
                  <c:v> (n=23)</c:v>
                </c:pt>
                <c:pt idx="39">
                  <c:v> (n=23)</c:v>
                </c:pt>
                <c:pt idx="40">
                  <c:v>Dental (n=8)</c:v>
                </c:pt>
                <c:pt idx="41">
                  <c:v> (n=8)</c:v>
                </c:pt>
                <c:pt idx="42">
                  <c:v> (n=8)</c:v>
                </c:pt>
                <c:pt idx="43">
                  <c:v> (n=8)</c:v>
                </c:pt>
                <c:pt idx="44">
                  <c:v>Veterinary (n=6)</c:v>
                </c:pt>
                <c:pt idx="45">
                  <c:v> (n=6)</c:v>
                </c:pt>
                <c:pt idx="46">
                  <c:v> (n=6)</c:v>
                </c:pt>
                <c:pt idx="47">
                  <c:v> (n=6)</c:v>
                </c:pt>
                <c:pt idx="48">
                  <c:v>OthHealth (n=25)</c:v>
                </c:pt>
                <c:pt idx="49">
                  <c:v> (n=25)</c:v>
                </c:pt>
                <c:pt idx="50">
                  <c:v> (n=25)</c:v>
                </c:pt>
                <c:pt idx="51">
                  <c:v> (n=25)</c:v>
                </c:pt>
                <c:pt idx="52">
                  <c:v>Education (n=25)</c:v>
                </c:pt>
                <c:pt idx="53">
                  <c:v> (n=25)</c:v>
                </c:pt>
                <c:pt idx="54">
                  <c:v> (n=25)</c:v>
                </c:pt>
                <c:pt idx="55">
                  <c:v> (n=25)</c:v>
                </c:pt>
                <c:pt idx="56">
                  <c:v>Mgmt&amp;Comm (n=25)</c:v>
                </c:pt>
                <c:pt idx="57">
                  <c:v> (n=25)</c:v>
                </c:pt>
                <c:pt idx="58">
                  <c:v> (n=25)</c:v>
                </c:pt>
                <c:pt idx="59">
                  <c:v> (n=25)</c:v>
                </c:pt>
                <c:pt idx="60">
                  <c:v>ForeignLang (n=21)</c:v>
                </c:pt>
                <c:pt idx="61">
                  <c:v> (n=20)</c:v>
                </c:pt>
                <c:pt idx="62">
                  <c:v> (n=18)</c:v>
                </c:pt>
                <c:pt idx="63">
                  <c:v> (n=18)</c:v>
                </c:pt>
                <c:pt idx="64">
                  <c:v>Psych (n=25)</c:v>
                </c:pt>
                <c:pt idx="65">
                  <c:v> (n=25)</c:v>
                </c:pt>
                <c:pt idx="66">
                  <c:v> (n=25)</c:v>
                </c:pt>
                <c:pt idx="67">
                  <c:v> (n=25)</c:v>
                </c:pt>
                <c:pt idx="68">
                  <c:v>OtherSoc&amp;Cult (n=25)</c:v>
                </c:pt>
                <c:pt idx="69">
                  <c:v> (n=25)</c:v>
                </c:pt>
                <c:pt idx="70">
                  <c:v> (n=25)</c:v>
                </c:pt>
                <c:pt idx="71">
                  <c:v> (n=25)</c:v>
                </c:pt>
                <c:pt idx="72">
                  <c:v>Comms&amp;Media (n=25)</c:v>
                </c:pt>
                <c:pt idx="73">
                  <c:v> (n=25)</c:v>
                </c:pt>
                <c:pt idx="74">
                  <c:v> (n=25)</c:v>
                </c:pt>
                <c:pt idx="75">
                  <c:v> (n=25)</c:v>
                </c:pt>
                <c:pt idx="76">
                  <c:v>OthCreative (n=25)</c:v>
                </c:pt>
                <c:pt idx="77">
                  <c:v> (n=25)</c:v>
                </c:pt>
                <c:pt idx="78">
                  <c:v> (n=25)</c:v>
                </c:pt>
                <c:pt idx="79">
                  <c:v> (n=25)</c:v>
                </c:pt>
                <c:pt idx="80">
                  <c:v>FoodHosp&amp;Person (n=4)</c:v>
                </c:pt>
                <c:pt idx="81">
                  <c:v> (n=4)</c:v>
                </c:pt>
                <c:pt idx="82">
                  <c:v> (n=2)</c:v>
                </c:pt>
                <c:pt idx="83">
                  <c:v> (n=1)</c:v>
                </c:pt>
                <c:pt idx="84">
                  <c:v>MixedField (n=2)</c:v>
                </c:pt>
                <c:pt idx="85">
                  <c:v> (n=3)</c:v>
                </c:pt>
                <c:pt idx="86">
                  <c:v> (n=3)</c:v>
                </c:pt>
                <c:pt idx="87">
                  <c:v> (n=4)</c:v>
                </c:pt>
                <c:pt idx="88">
                  <c:v>Total (n=25)</c:v>
                </c:pt>
                <c:pt idx="89">
                  <c:v> (n=25)</c:v>
                </c:pt>
                <c:pt idx="90">
                  <c:v> (n=25)</c:v>
                </c:pt>
                <c:pt idx="91">
                  <c:v> (n=25)</c:v>
                </c:pt>
              </c:strCache>
            </c:strRef>
          </c:cat>
          <c:val>
            <c:numRef>
              <c:f>'Comp to Prev_All FOEs (17-20)'!$CV$24:$GI$24</c:f>
              <c:numCache>
                <c:formatCode>"$"#,##0</c:formatCode>
                <c:ptCount val="92"/>
                <c:pt idx="0">
                  <c:v>11952.176179227434</c:v>
                </c:pt>
                <c:pt idx="1">
                  <c:v>11877.074589289781</c:v>
                </c:pt>
                <c:pt idx="2">
                  <c:v>10780.908731603375</c:v>
                </c:pt>
                <c:pt idx="3">
                  <c:v>9293.2476689570794</c:v>
                </c:pt>
                <c:pt idx="4">
                  <c:v>14542.884277418121</c:v>
                </c:pt>
                <c:pt idx="5">
                  <c:v>9401.6134834985078</c:v>
                </c:pt>
                <c:pt idx="6">
                  <c:v>8913.1475129386581</c:v>
                </c:pt>
                <c:pt idx="7">
                  <c:v>9361.3338643970383</c:v>
                </c:pt>
                <c:pt idx="8">
                  <c:v>15648.137347077345</c:v>
                </c:pt>
                <c:pt idx="9">
                  <c:v>15236.941206807633</c:v>
                </c:pt>
                <c:pt idx="10">
                  <c:v>14354.802229181763</c:v>
                </c:pt>
                <c:pt idx="11">
                  <c:v>14294.92925702811</c:v>
                </c:pt>
                <c:pt idx="12">
                  <c:v>9066.6059160201112</c:v>
                </c:pt>
                <c:pt idx="13">
                  <c:v>5483.4199113577652</c:v>
                </c:pt>
                <c:pt idx="14">
                  <c:v>4816.046717016181</c:v>
                </c:pt>
                <c:pt idx="15">
                  <c:v>5715.2536559990231</c:v>
                </c:pt>
                <c:pt idx="16">
                  <c:v>10684.217908687266</c:v>
                </c:pt>
                <c:pt idx="17">
                  <c:v>15725.502970392197</c:v>
                </c:pt>
                <c:pt idx="18">
                  <c:v>15708.274459255141</c:v>
                </c:pt>
                <c:pt idx="19">
                  <c:v>15483.196495431412</c:v>
                </c:pt>
                <c:pt idx="20">
                  <c:v>14951.490737650545</c:v>
                </c:pt>
                <c:pt idx="21">
                  <c:v>14579.290013355083</c:v>
                </c:pt>
                <c:pt idx="22">
                  <c:v>14185.385145078048</c:v>
                </c:pt>
                <c:pt idx="23">
                  <c:v>12114.270833388815</c:v>
                </c:pt>
                <c:pt idx="24">
                  <c:v>16668.526289487447</c:v>
                </c:pt>
                <c:pt idx="25">
                  <c:v>13649.479108939018</c:v>
                </c:pt>
                <c:pt idx="26">
                  <c:v>10727.185907704241</c:v>
                </c:pt>
                <c:pt idx="27">
                  <c:v>16063.946174717201</c:v>
                </c:pt>
                <c:pt idx="28">
                  <c:v>19048.244504630064</c:v>
                </c:pt>
                <c:pt idx="29">
                  <c:v>17557.09632499078</c:v>
                </c:pt>
                <c:pt idx="30">
                  <c:v>21581.55943900035</c:v>
                </c:pt>
                <c:pt idx="31">
                  <c:v>24608.280977701736</c:v>
                </c:pt>
                <c:pt idx="32">
                  <c:v>16431.805222383697</c:v>
                </c:pt>
                <c:pt idx="33">
                  <c:v>16383.783056950779</c:v>
                </c:pt>
                <c:pt idx="34">
                  <c:v>14496.338584037883</c:v>
                </c:pt>
                <c:pt idx="35">
                  <c:v>12595.060829847645</c:v>
                </c:pt>
                <c:pt idx="36">
                  <c:v>12092.828342471512</c:v>
                </c:pt>
                <c:pt idx="37">
                  <c:v>13008.148853653765</c:v>
                </c:pt>
                <c:pt idx="38">
                  <c:v>13864.128578198104</c:v>
                </c:pt>
                <c:pt idx="39">
                  <c:v>14417.890752322972</c:v>
                </c:pt>
                <c:pt idx="40">
                  <c:v>24349.951277463981</c:v>
                </c:pt>
                <c:pt idx="41">
                  <c:v>26379.194972171332</c:v>
                </c:pt>
                <c:pt idx="42">
                  <c:v>29520.191616766468</c:v>
                </c:pt>
                <c:pt idx="43">
                  <c:v>31899.883239899478</c:v>
                </c:pt>
                <c:pt idx="44">
                  <c:v>9661.8481190494913</c:v>
                </c:pt>
                <c:pt idx="45">
                  <c:v>21221.398919006006</c:v>
                </c:pt>
                <c:pt idx="46">
                  <c:v>24955.663334579942</c:v>
                </c:pt>
                <c:pt idx="47">
                  <c:v>27809.021829550908</c:v>
                </c:pt>
                <c:pt idx="48">
                  <c:v>14768.628949556125</c:v>
                </c:pt>
                <c:pt idx="49">
                  <c:v>14943.83255596898</c:v>
                </c:pt>
                <c:pt idx="50">
                  <c:v>12227.784186088866</c:v>
                </c:pt>
                <c:pt idx="51">
                  <c:v>12567.558271595544</c:v>
                </c:pt>
                <c:pt idx="52">
                  <c:v>10317.436437389664</c:v>
                </c:pt>
                <c:pt idx="53">
                  <c:v>10960.222903560118</c:v>
                </c:pt>
                <c:pt idx="54">
                  <c:v>11745.240156478721</c:v>
                </c:pt>
                <c:pt idx="55">
                  <c:v>11340.234838146478</c:v>
                </c:pt>
                <c:pt idx="56">
                  <c:v>10763.651449994775</c:v>
                </c:pt>
                <c:pt idx="57">
                  <c:v>9550.8401359776926</c:v>
                </c:pt>
                <c:pt idx="58">
                  <c:v>6087.8175431536993</c:v>
                </c:pt>
                <c:pt idx="59">
                  <c:v>9990.7776309483434</c:v>
                </c:pt>
                <c:pt idx="60">
                  <c:v>4284.2145015488213</c:v>
                </c:pt>
                <c:pt idx="61">
                  <c:v>12320.669480461886</c:v>
                </c:pt>
                <c:pt idx="62">
                  <c:v>14180.831201248051</c:v>
                </c:pt>
                <c:pt idx="63">
                  <c:v>7728.0934860918051</c:v>
                </c:pt>
                <c:pt idx="64">
                  <c:v>11089.195183094236</c:v>
                </c:pt>
                <c:pt idx="65">
                  <c:v>11845.416123948447</c:v>
                </c:pt>
                <c:pt idx="66">
                  <c:v>9855.2565075586353</c:v>
                </c:pt>
                <c:pt idx="67">
                  <c:v>9356.7335820847384</c:v>
                </c:pt>
                <c:pt idx="68">
                  <c:v>10711.654304597569</c:v>
                </c:pt>
                <c:pt idx="69">
                  <c:v>11375.159305223106</c:v>
                </c:pt>
                <c:pt idx="70">
                  <c:v>10793.329088845192</c:v>
                </c:pt>
                <c:pt idx="71">
                  <c:v>10207.21915636939</c:v>
                </c:pt>
                <c:pt idx="72">
                  <c:v>10257.212627056251</c:v>
                </c:pt>
                <c:pt idx="73">
                  <c:v>10482.577060044292</c:v>
                </c:pt>
                <c:pt idx="74">
                  <c:v>10736.866559312935</c:v>
                </c:pt>
                <c:pt idx="75">
                  <c:v>10166.556502413796</c:v>
                </c:pt>
                <c:pt idx="76">
                  <c:v>11683.338993700258</c:v>
                </c:pt>
                <c:pt idx="77">
                  <c:v>11562.984067753678</c:v>
                </c:pt>
                <c:pt idx="78">
                  <c:v>6682.9128324955736</c:v>
                </c:pt>
                <c:pt idx="79">
                  <c:v>12748.486891556373</c:v>
                </c:pt>
                <c:pt idx="80">
                  <c:v>14590.006413553256</c:v>
                </c:pt>
                <c:pt idx="81">
                  <c:v>14562.904808476833</c:v>
                </c:pt>
                <c:pt idx="82">
                  <c:v>13531.890830953098</c:v>
                </c:pt>
                <c:pt idx="83">
                  <c:v>12623.692486033304</c:v>
                </c:pt>
                <c:pt idx="84">
                  <c:v>9443.6951708328343</c:v>
                </c:pt>
                <c:pt idx="85">
                  <c:v>5336.8042613932448</c:v>
                </c:pt>
                <c:pt idx="86">
                  <c:v>6129.8953727416438</c:v>
                </c:pt>
                <c:pt idx="87">
                  <c:v>6120.7369119304358</c:v>
                </c:pt>
                <c:pt idx="88">
                  <c:v>13804.229188371248</c:v>
                </c:pt>
                <c:pt idx="89">
                  <c:v>13801.512602260718</c:v>
                </c:pt>
                <c:pt idx="90">
                  <c:v>12814.530156902363</c:v>
                </c:pt>
                <c:pt idx="91">
                  <c:v>12831.921189840901</c:v>
                </c:pt>
              </c:numCache>
            </c:numRef>
          </c:val>
          <c:smooth val="0"/>
          <c:extLst>
            <c:ext xmlns:c16="http://schemas.microsoft.com/office/drawing/2014/chart" uri="{C3380CC4-5D6E-409C-BE32-E72D297353CC}">
              <c16:uniqueId val="{00000003-C048-49A1-9551-ADC15C85F884}"/>
            </c:ext>
          </c:extLst>
        </c:ser>
        <c:ser>
          <c:idx val="5"/>
          <c:order val="2"/>
          <c:tx>
            <c:strRef>
              <c:f>'Comp to Prev_All FOEs (17-20)'!$CU$25</c:f>
              <c:strCache>
                <c:ptCount val="1"/>
                <c:pt idx="0">
                  <c:v>Mean</c:v>
                </c:pt>
              </c:strCache>
            </c:strRef>
          </c:tx>
          <c:spPr>
            <a:ln w="28575" cap="rnd">
              <a:noFill/>
              <a:round/>
            </a:ln>
            <a:effectLst/>
          </c:spPr>
          <c:marker>
            <c:symbol val="diamond"/>
            <c:size val="7"/>
            <c:spPr>
              <a:solidFill>
                <a:srgbClr val="00ABAB"/>
              </a:solidFill>
              <a:ln>
                <a:solidFill>
                  <a:srgbClr val="00ABAB"/>
                </a:solidFill>
              </a:ln>
            </c:spPr>
          </c:marker>
          <c:dPt>
            <c:idx val="1"/>
            <c:marker>
              <c:spPr>
                <a:solidFill>
                  <a:srgbClr val="BFBFBF"/>
                </a:solidFill>
                <a:ln>
                  <a:solidFill>
                    <a:srgbClr val="BFBFBF"/>
                  </a:solidFill>
                </a:ln>
              </c:spPr>
            </c:marker>
            <c:bubble3D val="0"/>
            <c:extLst>
              <c:ext xmlns:c16="http://schemas.microsoft.com/office/drawing/2014/chart" uri="{C3380CC4-5D6E-409C-BE32-E72D297353CC}">
                <c16:uniqueId val="{00000004-C048-49A1-9551-ADC15C85F884}"/>
              </c:ext>
            </c:extLst>
          </c:dPt>
          <c:dPt>
            <c:idx val="2"/>
            <c:marker>
              <c:spPr>
                <a:solidFill>
                  <a:schemeClr val="tx2"/>
                </a:solidFill>
                <a:ln>
                  <a:solidFill>
                    <a:schemeClr val="tx2"/>
                  </a:solidFill>
                </a:ln>
              </c:spPr>
            </c:marker>
            <c:bubble3D val="0"/>
            <c:extLst>
              <c:ext xmlns:c16="http://schemas.microsoft.com/office/drawing/2014/chart" uri="{C3380CC4-5D6E-409C-BE32-E72D297353CC}">
                <c16:uniqueId val="{00000005-C048-49A1-9551-ADC15C85F884}"/>
              </c:ext>
            </c:extLst>
          </c:dPt>
          <c:dPt>
            <c:idx val="3"/>
            <c:marker>
              <c:spPr>
                <a:solidFill>
                  <a:srgbClr val="53565A"/>
                </a:solidFill>
                <a:ln>
                  <a:solidFill>
                    <a:srgbClr val="53565A"/>
                  </a:solidFill>
                </a:ln>
              </c:spPr>
            </c:marker>
            <c:bubble3D val="0"/>
            <c:extLst>
              <c:ext xmlns:c16="http://schemas.microsoft.com/office/drawing/2014/chart" uri="{C3380CC4-5D6E-409C-BE32-E72D297353CC}">
                <c16:uniqueId val="{00000006-C048-49A1-9551-ADC15C85F884}"/>
              </c:ext>
            </c:extLst>
          </c:dPt>
          <c:dPt>
            <c:idx val="5"/>
            <c:marker>
              <c:spPr>
                <a:solidFill>
                  <a:srgbClr val="BFBFBF"/>
                </a:solidFill>
                <a:ln>
                  <a:solidFill>
                    <a:srgbClr val="BFBFBF"/>
                  </a:solidFill>
                </a:ln>
              </c:spPr>
            </c:marker>
            <c:bubble3D val="0"/>
            <c:extLst>
              <c:ext xmlns:c16="http://schemas.microsoft.com/office/drawing/2014/chart" uri="{C3380CC4-5D6E-409C-BE32-E72D297353CC}">
                <c16:uniqueId val="{00000007-C048-49A1-9551-ADC15C85F884}"/>
              </c:ext>
            </c:extLst>
          </c:dPt>
          <c:dPt>
            <c:idx val="6"/>
            <c:marker>
              <c:spPr>
                <a:solidFill>
                  <a:schemeClr val="tx2"/>
                </a:solidFill>
                <a:ln>
                  <a:solidFill>
                    <a:schemeClr val="tx2"/>
                  </a:solidFill>
                </a:ln>
              </c:spPr>
            </c:marker>
            <c:bubble3D val="0"/>
            <c:extLst>
              <c:ext xmlns:c16="http://schemas.microsoft.com/office/drawing/2014/chart" uri="{C3380CC4-5D6E-409C-BE32-E72D297353CC}">
                <c16:uniqueId val="{00000008-C048-49A1-9551-ADC15C85F884}"/>
              </c:ext>
            </c:extLst>
          </c:dPt>
          <c:dPt>
            <c:idx val="7"/>
            <c:marker>
              <c:spPr>
                <a:solidFill>
                  <a:srgbClr val="53565A"/>
                </a:solidFill>
                <a:ln>
                  <a:solidFill>
                    <a:srgbClr val="53565A"/>
                  </a:solidFill>
                </a:ln>
              </c:spPr>
            </c:marker>
            <c:bubble3D val="0"/>
            <c:extLst>
              <c:ext xmlns:c16="http://schemas.microsoft.com/office/drawing/2014/chart" uri="{C3380CC4-5D6E-409C-BE32-E72D297353CC}">
                <c16:uniqueId val="{00000009-C048-49A1-9551-ADC15C85F884}"/>
              </c:ext>
            </c:extLst>
          </c:dPt>
          <c:dPt>
            <c:idx val="9"/>
            <c:marker>
              <c:spPr>
                <a:solidFill>
                  <a:srgbClr val="BFBFBF"/>
                </a:solidFill>
                <a:ln>
                  <a:solidFill>
                    <a:srgbClr val="BFBFBF"/>
                  </a:solidFill>
                </a:ln>
              </c:spPr>
            </c:marker>
            <c:bubble3D val="0"/>
            <c:extLst>
              <c:ext xmlns:c16="http://schemas.microsoft.com/office/drawing/2014/chart" uri="{C3380CC4-5D6E-409C-BE32-E72D297353CC}">
                <c16:uniqueId val="{0000000A-C048-49A1-9551-ADC15C85F884}"/>
              </c:ext>
            </c:extLst>
          </c:dPt>
          <c:dPt>
            <c:idx val="10"/>
            <c:marker>
              <c:spPr>
                <a:solidFill>
                  <a:schemeClr val="tx2"/>
                </a:solidFill>
                <a:ln>
                  <a:solidFill>
                    <a:schemeClr val="tx2"/>
                  </a:solidFill>
                </a:ln>
              </c:spPr>
            </c:marker>
            <c:bubble3D val="0"/>
            <c:extLst>
              <c:ext xmlns:c16="http://schemas.microsoft.com/office/drawing/2014/chart" uri="{C3380CC4-5D6E-409C-BE32-E72D297353CC}">
                <c16:uniqueId val="{0000000B-C048-49A1-9551-ADC15C85F884}"/>
              </c:ext>
            </c:extLst>
          </c:dPt>
          <c:dPt>
            <c:idx val="11"/>
            <c:marker>
              <c:spPr>
                <a:solidFill>
                  <a:srgbClr val="53565A"/>
                </a:solidFill>
                <a:ln>
                  <a:solidFill>
                    <a:srgbClr val="53565A"/>
                  </a:solidFill>
                </a:ln>
              </c:spPr>
            </c:marker>
            <c:bubble3D val="0"/>
            <c:extLst>
              <c:ext xmlns:c16="http://schemas.microsoft.com/office/drawing/2014/chart" uri="{C3380CC4-5D6E-409C-BE32-E72D297353CC}">
                <c16:uniqueId val="{0000000C-C048-49A1-9551-ADC15C85F884}"/>
              </c:ext>
            </c:extLst>
          </c:dPt>
          <c:dPt>
            <c:idx val="13"/>
            <c:marker>
              <c:spPr>
                <a:solidFill>
                  <a:srgbClr val="BFBFBF"/>
                </a:solidFill>
                <a:ln>
                  <a:solidFill>
                    <a:srgbClr val="BFBFBF"/>
                  </a:solidFill>
                </a:ln>
              </c:spPr>
            </c:marker>
            <c:bubble3D val="0"/>
            <c:extLst>
              <c:ext xmlns:c16="http://schemas.microsoft.com/office/drawing/2014/chart" uri="{C3380CC4-5D6E-409C-BE32-E72D297353CC}">
                <c16:uniqueId val="{0000000D-C048-49A1-9551-ADC15C85F884}"/>
              </c:ext>
            </c:extLst>
          </c:dPt>
          <c:dPt>
            <c:idx val="14"/>
            <c:marker>
              <c:spPr>
                <a:solidFill>
                  <a:schemeClr val="tx2"/>
                </a:solidFill>
                <a:ln>
                  <a:solidFill>
                    <a:schemeClr val="tx2"/>
                  </a:solidFill>
                </a:ln>
              </c:spPr>
            </c:marker>
            <c:bubble3D val="0"/>
            <c:extLst>
              <c:ext xmlns:c16="http://schemas.microsoft.com/office/drawing/2014/chart" uri="{C3380CC4-5D6E-409C-BE32-E72D297353CC}">
                <c16:uniqueId val="{0000000E-C048-49A1-9551-ADC15C85F884}"/>
              </c:ext>
            </c:extLst>
          </c:dPt>
          <c:dPt>
            <c:idx val="15"/>
            <c:marker>
              <c:spPr>
                <a:solidFill>
                  <a:srgbClr val="53565A"/>
                </a:solidFill>
                <a:ln>
                  <a:solidFill>
                    <a:srgbClr val="53565A"/>
                  </a:solidFill>
                </a:ln>
              </c:spPr>
            </c:marker>
            <c:bubble3D val="0"/>
            <c:extLst>
              <c:ext xmlns:c16="http://schemas.microsoft.com/office/drawing/2014/chart" uri="{C3380CC4-5D6E-409C-BE32-E72D297353CC}">
                <c16:uniqueId val="{0000000F-C048-49A1-9551-ADC15C85F884}"/>
              </c:ext>
            </c:extLst>
          </c:dPt>
          <c:dPt>
            <c:idx val="17"/>
            <c:marker>
              <c:spPr>
                <a:solidFill>
                  <a:srgbClr val="BFBFBF"/>
                </a:solidFill>
                <a:ln>
                  <a:solidFill>
                    <a:srgbClr val="BFBFBF"/>
                  </a:solidFill>
                </a:ln>
              </c:spPr>
            </c:marker>
            <c:bubble3D val="0"/>
            <c:extLst>
              <c:ext xmlns:c16="http://schemas.microsoft.com/office/drawing/2014/chart" uri="{C3380CC4-5D6E-409C-BE32-E72D297353CC}">
                <c16:uniqueId val="{00000010-C048-49A1-9551-ADC15C85F884}"/>
              </c:ext>
            </c:extLst>
          </c:dPt>
          <c:dPt>
            <c:idx val="18"/>
            <c:marker>
              <c:spPr>
                <a:solidFill>
                  <a:schemeClr val="tx2"/>
                </a:solidFill>
                <a:ln>
                  <a:solidFill>
                    <a:schemeClr val="tx2"/>
                  </a:solidFill>
                </a:ln>
              </c:spPr>
            </c:marker>
            <c:bubble3D val="0"/>
            <c:extLst>
              <c:ext xmlns:c16="http://schemas.microsoft.com/office/drawing/2014/chart" uri="{C3380CC4-5D6E-409C-BE32-E72D297353CC}">
                <c16:uniqueId val="{00000011-C048-49A1-9551-ADC15C85F884}"/>
              </c:ext>
            </c:extLst>
          </c:dPt>
          <c:dPt>
            <c:idx val="19"/>
            <c:marker>
              <c:spPr>
                <a:solidFill>
                  <a:srgbClr val="53565A"/>
                </a:solidFill>
                <a:ln>
                  <a:solidFill>
                    <a:srgbClr val="53565A"/>
                  </a:solidFill>
                </a:ln>
              </c:spPr>
            </c:marker>
            <c:bubble3D val="0"/>
            <c:extLst>
              <c:ext xmlns:c16="http://schemas.microsoft.com/office/drawing/2014/chart" uri="{C3380CC4-5D6E-409C-BE32-E72D297353CC}">
                <c16:uniqueId val="{00000012-C048-49A1-9551-ADC15C85F884}"/>
              </c:ext>
            </c:extLst>
          </c:dPt>
          <c:dPt>
            <c:idx val="20"/>
            <c:bubble3D val="0"/>
            <c:extLst>
              <c:ext xmlns:c16="http://schemas.microsoft.com/office/drawing/2014/chart" uri="{C3380CC4-5D6E-409C-BE32-E72D297353CC}">
                <c16:uniqueId val="{00000013-C048-49A1-9551-ADC15C85F884}"/>
              </c:ext>
            </c:extLst>
          </c:dPt>
          <c:dPt>
            <c:idx val="21"/>
            <c:marker>
              <c:spPr>
                <a:solidFill>
                  <a:srgbClr val="BFBFBF"/>
                </a:solidFill>
                <a:ln>
                  <a:solidFill>
                    <a:srgbClr val="BFBFBF"/>
                  </a:solidFill>
                </a:ln>
              </c:spPr>
            </c:marker>
            <c:bubble3D val="0"/>
            <c:extLst>
              <c:ext xmlns:c16="http://schemas.microsoft.com/office/drawing/2014/chart" uri="{C3380CC4-5D6E-409C-BE32-E72D297353CC}">
                <c16:uniqueId val="{00000014-C048-49A1-9551-ADC15C85F884}"/>
              </c:ext>
            </c:extLst>
          </c:dPt>
          <c:dPt>
            <c:idx val="22"/>
            <c:marker>
              <c:spPr>
                <a:solidFill>
                  <a:schemeClr val="tx2"/>
                </a:solidFill>
                <a:ln>
                  <a:solidFill>
                    <a:schemeClr val="tx2"/>
                  </a:solidFill>
                </a:ln>
              </c:spPr>
            </c:marker>
            <c:bubble3D val="0"/>
            <c:extLst>
              <c:ext xmlns:c16="http://schemas.microsoft.com/office/drawing/2014/chart" uri="{C3380CC4-5D6E-409C-BE32-E72D297353CC}">
                <c16:uniqueId val="{00000015-C048-49A1-9551-ADC15C85F884}"/>
              </c:ext>
            </c:extLst>
          </c:dPt>
          <c:dPt>
            <c:idx val="23"/>
            <c:marker>
              <c:spPr>
                <a:solidFill>
                  <a:srgbClr val="53565A"/>
                </a:solidFill>
                <a:ln>
                  <a:solidFill>
                    <a:srgbClr val="53565A"/>
                  </a:solidFill>
                </a:ln>
              </c:spPr>
            </c:marker>
            <c:bubble3D val="0"/>
            <c:extLst>
              <c:ext xmlns:c16="http://schemas.microsoft.com/office/drawing/2014/chart" uri="{C3380CC4-5D6E-409C-BE32-E72D297353CC}">
                <c16:uniqueId val="{00000016-C048-49A1-9551-ADC15C85F884}"/>
              </c:ext>
            </c:extLst>
          </c:dPt>
          <c:dPt>
            <c:idx val="25"/>
            <c:marker>
              <c:spPr>
                <a:solidFill>
                  <a:srgbClr val="BFBFBF"/>
                </a:solidFill>
                <a:ln>
                  <a:solidFill>
                    <a:srgbClr val="BFBFBF"/>
                  </a:solidFill>
                </a:ln>
              </c:spPr>
            </c:marker>
            <c:bubble3D val="0"/>
            <c:extLst>
              <c:ext xmlns:c16="http://schemas.microsoft.com/office/drawing/2014/chart" uri="{C3380CC4-5D6E-409C-BE32-E72D297353CC}">
                <c16:uniqueId val="{00000017-C048-49A1-9551-ADC15C85F884}"/>
              </c:ext>
            </c:extLst>
          </c:dPt>
          <c:dPt>
            <c:idx val="26"/>
            <c:marker>
              <c:spPr>
                <a:solidFill>
                  <a:schemeClr val="tx2"/>
                </a:solidFill>
                <a:ln>
                  <a:solidFill>
                    <a:schemeClr val="tx2"/>
                  </a:solidFill>
                </a:ln>
              </c:spPr>
            </c:marker>
            <c:bubble3D val="0"/>
            <c:extLst>
              <c:ext xmlns:c16="http://schemas.microsoft.com/office/drawing/2014/chart" uri="{C3380CC4-5D6E-409C-BE32-E72D297353CC}">
                <c16:uniqueId val="{00000018-C048-49A1-9551-ADC15C85F884}"/>
              </c:ext>
            </c:extLst>
          </c:dPt>
          <c:dPt>
            <c:idx val="27"/>
            <c:marker>
              <c:spPr>
                <a:solidFill>
                  <a:srgbClr val="53565A"/>
                </a:solidFill>
                <a:ln>
                  <a:solidFill>
                    <a:srgbClr val="53565A"/>
                  </a:solidFill>
                </a:ln>
              </c:spPr>
            </c:marker>
            <c:bubble3D val="0"/>
            <c:extLst>
              <c:ext xmlns:c16="http://schemas.microsoft.com/office/drawing/2014/chart" uri="{C3380CC4-5D6E-409C-BE32-E72D297353CC}">
                <c16:uniqueId val="{00000019-C048-49A1-9551-ADC15C85F884}"/>
              </c:ext>
            </c:extLst>
          </c:dPt>
          <c:dPt>
            <c:idx val="29"/>
            <c:marker>
              <c:spPr>
                <a:solidFill>
                  <a:srgbClr val="BFBFBF"/>
                </a:solidFill>
                <a:ln>
                  <a:solidFill>
                    <a:srgbClr val="BFBFBF"/>
                  </a:solidFill>
                </a:ln>
              </c:spPr>
            </c:marker>
            <c:bubble3D val="0"/>
            <c:extLst>
              <c:ext xmlns:c16="http://schemas.microsoft.com/office/drawing/2014/chart" uri="{C3380CC4-5D6E-409C-BE32-E72D297353CC}">
                <c16:uniqueId val="{0000001A-C048-49A1-9551-ADC15C85F884}"/>
              </c:ext>
            </c:extLst>
          </c:dPt>
          <c:dPt>
            <c:idx val="30"/>
            <c:marker>
              <c:spPr>
                <a:solidFill>
                  <a:schemeClr val="tx2"/>
                </a:solidFill>
                <a:ln>
                  <a:solidFill>
                    <a:schemeClr val="tx2"/>
                  </a:solidFill>
                </a:ln>
              </c:spPr>
            </c:marker>
            <c:bubble3D val="0"/>
            <c:extLst>
              <c:ext xmlns:c16="http://schemas.microsoft.com/office/drawing/2014/chart" uri="{C3380CC4-5D6E-409C-BE32-E72D297353CC}">
                <c16:uniqueId val="{0000001B-C048-49A1-9551-ADC15C85F884}"/>
              </c:ext>
            </c:extLst>
          </c:dPt>
          <c:dPt>
            <c:idx val="31"/>
            <c:marker>
              <c:spPr>
                <a:solidFill>
                  <a:srgbClr val="53565A"/>
                </a:solidFill>
                <a:ln>
                  <a:solidFill>
                    <a:srgbClr val="53565A"/>
                  </a:solidFill>
                </a:ln>
              </c:spPr>
            </c:marker>
            <c:bubble3D val="0"/>
            <c:extLst>
              <c:ext xmlns:c16="http://schemas.microsoft.com/office/drawing/2014/chart" uri="{C3380CC4-5D6E-409C-BE32-E72D297353CC}">
                <c16:uniqueId val="{0000001C-C048-49A1-9551-ADC15C85F884}"/>
              </c:ext>
            </c:extLst>
          </c:dPt>
          <c:dPt>
            <c:idx val="33"/>
            <c:marker>
              <c:spPr>
                <a:solidFill>
                  <a:srgbClr val="BFBFBF"/>
                </a:solidFill>
                <a:ln>
                  <a:solidFill>
                    <a:srgbClr val="BFBFBF">
                      <a:alpha val="99000"/>
                    </a:srgbClr>
                  </a:solidFill>
                </a:ln>
              </c:spPr>
            </c:marker>
            <c:bubble3D val="0"/>
            <c:extLst>
              <c:ext xmlns:c16="http://schemas.microsoft.com/office/drawing/2014/chart" uri="{C3380CC4-5D6E-409C-BE32-E72D297353CC}">
                <c16:uniqueId val="{0000001D-C048-49A1-9551-ADC15C85F884}"/>
              </c:ext>
            </c:extLst>
          </c:dPt>
          <c:dPt>
            <c:idx val="34"/>
            <c:marker>
              <c:spPr>
                <a:solidFill>
                  <a:schemeClr val="tx2"/>
                </a:solidFill>
                <a:ln>
                  <a:solidFill>
                    <a:schemeClr val="tx2"/>
                  </a:solidFill>
                </a:ln>
              </c:spPr>
            </c:marker>
            <c:bubble3D val="0"/>
            <c:extLst>
              <c:ext xmlns:c16="http://schemas.microsoft.com/office/drawing/2014/chart" uri="{C3380CC4-5D6E-409C-BE32-E72D297353CC}">
                <c16:uniqueId val="{0000001E-C048-49A1-9551-ADC15C85F884}"/>
              </c:ext>
            </c:extLst>
          </c:dPt>
          <c:dPt>
            <c:idx val="35"/>
            <c:marker>
              <c:spPr>
                <a:solidFill>
                  <a:srgbClr val="53565A"/>
                </a:solidFill>
                <a:ln>
                  <a:solidFill>
                    <a:srgbClr val="53565A"/>
                  </a:solidFill>
                </a:ln>
              </c:spPr>
            </c:marker>
            <c:bubble3D val="0"/>
            <c:extLst>
              <c:ext xmlns:c16="http://schemas.microsoft.com/office/drawing/2014/chart" uri="{C3380CC4-5D6E-409C-BE32-E72D297353CC}">
                <c16:uniqueId val="{0000001F-C048-49A1-9551-ADC15C85F884}"/>
              </c:ext>
            </c:extLst>
          </c:dPt>
          <c:dPt>
            <c:idx val="37"/>
            <c:marker>
              <c:spPr>
                <a:solidFill>
                  <a:srgbClr val="BFBFBF"/>
                </a:solidFill>
                <a:ln>
                  <a:solidFill>
                    <a:srgbClr val="BFBFBF"/>
                  </a:solidFill>
                </a:ln>
              </c:spPr>
            </c:marker>
            <c:bubble3D val="0"/>
            <c:extLst>
              <c:ext xmlns:c16="http://schemas.microsoft.com/office/drawing/2014/chart" uri="{C3380CC4-5D6E-409C-BE32-E72D297353CC}">
                <c16:uniqueId val="{00000020-C048-49A1-9551-ADC15C85F884}"/>
              </c:ext>
            </c:extLst>
          </c:dPt>
          <c:dPt>
            <c:idx val="38"/>
            <c:marker>
              <c:spPr>
                <a:solidFill>
                  <a:schemeClr val="tx2"/>
                </a:solidFill>
                <a:ln>
                  <a:solidFill>
                    <a:schemeClr val="tx2"/>
                  </a:solidFill>
                </a:ln>
              </c:spPr>
            </c:marker>
            <c:bubble3D val="0"/>
            <c:extLst>
              <c:ext xmlns:c16="http://schemas.microsoft.com/office/drawing/2014/chart" uri="{C3380CC4-5D6E-409C-BE32-E72D297353CC}">
                <c16:uniqueId val="{00000021-C048-49A1-9551-ADC15C85F884}"/>
              </c:ext>
            </c:extLst>
          </c:dPt>
          <c:dPt>
            <c:idx val="39"/>
            <c:marker>
              <c:spPr>
                <a:solidFill>
                  <a:srgbClr val="53565A"/>
                </a:solidFill>
                <a:ln>
                  <a:solidFill>
                    <a:srgbClr val="53565A"/>
                  </a:solidFill>
                </a:ln>
              </c:spPr>
            </c:marker>
            <c:bubble3D val="0"/>
            <c:extLst>
              <c:ext xmlns:c16="http://schemas.microsoft.com/office/drawing/2014/chart" uri="{C3380CC4-5D6E-409C-BE32-E72D297353CC}">
                <c16:uniqueId val="{00000022-C048-49A1-9551-ADC15C85F884}"/>
              </c:ext>
            </c:extLst>
          </c:dPt>
          <c:dPt>
            <c:idx val="41"/>
            <c:marker>
              <c:spPr>
                <a:solidFill>
                  <a:srgbClr val="BFBFBF"/>
                </a:solidFill>
                <a:ln>
                  <a:solidFill>
                    <a:srgbClr val="BFBFBF"/>
                  </a:solidFill>
                </a:ln>
              </c:spPr>
            </c:marker>
            <c:bubble3D val="0"/>
            <c:extLst>
              <c:ext xmlns:c16="http://schemas.microsoft.com/office/drawing/2014/chart" uri="{C3380CC4-5D6E-409C-BE32-E72D297353CC}">
                <c16:uniqueId val="{00000023-C048-49A1-9551-ADC15C85F884}"/>
              </c:ext>
            </c:extLst>
          </c:dPt>
          <c:dPt>
            <c:idx val="42"/>
            <c:marker>
              <c:spPr>
                <a:solidFill>
                  <a:schemeClr val="tx2"/>
                </a:solidFill>
                <a:ln>
                  <a:solidFill>
                    <a:schemeClr val="tx2"/>
                  </a:solidFill>
                </a:ln>
              </c:spPr>
            </c:marker>
            <c:bubble3D val="0"/>
            <c:extLst>
              <c:ext xmlns:c16="http://schemas.microsoft.com/office/drawing/2014/chart" uri="{C3380CC4-5D6E-409C-BE32-E72D297353CC}">
                <c16:uniqueId val="{00000024-C048-49A1-9551-ADC15C85F884}"/>
              </c:ext>
            </c:extLst>
          </c:dPt>
          <c:dPt>
            <c:idx val="43"/>
            <c:marker>
              <c:spPr>
                <a:solidFill>
                  <a:srgbClr val="53565A"/>
                </a:solidFill>
                <a:ln>
                  <a:solidFill>
                    <a:srgbClr val="53565A"/>
                  </a:solidFill>
                </a:ln>
              </c:spPr>
            </c:marker>
            <c:bubble3D val="0"/>
            <c:extLst>
              <c:ext xmlns:c16="http://schemas.microsoft.com/office/drawing/2014/chart" uri="{C3380CC4-5D6E-409C-BE32-E72D297353CC}">
                <c16:uniqueId val="{00000025-C048-49A1-9551-ADC15C85F884}"/>
              </c:ext>
            </c:extLst>
          </c:dPt>
          <c:dPt>
            <c:idx val="45"/>
            <c:marker>
              <c:spPr>
                <a:solidFill>
                  <a:srgbClr val="BFBFBF"/>
                </a:solidFill>
                <a:ln>
                  <a:solidFill>
                    <a:srgbClr val="BFBFBF"/>
                  </a:solidFill>
                </a:ln>
              </c:spPr>
            </c:marker>
            <c:bubble3D val="0"/>
            <c:extLst>
              <c:ext xmlns:c16="http://schemas.microsoft.com/office/drawing/2014/chart" uri="{C3380CC4-5D6E-409C-BE32-E72D297353CC}">
                <c16:uniqueId val="{00000026-C048-49A1-9551-ADC15C85F884}"/>
              </c:ext>
            </c:extLst>
          </c:dPt>
          <c:dPt>
            <c:idx val="46"/>
            <c:marker>
              <c:spPr>
                <a:solidFill>
                  <a:schemeClr val="tx2"/>
                </a:solidFill>
                <a:ln>
                  <a:solidFill>
                    <a:schemeClr val="tx2"/>
                  </a:solidFill>
                </a:ln>
              </c:spPr>
            </c:marker>
            <c:bubble3D val="0"/>
            <c:extLst>
              <c:ext xmlns:c16="http://schemas.microsoft.com/office/drawing/2014/chart" uri="{C3380CC4-5D6E-409C-BE32-E72D297353CC}">
                <c16:uniqueId val="{00000027-C048-49A1-9551-ADC15C85F884}"/>
              </c:ext>
            </c:extLst>
          </c:dPt>
          <c:dPt>
            <c:idx val="47"/>
            <c:marker>
              <c:spPr>
                <a:solidFill>
                  <a:srgbClr val="53565A"/>
                </a:solidFill>
                <a:ln>
                  <a:solidFill>
                    <a:srgbClr val="53565A"/>
                  </a:solidFill>
                </a:ln>
              </c:spPr>
            </c:marker>
            <c:bubble3D val="0"/>
            <c:extLst>
              <c:ext xmlns:c16="http://schemas.microsoft.com/office/drawing/2014/chart" uri="{C3380CC4-5D6E-409C-BE32-E72D297353CC}">
                <c16:uniqueId val="{00000028-C048-49A1-9551-ADC15C85F884}"/>
              </c:ext>
            </c:extLst>
          </c:dPt>
          <c:dPt>
            <c:idx val="49"/>
            <c:marker>
              <c:spPr>
                <a:solidFill>
                  <a:srgbClr val="BFBFBF"/>
                </a:solidFill>
                <a:ln>
                  <a:solidFill>
                    <a:srgbClr val="BFBFBF"/>
                  </a:solidFill>
                </a:ln>
              </c:spPr>
            </c:marker>
            <c:bubble3D val="0"/>
            <c:extLst>
              <c:ext xmlns:c16="http://schemas.microsoft.com/office/drawing/2014/chart" uri="{C3380CC4-5D6E-409C-BE32-E72D297353CC}">
                <c16:uniqueId val="{00000029-C048-49A1-9551-ADC15C85F884}"/>
              </c:ext>
            </c:extLst>
          </c:dPt>
          <c:dPt>
            <c:idx val="50"/>
            <c:marker>
              <c:spPr>
                <a:solidFill>
                  <a:schemeClr val="tx2"/>
                </a:solidFill>
                <a:ln>
                  <a:solidFill>
                    <a:schemeClr val="tx2"/>
                  </a:solidFill>
                </a:ln>
              </c:spPr>
            </c:marker>
            <c:bubble3D val="0"/>
            <c:extLst>
              <c:ext xmlns:c16="http://schemas.microsoft.com/office/drawing/2014/chart" uri="{C3380CC4-5D6E-409C-BE32-E72D297353CC}">
                <c16:uniqueId val="{0000002A-C048-49A1-9551-ADC15C85F884}"/>
              </c:ext>
            </c:extLst>
          </c:dPt>
          <c:dPt>
            <c:idx val="51"/>
            <c:marker>
              <c:spPr>
                <a:solidFill>
                  <a:srgbClr val="53565A"/>
                </a:solidFill>
                <a:ln>
                  <a:solidFill>
                    <a:srgbClr val="53565A"/>
                  </a:solidFill>
                </a:ln>
              </c:spPr>
            </c:marker>
            <c:bubble3D val="0"/>
            <c:extLst>
              <c:ext xmlns:c16="http://schemas.microsoft.com/office/drawing/2014/chart" uri="{C3380CC4-5D6E-409C-BE32-E72D297353CC}">
                <c16:uniqueId val="{0000002B-C048-49A1-9551-ADC15C85F884}"/>
              </c:ext>
            </c:extLst>
          </c:dPt>
          <c:dPt>
            <c:idx val="53"/>
            <c:marker>
              <c:spPr>
                <a:solidFill>
                  <a:srgbClr val="BFBFBF"/>
                </a:solidFill>
                <a:ln>
                  <a:solidFill>
                    <a:srgbClr val="BFBFBF"/>
                  </a:solidFill>
                </a:ln>
              </c:spPr>
            </c:marker>
            <c:bubble3D val="0"/>
            <c:extLst>
              <c:ext xmlns:c16="http://schemas.microsoft.com/office/drawing/2014/chart" uri="{C3380CC4-5D6E-409C-BE32-E72D297353CC}">
                <c16:uniqueId val="{0000002C-C048-49A1-9551-ADC15C85F884}"/>
              </c:ext>
            </c:extLst>
          </c:dPt>
          <c:dPt>
            <c:idx val="54"/>
            <c:marker>
              <c:spPr>
                <a:solidFill>
                  <a:schemeClr val="tx2"/>
                </a:solidFill>
                <a:ln>
                  <a:solidFill>
                    <a:schemeClr val="tx2"/>
                  </a:solidFill>
                </a:ln>
              </c:spPr>
            </c:marker>
            <c:bubble3D val="0"/>
            <c:extLst>
              <c:ext xmlns:c16="http://schemas.microsoft.com/office/drawing/2014/chart" uri="{C3380CC4-5D6E-409C-BE32-E72D297353CC}">
                <c16:uniqueId val="{0000002D-C048-49A1-9551-ADC15C85F884}"/>
              </c:ext>
            </c:extLst>
          </c:dPt>
          <c:dPt>
            <c:idx val="55"/>
            <c:marker>
              <c:spPr>
                <a:solidFill>
                  <a:srgbClr val="53565A"/>
                </a:solidFill>
                <a:ln>
                  <a:solidFill>
                    <a:srgbClr val="53565A"/>
                  </a:solidFill>
                </a:ln>
              </c:spPr>
            </c:marker>
            <c:bubble3D val="0"/>
            <c:extLst>
              <c:ext xmlns:c16="http://schemas.microsoft.com/office/drawing/2014/chart" uri="{C3380CC4-5D6E-409C-BE32-E72D297353CC}">
                <c16:uniqueId val="{0000002E-C048-49A1-9551-ADC15C85F884}"/>
              </c:ext>
            </c:extLst>
          </c:dPt>
          <c:dPt>
            <c:idx val="57"/>
            <c:marker>
              <c:spPr>
                <a:solidFill>
                  <a:srgbClr val="BFBFBF"/>
                </a:solidFill>
                <a:ln>
                  <a:solidFill>
                    <a:srgbClr val="BFBFBF"/>
                  </a:solidFill>
                </a:ln>
              </c:spPr>
            </c:marker>
            <c:bubble3D val="0"/>
            <c:extLst>
              <c:ext xmlns:c16="http://schemas.microsoft.com/office/drawing/2014/chart" uri="{C3380CC4-5D6E-409C-BE32-E72D297353CC}">
                <c16:uniqueId val="{0000002F-C048-49A1-9551-ADC15C85F884}"/>
              </c:ext>
            </c:extLst>
          </c:dPt>
          <c:dPt>
            <c:idx val="58"/>
            <c:marker>
              <c:spPr>
                <a:solidFill>
                  <a:schemeClr val="tx2"/>
                </a:solidFill>
                <a:ln>
                  <a:solidFill>
                    <a:schemeClr val="tx2"/>
                  </a:solidFill>
                </a:ln>
              </c:spPr>
            </c:marker>
            <c:bubble3D val="0"/>
            <c:extLst>
              <c:ext xmlns:c16="http://schemas.microsoft.com/office/drawing/2014/chart" uri="{C3380CC4-5D6E-409C-BE32-E72D297353CC}">
                <c16:uniqueId val="{00000030-C048-49A1-9551-ADC15C85F884}"/>
              </c:ext>
            </c:extLst>
          </c:dPt>
          <c:dPt>
            <c:idx val="59"/>
            <c:marker>
              <c:spPr>
                <a:solidFill>
                  <a:srgbClr val="53565A"/>
                </a:solidFill>
                <a:ln>
                  <a:solidFill>
                    <a:srgbClr val="53565A"/>
                  </a:solidFill>
                </a:ln>
              </c:spPr>
            </c:marker>
            <c:bubble3D val="0"/>
            <c:extLst>
              <c:ext xmlns:c16="http://schemas.microsoft.com/office/drawing/2014/chart" uri="{C3380CC4-5D6E-409C-BE32-E72D297353CC}">
                <c16:uniqueId val="{00000031-C048-49A1-9551-ADC15C85F884}"/>
              </c:ext>
            </c:extLst>
          </c:dPt>
          <c:dPt>
            <c:idx val="61"/>
            <c:marker>
              <c:spPr>
                <a:solidFill>
                  <a:srgbClr val="BFBFBF"/>
                </a:solidFill>
                <a:ln>
                  <a:solidFill>
                    <a:srgbClr val="BFBFBF"/>
                  </a:solidFill>
                </a:ln>
              </c:spPr>
            </c:marker>
            <c:bubble3D val="0"/>
            <c:extLst>
              <c:ext xmlns:c16="http://schemas.microsoft.com/office/drawing/2014/chart" uri="{C3380CC4-5D6E-409C-BE32-E72D297353CC}">
                <c16:uniqueId val="{00000032-C048-49A1-9551-ADC15C85F884}"/>
              </c:ext>
            </c:extLst>
          </c:dPt>
          <c:dPt>
            <c:idx val="62"/>
            <c:marker>
              <c:spPr>
                <a:solidFill>
                  <a:schemeClr val="tx2"/>
                </a:solidFill>
                <a:ln>
                  <a:solidFill>
                    <a:schemeClr val="tx2"/>
                  </a:solidFill>
                </a:ln>
              </c:spPr>
            </c:marker>
            <c:bubble3D val="0"/>
            <c:extLst>
              <c:ext xmlns:c16="http://schemas.microsoft.com/office/drawing/2014/chart" uri="{C3380CC4-5D6E-409C-BE32-E72D297353CC}">
                <c16:uniqueId val="{00000033-C048-49A1-9551-ADC15C85F884}"/>
              </c:ext>
            </c:extLst>
          </c:dPt>
          <c:dPt>
            <c:idx val="63"/>
            <c:marker>
              <c:spPr>
                <a:solidFill>
                  <a:srgbClr val="53565A"/>
                </a:solidFill>
                <a:ln>
                  <a:solidFill>
                    <a:srgbClr val="53565A"/>
                  </a:solidFill>
                </a:ln>
              </c:spPr>
            </c:marker>
            <c:bubble3D val="0"/>
            <c:extLst>
              <c:ext xmlns:c16="http://schemas.microsoft.com/office/drawing/2014/chart" uri="{C3380CC4-5D6E-409C-BE32-E72D297353CC}">
                <c16:uniqueId val="{00000034-C048-49A1-9551-ADC15C85F884}"/>
              </c:ext>
            </c:extLst>
          </c:dPt>
          <c:dPt>
            <c:idx val="65"/>
            <c:marker>
              <c:spPr>
                <a:solidFill>
                  <a:srgbClr val="BFBFBF"/>
                </a:solidFill>
                <a:ln>
                  <a:solidFill>
                    <a:srgbClr val="BFBFBF"/>
                  </a:solidFill>
                </a:ln>
              </c:spPr>
            </c:marker>
            <c:bubble3D val="0"/>
            <c:extLst>
              <c:ext xmlns:c16="http://schemas.microsoft.com/office/drawing/2014/chart" uri="{C3380CC4-5D6E-409C-BE32-E72D297353CC}">
                <c16:uniqueId val="{00000035-C048-49A1-9551-ADC15C85F884}"/>
              </c:ext>
            </c:extLst>
          </c:dPt>
          <c:dPt>
            <c:idx val="66"/>
            <c:marker>
              <c:spPr>
                <a:solidFill>
                  <a:schemeClr val="tx2"/>
                </a:solidFill>
                <a:ln>
                  <a:solidFill>
                    <a:srgbClr val="002776"/>
                  </a:solidFill>
                </a:ln>
              </c:spPr>
            </c:marker>
            <c:bubble3D val="0"/>
            <c:extLst>
              <c:ext xmlns:c16="http://schemas.microsoft.com/office/drawing/2014/chart" uri="{C3380CC4-5D6E-409C-BE32-E72D297353CC}">
                <c16:uniqueId val="{00000036-C048-49A1-9551-ADC15C85F884}"/>
              </c:ext>
            </c:extLst>
          </c:dPt>
          <c:dPt>
            <c:idx val="67"/>
            <c:marker>
              <c:spPr>
                <a:solidFill>
                  <a:srgbClr val="53565A"/>
                </a:solidFill>
                <a:ln>
                  <a:solidFill>
                    <a:srgbClr val="53565A"/>
                  </a:solidFill>
                </a:ln>
              </c:spPr>
            </c:marker>
            <c:bubble3D val="0"/>
            <c:extLst>
              <c:ext xmlns:c16="http://schemas.microsoft.com/office/drawing/2014/chart" uri="{C3380CC4-5D6E-409C-BE32-E72D297353CC}">
                <c16:uniqueId val="{00000037-C048-49A1-9551-ADC15C85F884}"/>
              </c:ext>
            </c:extLst>
          </c:dPt>
          <c:dPt>
            <c:idx val="69"/>
            <c:marker>
              <c:spPr>
                <a:solidFill>
                  <a:srgbClr val="BFBFBF"/>
                </a:solidFill>
                <a:ln>
                  <a:solidFill>
                    <a:srgbClr val="BFBFBF"/>
                  </a:solidFill>
                </a:ln>
              </c:spPr>
            </c:marker>
            <c:bubble3D val="0"/>
            <c:extLst>
              <c:ext xmlns:c16="http://schemas.microsoft.com/office/drawing/2014/chart" uri="{C3380CC4-5D6E-409C-BE32-E72D297353CC}">
                <c16:uniqueId val="{00000038-C048-49A1-9551-ADC15C85F884}"/>
              </c:ext>
            </c:extLst>
          </c:dPt>
          <c:dPt>
            <c:idx val="70"/>
            <c:marker>
              <c:spPr>
                <a:solidFill>
                  <a:schemeClr val="tx2"/>
                </a:solidFill>
                <a:ln>
                  <a:solidFill>
                    <a:schemeClr val="tx2"/>
                  </a:solidFill>
                </a:ln>
              </c:spPr>
            </c:marker>
            <c:bubble3D val="0"/>
            <c:extLst>
              <c:ext xmlns:c16="http://schemas.microsoft.com/office/drawing/2014/chart" uri="{C3380CC4-5D6E-409C-BE32-E72D297353CC}">
                <c16:uniqueId val="{00000039-C048-49A1-9551-ADC15C85F884}"/>
              </c:ext>
            </c:extLst>
          </c:dPt>
          <c:dPt>
            <c:idx val="71"/>
            <c:marker>
              <c:spPr>
                <a:solidFill>
                  <a:srgbClr val="53565A"/>
                </a:solidFill>
                <a:ln>
                  <a:solidFill>
                    <a:srgbClr val="53565A"/>
                  </a:solidFill>
                </a:ln>
              </c:spPr>
            </c:marker>
            <c:bubble3D val="0"/>
            <c:extLst>
              <c:ext xmlns:c16="http://schemas.microsoft.com/office/drawing/2014/chart" uri="{C3380CC4-5D6E-409C-BE32-E72D297353CC}">
                <c16:uniqueId val="{0000003A-C048-49A1-9551-ADC15C85F884}"/>
              </c:ext>
            </c:extLst>
          </c:dPt>
          <c:dPt>
            <c:idx val="73"/>
            <c:marker>
              <c:spPr>
                <a:solidFill>
                  <a:srgbClr val="BFBFBF"/>
                </a:solidFill>
                <a:ln>
                  <a:solidFill>
                    <a:srgbClr val="BFBFBF"/>
                  </a:solidFill>
                </a:ln>
              </c:spPr>
            </c:marker>
            <c:bubble3D val="0"/>
            <c:extLst>
              <c:ext xmlns:c16="http://schemas.microsoft.com/office/drawing/2014/chart" uri="{C3380CC4-5D6E-409C-BE32-E72D297353CC}">
                <c16:uniqueId val="{0000003B-C048-49A1-9551-ADC15C85F884}"/>
              </c:ext>
            </c:extLst>
          </c:dPt>
          <c:dPt>
            <c:idx val="74"/>
            <c:marker>
              <c:spPr>
                <a:solidFill>
                  <a:schemeClr val="tx2"/>
                </a:solidFill>
                <a:ln>
                  <a:solidFill>
                    <a:schemeClr val="tx2"/>
                  </a:solidFill>
                </a:ln>
              </c:spPr>
            </c:marker>
            <c:bubble3D val="0"/>
            <c:extLst>
              <c:ext xmlns:c16="http://schemas.microsoft.com/office/drawing/2014/chart" uri="{C3380CC4-5D6E-409C-BE32-E72D297353CC}">
                <c16:uniqueId val="{0000003C-C048-49A1-9551-ADC15C85F884}"/>
              </c:ext>
            </c:extLst>
          </c:dPt>
          <c:dPt>
            <c:idx val="75"/>
            <c:marker>
              <c:spPr>
                <a:solidFill>
                  <a:srgbClr val="53565A"/>
                </a:solidFill>
                <a:ln>
                  <a:solidFill>
                    <a:srgbClr val="53565A"/>
                  </a:solidFill>
                </a:ln>
              </c:spPr>
            </c:marker>
            <c:bubble3D val="0"/>
            <c:extLst>
              <c:ext xmlns:c16="http://schemas.microsoft.com/office/drawing/2014/chart" uri="{C3380CC4-5D6E-409C-BE32-E72D297353CC}">
                <c16:uniqueId val="{0000003D-C048-49A1-9551-ADC15C85F884}"/>
              </c:ext>
            </c:extLst>
          </c:dPt>
          <c:dPt>
            <c:idx val="77"/>
            <c:marker>
              <c:spPr>
                <a:solidFill>
                  <a:srgbClr val="BFBFBF"/>
                </a:solidFill>
                <a:ln>
                  <a:solidFill>
                    <a:srgbClr val="BFBFBF"/>
                  </a:solidFill>
                </a:ln>
              </c:spPr>
            </c:marker>
            <c:bubble3D val="0"/>
            <c:extLst>
              <c:ext xmlns:c16="http://schemas.microsoft.com/office/drawing/2014/chart" uri="{C3380CC4-5D6E-409C-BE32-E72D297353CC}">
                <c16:uniqueId val="{0000003E-C048-49A1-9551-ADC15C85F884}"/>
              </c:ext>
            </c:extLst>
          </c:dPt>
          <c:dPt>
            <c:idx val="78"/>
            <c:marker>
              <c:spPr>
                <a:solidFill>
                  <a:schemeClr val="tx2"/>
                </a:solidFill>
                <a:ln>
                  <a:solidFill>
                    <a:schemeClr val="tx2"/>
                  </a:solidFill>
                </a:ln>
              </c:spPr>
            </c:marker>
            <c:bubble3D val="0"/>
            <c:extLst>
              <c:ext xmlns:c16="http://schemas.microsoft.com/office/drawing/2014/chart" uri="{C3380CC4-5D6E-409C-BE32-E72D297353CC}">
                <c16:uniqueId val="{0000003F-C048-49A1-9551-ADC15C85F884}"/>
              </c:ext>
            </c:extLst>
          </c:dPt>
          <c:dPt>
            <c:idx val="79"/>
            <c:marker>
              <c:spPr>
                <a:solidFill>
                  <a:srgbClr val="53565A"/>
                </a:solidFill>
                <a:ln>
                  <a:solidFill>
                    <a:srgbClr val="53565A"/>
                  </a:solidFill>
                </a:ln>
              </c:spPr>
            </c:marker>
            <c:bubble3D val="0"/>
            <c:extLst>
              <c:ext xmlns:c16="http://schemas.microsoft.com/office/drawing/2014/chart" uri="{C3380CC4-5D6E-409C-BE32-E72D297353CC}">
                <c16:uniqueId val="{00000040-C048-49A1-9551-ADC15C85F884}"/>
              </c:ext>
            </c:extLst>
          </c:dPt>
          <c:dPt>
            <c:idx val="81"/>
            <c:marker>
              <c:spPr>
                <a:solidFill>
                  <a:srgbClr val="BFBFBF"/>
                </a:solidFill>
                <a:ln>
                  <a:solidFill>
                    <a:srgbClr val="BFBFBF"/>
                  </a:solidFill>
                </a:ln>
              </c:spPr>
            </c:marker>
            <c:bubble3D val="0"/>
            <c:extLst>
              <c:ext xmlns:c16="http://schemas.microsoft.com/office/drawing/2014/chart" uri="{C3380CC4-5D6E-409C-BE32-E72D297353CC}">
                <c16:uniqueId val="{00000041-C048-49A1-9551-ADC15C85F884}"/>
              </c:ext>
            </c:extLst>
          </c:dPt>
          <c:dPt>
            <c:idx val="82"/>
            <c:marker>
              <c:spPr>
                <a:solidFill>
                  <a:schemeClr val="tx2"/>
                </a:solidFill>
                <a:ln>
                  <a:solidFill>
                    <a:srgbClr val="002776"/>
                  </a:solidFill>
                </a:ln>
              </c:spPr>
            </c:marker>
            <c:bubble3D val="0"/>
            <c:extLst>
              <c:ext xmlns:c16="http://schemas.microsoft.com/office/drawing/2014/chart" uri="{C3380CC4-5D6E-409C-BE32-E72D297353CC}">
                <c16:uniqueId val="{00000042-C048-49A1-9551-ADC15C85F884}"/>
              </c:ext>
            </c:extLst>
          </c:dPt>
          <c:dPt>
            <c:idx val="83"/>
            <c:marker>
              <c:spPr>
                <a:solidFill>
                  <a:srgbClr val="53565A"/>
                </a:solidFill>
                <a:ln>
                  <a:solidFill>
                    <a:srgbClr val="53565A"/>
                  </a:solidFill>
                </a:ln>
              </c:spPr>
            </c:marker>
            <c:bubble3D val="0"/>
            <c:extLst>
              <c:ext xmlns:c16="http://schemas.microsoft.com/office/drawing/2014/chart" uri="{C3380CC4-5D6E-409C-BE32-E72D297353CC}">
                <c16:uniqueId val="{00000043-C048-49A1-9551-ADC15C85F884}"/>
              </c:ext>
            </c:extLst>
          </c:dPt>
          <c:dPt>
            <c:idx val="85"/>
            <c:marker>
              <c:spPr>
                <a:solidFill>
                  <a:srgbClr val="BFBFBF"/>
                </a:solidFill>
                <a:ln>
                  <a:solidFill>
                    <a:srgbClr val="BFBFBF"/>
                  </a:solidFill>
                </a:ln>
              </c:spPr>
            </c:marker>
            <c:bubble3D val="0"/>
            <c:extLst>
              <c:ext xmlns:c16="http://schemas.microsoft.com/office/drawing/2014/chart" uri="{C3380CC4-5D6E-409C-BE32-E72D297353CC}">
                <c16:uniqueId val="{00000044-C048-49A1-9551-ADC15C85F884}"/>
              </c:ext>
            </c:extLst>
          </c:dPt>
          <c:dPt>
            <c:idx val="86"/>
            <c:marker>
              <c:spPr>
                <a:solidFill>
                  <a:schemeClr val="tx2"/>
                </a:solidFill>
                <a:ln>
                  <a:solidFill>
                    <a:schemeClr val="tx2"/>
                  </a:solidFill>
                </a:ln>
              </c:spPr>
            </c:marker>
            <c:bubble3D val="0"/>
            <c:extLst>
              <c:ext xmlns:c16="http://schemas.microsoft.com/office/drawing/2014/chart" uri="{C3380CC4-5D6E-409C-BE32-E72D297353CC}">
                <c16:uniqueId val="{00000045-C048-49A1-9551-ADC15C85F884}"/>
              </c:ext>
            </c:extLst>
          </c:dPt>
          <c:dPt>
            <c:idx val="87"/>
            <c:marker>
              <c:spPr>
                <a:solidFill>
                  <a:srgbClr val="53565A"/>
                </a:solidFill>
                <a:ln>
                  <a:solidFill>
                    <a:srgbClr val="53565A"/>
                  </a:solidFill>
                </a:ln>
              </c:spPr>
            </c:marker>
            <c:bubble3D val="0"/>
            <c:extLst>
              <c:ext xmlns:c16="http://schemas.microsoft.com/office/drawing/2014/chart" uri="{C3380CC4-5D6E-409C-BE32-E72D297353CC}">
                <c16:uniqueId val="{00000046-C048-49A1-9551-ADC15C85F884}"/>
              </c:ext>
            </c:extLst>
          </c:dPt>
          <c:dPt>
            <c:idx val="89"/>
            <c:marker>
              <c:spPr>
                <a:solidFill>
                  <a:srgbClr val="BFBFBF"/>
                </a:solidFill>
                <a:ln>
                  <a:solidFill>
                    <a:srgbClr val="BFBFBF"/>
                  </a:solidFill>
                </a:ln>
              </c:spPr>
            </c:marker>
            <c:bubble3D val="0"/>
            <c:extLst>
              <c:ext xmlns:c16="http://schemas.microsoft.com/office/drawing/2014/chart" uri="{C3380CC4-5D6E-409C-BE32-E72D297353CC}">
                <c16:uniqueId val="{00000047-C048-49A1-9551-ADC15C85F884}"/>
              </c:ext>
            </c:extLst>
          </c:dPt>
          <c:dPt>
            <c:idx val="90"/>
            <c:marker>
              <c:spPr>
                <a:solidFill>
                  <a:schemeClr val="tx2"/>
                </a:solidFill>
                <a:ln>
                  <a:solidFill>
                    <a:schemeClr val="tx2"/>
                  </a:solidFill>
                </a:ln>
              </c:spPr>
            </c:marker>
            <c:bubble3D val="0"/>
            <c:extLst>
              <c:ext xmlns:c16="http://schemas.microsoft.com/office/drawing/2014/chart" uri="{C3380CC4-5D6E-409C-BE32-E72D297353CC}">
                <c16:uniqueId val="{00000048-C048-49A1-9551-ADC15C85F884}"/>
              </c:ext>
            </c:extLst>
          </c:dPt>
          <c:dPt>
            <c:idx val="91"/>
            <c:marker>
              <c:spPr>
                <a:solidFill>
                  <a:srgbClr val="53565A"/>
                </a:solidFill>
                <a:ln>
                  <a:solidFill>
                    <a:srgbClr val="53565A"/>
                  </a:solidFill>
                </a:ln>
              </c:spPr>
            </c:marker>
            <c:bubble3D val="0"/>
            <c:extLst>
              <c:ext xmlns:c16="http://schemas.microsoft.com/office/drawing/2014/chart" uri="{C3380CC4-5D6E-409C-BE32-E72D297353CC}">
                <c16:uniqueId val="{00000049-C048-49A1-9551-ADC15C85F884}"/>
              </c:ext>
            </c:extLst>
          </c:dPt>
          <c:cat>
            <c:strRef>
              <c:f>'Comp to Prev_All FOEs (17-20)'!$CV$22:$GI$22</c:f>
              <c:strCache>
                <c:ptCount val="92"/>
                <c:pt idx="0">
                  <c:v>MathSci (n=25)</c:v>
                </c:pt>
                <c:pt idx="1">
                  <c:v> (n=25)</c:v>
                </c:pt>
                <c:pt idx="2">
                  <c:v> (n=25)</c:v>
                </c:pt>
                <c:pt idx="3">
                  <c:v> (n=25)</c:v>
                </c:pt>
                <c:pt idx="4">
                  <c:v>MedicalSci (n=21)</c:v>
                </c:pt>
                <c:pt idx="5">
                  <c:v> (n=22)</c:v>
                </c:pt>
                <c:pt idx="6">
                  <c:v> (n=21)</c:v>
                </c:pt>
                <c:pt idx="7">
                  <c:v> (n=21)</c:v>
                </c:pt>
                <c:pt idx="8">
                  <c:v>OthNat-PhysSci (n=25)</c:v>
                </c:pt>
                <c:pt idx="9">
                  <c:v> (n=25)</c:v>
                </c:pt>
                <c:pt idx="10">
                  <c:v> (n=25)</c:v>
                </c:pt>
                <c:pt idx="11">
                  <c:v> (n=25)</c:v>
                </c:pt>
                <c:pt idx="12">
                  <c:v>InfoTech (n=25)</c:v>
                </c:pt>
                <c:pt idx="13">
                  <c:v> (n=25)</c:v>
                </c:pt>
                <c:pt idx="14">
                  <c:v> (n=25)</c:v>
                </c:pt>
                <c:pt idx="15">
                  <c:v> (n=25)</c:v>
                </c:pt>
                <c:pt idx="16">
                  <c:v>Eng&amp;Related (n=25)</c:v>
                </c:pt>
                <c:pt idx="17">
                  <c:v> (n=25)</c:v>
                </c:pt>
                <c:pt idx="18">
                  <c:v> (n=25)</c:v>
                </c:pt>
                <c:pt idx="19">
                  <c:v> (n=25)</c:v>
                </c:pt>
                <c:pt idx="20">
                  <c:v>Archi&amp;Build (n=20)</c:v>
                </c:pt>
                <c:pt idx="21">
                  <c:v> (n=20)</c:v>
                </c:pt>
                <c:pt idx="22">
                  <c:v> (n=20)</c:v>
                </c:pt>
                <c:pt idx="23">
                  <c:v> (n=20)</c:v>
                </c:pt>
                <c:pt idx="24">
                  <c:v>Environment (n=24)</c:v>
                </c:pt>
                <c:pt idx="25">
                  <c:v> (n=25)</c:v>
                </c:pt>
                <c:pt idx="26">
                  <c:v> (n=25)</c:v>
                </c:pt>
                <c:pt idx="27">
                  <c:v> (n=25)</c:v>
                </c:pt>
                <c:pt idx="28">
                  <c:v>OthAg&amp;Enviro (n=15)</c:v>
                </c:pt>
                <c:pt idx="29">
                  <c:v> (n=15)</c:v>
                </c:pt>
                <c:pt idx="30">
                  <c:v> (n=15)</c:v>
                </c:pt>
                <c:pt idx="31">
                  <c:v> (n=14)</c:v>
                </c:pt>
                <c:pt idx="32">
                  <c:v>MedicalStudies (n=20)</c:v>
                </c:pt>
                <c:pt idx="33">
                  <c:v> (n=19)</c:v>
                </c:pt>
                <c:pt idx="34">
                  <c:v> (n=19)</c:v>
                </c:pt>
                <c:pt idx="35">
                  <c:v> (n=19)</c:v>
                </c:pt>
                <c:pt idx="36">
                  <c:v>Nursing (n=23)</c:v>
                </c:pt>
                <c:pt idx="37">
                  <c:v> (n=23)</c:v>
                </c:pt>
                <c:pt idx="38">
                  <c:v> (n=23)</c:v>
                </c:pt>
                <c:pt idx="39">
                  <c:v> (n=23)</c:v>
                </c:pt>
                <c:pt idx="40">
                  <c:v>Dental (n=8)</c:v>
                </c:pt>
                <c:pt idx="41">
                  <c:v> (n=8)</c:v>
                </c:pt>
                <c:pt idx="42">
                  <c:v> (n=8)</c:v>
                </c:pt>
                <c:pt idx="43">
                  <c:v> (n=8)</c:v>
                </c:pt>
                <c:pt idx="44">
                  <c:v>Veterinary (n=6)</c:v>
                </c:pt>
                <c:pt idx="45">
                  <c:v> (n=6)</c:v>
                </c:pt>
                <c:pt idx="46">
                  <c:v> (n=6)</c:v>
                </c:pt>
                <c:pt idx="47">
                  <c:v> (n=6)</c:v>
                </c:pt>
                <c:pt idx="48">
                  <c:v>OthHealth (n=25)</c:v>
                </c:pt>
                <c:pt idx="49">
                  <c:v> (n=25)</c:v>
                </c:pt>
                <c:pt idx="50">
                  <c:v> (n=25)</c:v>
                </c:pt>
                <c:pt idx="51">
                  <c:v> (n=25)</c:v>
                </c:pt>
                <c:pt idx="52">
                  <c:v>Education (n=25)</c:v>
                </c:pt>
                <c:pt idx="53">
                  <c:v> (n=25)</c:v>
                </c:pt>
                <c:pt idx="54">
                  <c:v> (n=25)</c:v>
                </c:pt>
                <c:pt idx="55">
                  <c:v> (n=25)</c:v>
                </c:pt>
                <c:pt idx="56">
                  <c:v>Mgmt&amp;Comm (n=25)</c:v>
                </c:pt>
                <c:pt idx="57">
                  <c:v> (n=25)</c:v>
                </c:pt>
                <c:pt idx="58">
                  <c:v> (n=25)</c:v>
                </c:pt>
                <c:pt idx="59">
                  <c:v> (n=25)</c:v>
                </c:pt>
                <c:pt idx="60">
                  <c:v>ForeignLang (n=21)</c:v>
                </c:pt>
                <c:pt idx="61">
                  <c:v> (n=20)</c:v>
                </c:pt>
                <c:pt idx="62">
                  <c:v> (n=18)</c:v>
                </c:pt>
                <c:pt idx="63">
                  <c:v> (n=18)</c:v>
                </c:pt>
                <c:pt idx="64">
                  <c:v>Psych (n=25)</c:v>
                </c:pt>
                <c:pt idx="65">
                  <c:v> (n=25)</c:v>
                </c:pt>
                <c:pt idx="66">
                  <c:v> (n=25)</c:v>
                </c:pt>
                <c:pt idx="67">
                  <c:v> (n=25)</c:v>
                </c:pt>
                <c:pt idx="68">
                  <c:v>OtherSoc&amp;Cult (n=25)</c:v>
                </c:pt>
                <c:pt idx="69">
                  <c:v> (n=25)</c:v>
                </c:pt>
                <c:pt idx="70">
                  <c:v> (n=25)</c:v>
                </c:pt>
                <c:pt idx="71">
                  <c:v> (n=25)</c:v>
                </c:pt>
                <c:pt idx="72">
                  <c:v>Comms&amp;Media (n=25)</c:v>
                </c:pt>
                <c:pt idx="73">
                  <c:v> (n=25)</c:v>
                </c:pt>
                <c:pt idx="74">
                  <c:v> (n=25)</c:v>
                </c:pt>
                <c:pt idx="75">
                  <c:v> (n=25)</c:v>
                </c:pt>
                <c:pt idx="76">
                  <c:v>OthCreative (n=25)</c:v>
                </c:pt>
                <c:pt idx="77">
                  <c:v> (n=25)</c:v>
                </c:pt>
                <c:pt idx="78">
                  <c:v> (n=25)</c:v>
                </c:pt>
                <c:pt idx="79">
                  <c:v> (n=25)</c:v>
                </c:pt>
                <c:pt idx="80">
                  <c:v>FoodHosp&amp;Person (n=4)</c:v>
                </c:pt>
                <c:pt idx="81">
                  <c:v> (n=4)</c:v>
                </c:pt>
                <c:pt idx="82">
                  <c:v> (n=2)</c:v>
                </c:pt>
                <c:pt idx="83">
                  <c:v> (n=1)</c:v>
                </c:pt>
                <c:pt idx="84">
                  <c:v>MixedField (n=2)</c:v>
                </c:pt>
                <c:pt idx="85">
                  <c:v> (n=3)</c:v>
                </c:pt>
                <c:pt idx="86">
                  <c:v> (n=3)</c:v>
                </c:pt>
                <c:pt idx="87">
                  <c:v> (n=4)</c:v>
                </c:pt>
                <c:pt idx="88">
                  <c:v>Total (n=25)</c:v>
                </c:pt>
                <c:pt idx="89">
                  <c:v> (n=25)</c:v>
                </c:pt>
                <c:pt idx="90">
                  <c:v> (n=25)</c:v>
                </c:pt>
                <c:pt idx="91">
                  <c:v> (n=25)</c:v>
                </c:pt>
              </c:strCache>
            </c:strRef>
          </c:cat>
          <c:val>
            <c:numRef>
              <c:f>'Comp to Prev_All FOEs (17-20)'!$CV$25:$GI$25</c:f>
              <c:numCache>
                <c:formatCode>"$"#,##0</c:formatCode>
                <c:ptCount val="92"/>
                <c:pt idx="0">
                  <c:v>15289.211542377085</c:v>
                </c:pt>
                <c:pt idx="1">
                  <c:v>16004.007731460173</c:v>
                </c:pt>
                <c:pt idx="2">
                  <c:v>15902.0576880632</c:v>
                </c:pt>
                <c:pt idx="3">
                  <c:v>15658.110766596421</c:v>
                </c:pt>
                <c:pt idx="4">
                  <c:v>22151.082389665036</c:v>
                </c:pt>
                <c:pt idx="5">
                  <c:v>23230.54239721366</c:v>
                </c:pt>
                <c:pt idx="6">
                  <c:v>24665.337944574374</c:v>
                </c:pt>
                <c:pt idx="7">
                  <c:v>23659.740120947561</c:v>
                </c:pt>
                <c:pt idx="8">
                  <c:v>21086.029381422286</c:v>
                </c:pt>
                <c:pt idx="9">
                  <c:v>21347.946262665588</c:v>
                </c:pt>
                <c:pt idx="10">
                  <c:v>21396.175354894629</c:v>
                </c:pt>
                <c:pt idx="11">
                  <c:v>20497.772211320826</c:v>
                </c:pt>
                <c:pt idx="12">
                  <c:v>16699.355856499489</c:v>
                </c:pt>
                <c:pt idx="13">
                  <c:v>16738.111097730562</c:v>
                </c:pt>
                <c:pt idx="14">
                  <c:v>16910.796769772664</c:v>
                </c:pt>
                <c:pt idx="15">
                  <c:v>16529.858165320085</c:v>
                </c:pt>
                <c:pt idx="16">
                  <c:v>21390.550847004844</c:v>
                </c:pt>
                <c:pt idx="17">
                  <c:v>21782.788008996773</c:v>
                </c:pt>
                <c:pt idx="18">
                  <c:v>22240.313358428379</c:v>
                </c:pt>
                <c:pt idx="19">
                  <c:v>21899.165447191579</c:v>
                </c:pt>
                <c:pt idx="20">
                  <c:v>17386.651351516517</c:v>
                </c:pt>
                <c:pt idx="21">
                  <c:v>17412.424670236094</c:v>
                </c:pt>
                <c:pt idx="22">
                  <c:v>17376.780323900639</c:v>
                </c:pt>
                <c:pt idx="23">
                  <c:v>17463.450097743258</c:v>
                </c:pt>
                <c:pt idx="24">
                  <c:v>22396.26516099189</c:v>
                </c:pt>
                <c:pt idx="25">
                  <c:v>24441.543448998385</c:v>
                </c:pt>
                <c:pt idx="26">
                  <c:v>22973.953799144874</c:v>
                </c:pt>
                <c:pt idx="27">
                  <c:v>21765.853976351504</c:v>
                </c:pt>
                <c:pt idx="28">
                  <c:v>27730.239255926073</c:v>
                </c:pt>
                <c:pt idx="29">
                  <c:v>28438.845053187073</c:v>
                </c:pt>
                <c:pt idx="30">
                  <c:v>28198.156323721138</c:v>
                </c:pt>
                <c:pt idx="31">
                  <c:v>27745.244251740409</c:v>
                </c:pt>
                <c:pt idx="32">
                  <c:v>30449.827452123212</c:v>
                </c:pt>
                <c:pt idx="33">
                  <c:v>30294.177987602547</c:v>
                </c:pt>
                <c:pt idx="34">
                  <c:v>29303.509219017273</c:v>
                </c:pt>
                <c:pt idx="35">
                  <c:v>28280.154729112746</c:v>
                </c:pt>
                <c:pt idx="36">
                  <c:v>16399.498484512304</c:v>
                </c:pt>
                <c:pt idx="37">
                  <c:v>17084.490507426537</c:v>
                </c:pt>
                <c:pt idx="38">
                  <c:v>17658.156396138245</c:v>
                </c:pt>
                <c:pt idx="39">
                  <c:v>17896.65957944953</c:v>
                </c:pt>
                <c:pt idx="40">
                  <c:v>37437.258671900767</c:v>
                </c:pt>
                <c:pt idx="41">
                  <c:v>40672.596288735207</c:v>
                </c:pt>
                <c:pt idx="42">
                  <c:v>40005.055317519276</c:v>
                </c:pt>
                <c:pt idx="43">
                  <c:v>40239.807527007637</c:v>
                </c:pt>
                <c:pt idx="44">
                  <c:v>46778.650238503338</c:v>
                </c:pt>
                <c:pt idx="45">
                  <c:v>50623.330455070209</c:v>
                </c:pt>
                <c:pt idx="46">
                  <c:v>49991.627793085187</c:v>
                </c:pt>
                <c:pt idx="47">
                  <c:v>47640.020535741642</c:v>
                </c:pt>
                <c:pt idx="48">
                  <c:v>19237.740744224888</c:v>
                </c:pt>
                <c:pt idx="49">
                  <c:v>19443.916738785771</c:v>
                </c:pt>
                <c:pt idx="50">
                  <c:v>19866.82074466865</c:v>
                </c:pt>
                <c:pt idx="51">
                  <c:v>19638.520740037038</c:v>
                </c:pt>
                <c:pt idx="52">
                  <c:v>14915.912071205466</c:v>
                </c:pt>
                <c:pt idx="53">
                  <c:v>15697.720978301119</c:v>
                </c:pt>
                <c:pt idx="54">
                  <c:v>15634.499403141852</c:v>
                </c:pt>
                <c:pt idx="55">
                  <c:v>15276.877042055798</c:v>
                </c:pt>
                <c:pt idx="56">
                  <c:v>14652.273877312175</c:v>
                </c:pt>
                <c:pt idx="57">
                  <c:v>14943.356730120257</c:v>
                </c:pt>
                <c:pt idx="58">
                  <c:v>15110.992541776279</c:v>
                </c:pt>
                <c:pt idx="59">
                  <c:v>15361.877948716101</c:v>
                </c:pt>
                <c:pt idx="60">
                  <c:v>17967.652439358339</c:v>
                </c:pt>
                <c:pt idx="61">
                  <c:v>17097.49253253411</c:v>
                </c:pt>
                <c:pt idx="62">
                  <c:v>16689.734197942711</c:v>
                </c:pt>
                <c:pt idx="63">
                  <c:v>17328.241366299771</c:v>
                </c:pt>
                <c:pt idx="64">
                  <c:v>14719.616849361131</c:v>
                </c:pt>
                <c:pt idx="65">
                  <c:v>15196.491353798152</c:v>
                </c:pt>
                <c:pt idx="66">
                  <c:v>15577.856310917823</c:v>
                </c:pt>
                <c:pt idx="67">
                  <c:v>14877.292139505033</c:v>
                </c:pt>
                <c:pt idx="68">
                  <c:v>14175.358600736981</c:v>
                </c:pt>
                <c:pt idx="69">
                  <c:v>14480.7666572126</c:v>
                </c:pt>
                <c:pt idx="70">
                  <c:v>14580.839442475832</c:v>
                </c:pt>
                <c:pt idx="71">
                  <c:v>14616.416550505293</c:v>
                </c:pt>
                <c:pt idx="72">
                  <c:v>14821.24828356716</c:v>
                </c:pt>
                <c:pt idx="73">
                  <c:v>15962.068592675141</c:v>
                </c:pt>
                <c:pt idx="74">
                  <c:v>15794.456057300366</c:v>
                </c:pt>
                <c:pt idx="75">
                  <c:v>16151.109440596387</c:v>
                </c:pt>
                <c:pt idx="76">
                  <c:v>19681.009753819559</c:v>
                </c:pt>
                <c:pt idx="77">
                  <c:v>20210.599627566655</c:v>
                </c:pt>
                <c:pt idx="78">
                  <c:v>20502.040763187677</c:v>
                </c:pt>
                <c:pt idx="79">
                  <c:v>20743.884342553032</c:v>
                </c:pt>
                <c:pt idx="80">
                  <c:v>23454.092306751892</c:v>
                </c:pt>
                <c:pt idx="81">
                  <c:v>26765.823845911855</c:v>
                </c:pt>
                <c:pt idx="82">
                  <c:v>15637.29654871759</c:v>
                </c:pt>
                <c:pt idx="83">
                  <c:v>12623.692486033304</c:v>
                </c:pt>
                <c:pt idx="84">
                  <c:v>9564.0831156173026</c:v>
                </c:pt>
                <c:pt idx="85">
                  <c:v>16776.858723189966</c:v>
                </c:pt>
                <c:pt idx="86">
                  <c:v>11187.155930196248</c:v>
                </c:pt>
                <c:pt idx="87">
                  <c:v>16384.621809372329</c:v>
                </c:pt>
                <c:pt idx="88">
                  <c:v>17322.250174496716</c:v>
                </c:pt>
                <c:pt idx="89">
                  <c:v>17749.468214274519</c:v>
                </c:pt>
                <c:pt idx="90">
                  <c:v>17883.403528020193</c:v>
                </c:pt>
                <c:pt idx="91">
                  <c:v>17728.084853065669</c:v>
                </c:pt>
              </c:numCache>
            </c:numRef>
          </c:val>
          <c:smooth val="0"/>
          <c:extLst>
            <c:ext xmlns:c16="http://schemas.microsoft.com/office/drawing/2014/chart" uri="{C3380CC4-5D6E-409C-BE32-E72D297353CC}">
              <c16:uniqueId val="{0000004A-C048-49A1-9551-ADC15C85F884}"/>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6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4"/>
        <c:noMultiLvlLbl val="0"/>
      </c:catAx>
      <c:valAx>
        <c:axId val="932351327"/>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884366390793567E-2"/>
          <c:y val="4.8006241138324732E-2"/>
          <c:w val="0.90056006494869489"/>
          <c:h val="0.72069365760898185"/>
        </c:manualLayout>
      </c:layout>
      <c:stockChart>
        <c:ser>
          <c:idx val="3"/>
          <c:order val="0"/>
          <c:tx>
            <c:strRef>
              <c:f>'Comp to Prev_All FOEs (17-20)'!$CU$30</c:f>
              <c:strCache>
                <c:ptCount val="1"/>
                <c:pt idx="0">
                  <c:v>High</c:v>
                </c:pt>
              </c:strCache>
            </c:strRef>
          </c:tx>
          <c:spPr>
            <a:ln w="28575" cap="rnd">
              <a:noFill/>
              <a:round/>
            </a:ln>
            <a:effectLst/>
          </c:spPr>
          <c:marker>
            <c:symbol val="none"/>
          </c:marker>
          <c:dPt>
            <c:idx val="81"/>
            <c:bubble3D val="0"/>
            <c:extLst>
              <c:ext xmlns:c16="http://schemas.microsoft.com/office/drawing/2014/chart" uri="{C3380CC4-5D6E-409C-BE32-E72D297353CC}">
                <c16:uniqueId val="{00000000-D018-429F-A637-182D7E151404}"/>
              </c:ext>
            </c:extLst>
          </c:dPt>
          <c:cat>
            <c:strRef>
              <c:f>'Comp to Prev_All FOEs (17-20)'!$CV$29:$GI$29</c:f>
              <c:strCache>
                <c:ptCount val="92"/>
                <c:pt idx="0">
                  <c:v>MathSci (n=20)</c:v>
                </c:pt>
                <c:pt idx="1">
                  <c:v> (n=22)</c:v>
                </c:pt>
                <c:pt idx="2">
                  <c:v> (n=21)</c:v>
                </c:pt>
                <c:pt idx="3">
                  <c:v> (n=23)</c:v>
                </c:pt>
                <c:pt idx="4">
                  <c:v>MedicalSci (n=10)</c:v>
                </c:pt>
                <c:pt idx="5">
                  <c:v> (n=9)</c:v>
                </c:pt>
                <c:pt idx="6">
                  <c:v> (n=9)</c:v>
                </c:pt>
                <c:pt idx="7">
                  <c:v> (n=9)</c:v>
                </c:pt>
                <c:pt idx="8">
                  <c:v>OthNat-PhysSci (n=22)</c:v>
                </c:pt>
                <c:pt idx="9">
                  <c:v> (n=22)</c:v>
                </c:pt>
                <c:pt idx="10">
                  <c:v> (n=22)</c:v>
                </c:pt>
                <c:pt idx="11">
                  <c:v> (n=21)</c:v>
                </c:pt>
                <c:pt idx="12">
                  <c:v>InfoTech (n=24)</c:v>
                </c:pt>
                <c:pt idx="13">
                  <c:v> (n=25)</c:v>
                </c:pt>
                <c:pt idx="14">
                  <c:v> (n=25)</c:v>
                </c:pt>
                <c:pt idx="15">
                  <c:v> (n=25)</c:v>
                </c:pt>
                <c:pt idx="16">
                  <c:v>Eng&amp;Related (n=23)</c:v>
                </c:pt>
                <c:pt idx="17">
                  <c:v> (n=23)</c:v>
                </c:pt>
                <c:pt idx="18">
                  <c:v> (n=22)</c:v>
                </c:pt>
                <c:pt idx="19">
                  <c:v> (n=23)</c:v>
                </c:pt>
                <c:pt idx="20">
                  <c:v>Archi&amp;Build (n=15)</c:v>
                </c:pt>
                <c:pt idx="21">
                  <c:v> (n=14)</c:v>
                </c:pt>
                <c:pt idx="22">
                  <c:v> (n=15)</c:v>
                </c:pt>
                <c:pt idx="23">
                  <c:v> (n=14)</c:v>
                </c:pt>
                <c:pt idx="24">
                  <c:v>Environment (n=17)</c:v>
                </c:pt>
                <c:pt idx="25">
                  <c:v> (n=18)</c:v>
                </c:pt>
                <c:pt idx="26">
                  <c:v> (n=18)</c:v>
                </c:pt>
                <c:pt idx="27">
                  <c:v> (n=20)</c:v>
                </c:pt>
                <c:pt idx="28">
                  <c:v>OthAg&amp;Enviro (n=11)</c:v>
                </c:pt>
                <c:pt idx="29">
                  <c:v> (n=11)</c:v>
                </c:pt>
                <c:pt idx="30">
                  <c:v> (n=10)</c:v>
                </c:pt>
                <c:pt idx="31">
                  <c:v> (n=11)</c:v>
                </c:pt>
                <c:pt idx="32">
                  <c:v>MedicalStudies (n=14)</c:v>
                </c:pt>
                <c:pt idx="33">
                  <c:v> (n=14)</c:v>
                </c:pt>
                <c:pt idx="34">
                  <c:v> (n=15)</c:v>
                </c:pt>
                <c:pt idx="35">
                  <c:v> (n=14)</c:v>
                </c:pt>
                <c:pt idx="36">
                  <c:v>Nursing (n=22)</c:v>
                </c:pt>
                <c:pt idx="37">
                  <c:v> (n=23)</c:v>
                </c:pt>
                <c:pt idx="38">
                  <c:v> (n=23)</c:v>
                </c:pt>
                <c:pt idx="39">
                  <c:v> (n=24)</c:v>
                </c:pt>
                <c:pt idx="40">
                  <c:v>Dental (n=7)</c:v>
                </c:pt>
                <c:pt idx="41">
                  <c:v> (n=7)</c:v>
                </c:pt>
                <c:pt idx="42">
                  <c:v> (n=6)</c:v>
                </c:pt>
                <c:pt idx="43">
                  <c:v> (n=7)</c:v>
                </c:pt>
                <c:pt idx="44">
                  <c:v>Veterinary (n=3)</c:v>
                </c:pt>
                <c:pt idx="45">
                  <c:v> (n=3)</c:v>
                </c:pt>
                <c:pt idx="46">
                  <c:v> (n=2)</c:v>
                </c:pt>
                <c:pt idx="47">
                  <c:v> (n=2)</c:v>
                </c:pt>
                <c:pt idx="48">
                  <c:v>OthHealth (n=24)</c:v>
                </c:pt>
                <c:pt idx="49">
                  <c:v> (n=25)</c:v>
                </c:pt>
                <c:pt idx="50">
                  <c:v> (n=25)</c:v>
                </c:pt>
                <c:pt idx="51">
                  <c:v> (n=25)</c:v>
                </c:pt>
                <c:pt idx="52">
                  <c:v>Education (n=24)</c:v>
                </c:pt>
                <c:pt idx="53">
                  <c:v> (n=25)</c:v>
                </c:pt>
                <c:pt idx="54">
                  <c:v> (n=25)</c:v>
                </c:pt>
                <c:pt idx="55">
                  <c:v> (n=25)</c:v>
                </c:pt>
                <c:pt idx="56">
                  <c:v>Mgmt&amp;Comm (n=24)</c:v>
                </c:pt>
                <c:pt idx="57">
                  <c:v> (n=25)</c:v>
                </c:pt>
                <c:pt idx="58">
                  <c:v> (n=25)</c:v>
                </c:pt>
                <c:pt idx="59">
                  <c:v> (n=25)</c:v>
                </c:pt>
                <c:pt idx="60">
                  <c:v>ForeignLang (n=8)</c:v>
                </c:pt>
                <c:pt idx="61">
                  <c:v> (n=8)</c:v>
                </c:pt>
                <c:pt idx="62">
                  <c:v> (n=8)</c:v>
                </c:pt>
                <c:pt idx="63">
                  <c:v> (n=7)</c:v>
                </c:pt>
                <c:pt idx="64">
                  <c:v>Psych (n=23)</c:v>
                </c:pt>
                <c:pt idx="65">
                  <c:v> (n=24)</c:v>
                </c:pt>
                <c:pt idx="66">
                  <c:v> (n=24)</c:v>
                </c:pt>
                <c:pt idx="67">
                  <c:v> (n=24)</c:v>
                </c:pt>
                <c:pt idx="68">
                  <c:v>OtherSoc&amp;Cult (n=24)</c:v>
                </c:pt>
                <c:pt idx="69">
                  <c:v> (n=25)</c:v>
                </c:pt>
                <c:pt idx="70">
                  <c:v> (n=25)</c:v>
                </c:pt>
                <c:pt idx="71">
                  <c:v> (n=25)</c:v>
                </c:pt>
                <c:pt idx="72">
                  <c:v>Comms&amp;Media (n=18)</c:v>
                </c:pt>
                <c:pt idx="73">
                  <c:v> (n=19)</c:v>
                </c:pt>
                <c:pt idx="74">
                  <c:v> (n=19)</c:v>
                </c:pt>
                <c:pt idx="75">
                  <c:v> (n=17)</c:v>
                </c:pt>
                <c:pt idx="76">
                  <c:v>OthCreative (n=14)</c:v>
                </c:pt>
                <c:pt idx="77">
                  <c:v> (n=16)</c:v>
                </c:pt>
                <c:pt idx="78">
                  <c:v> (n=12)</c:v>
                </c:pt>
                <c:pt idx="79">
                  <c:v> (n=13)</c:v>
                </c:pt>
                <c:pt idx="80">
                  <c:v>FoodHosp&amp;Person (n=1)</c:v>
                </c:pt>
                <c:pt idx="81">
                  <c:v> (n=1)</c:v>
                </c:pt>
                <c:pt idx="82">
                  <c:v> (n=0)</c:v>
                </c:pt>
                <c:pt idx="83">
                  <c:v> (n=0)</c:v>
                </c:pt>
                <c:pt idx="84">
                  <c:v>MixedField (n=2)</c:v>
                </c:pt>
                <c:pt idx="85">
                  <c:v> (n=2)</c:v>
                </c:pt>
                <c:pt idx="86">
                  <c:v> (n=3)</c:v>
                </c:pt>
                <c:pt idx="87">
                  <c:v> (n=4)</c:v>
                </c:pt>
                <c:pt idx="88">
                  <c:v>Total (n=24)</c:v>
                </c:pt>
                <c:pt idx="89">
                  <c:v> (n=25)</c:v>
                </c:pt>
                <c:pt idx="90">
                  <c:v> (n=25)</c:v>
                </c:pt>
                <c:pt idx="91">
                  <c:v> (n=25)</c:v>
                </c:pt>
              </c:strCache>
            </c:strRef>
          </c:cat>
          <c:val>
            <c:numRef>
              <c:f>'Comp to Prev_All FOEs (17-20)'!$CV$30:$GI$30</c:f>
              <c:numCache>
                <c:formatCode>"$"#,##0</c:formatCode>
                <c:ptCount val="92"/>
                <c:pt idx="0">
                  <c:v>27220.775612481273</c:v>
                </c:pt>
                <c:pt idx="1">
                  <c:v>30077.016848949374</c:v>
                </c:pt>
                <c:pt idx="2">
                  <c:v>30056.051782551825</c:v>
                </c:pt>
                <c:pt idx="3">
                  <c:v>38971.750368267552</c:v>
                </c:pt>
                <c:pt idx="4">
                  <c:v>34527.688758477569</c:v>
                </c:pt>
                <c:pt idx="5">
                  <c:v>34160.572492427993</c:v>
                </c:pt>
                <c:pt idx="6">
                  <c:v>46826.597031659265</c:v>
                </c:pt>
                <c:pt idx="7">
                  <c:v>71510.261765981413</c:v>
                </c:pt>
                <c:pt idx="8">
                  <c:v>70515.999219244331</c:v>
                </c:pt>
                <c:pt idx="9">
                  <c:v>95162.539032098401</c:v>
                </c:pt>
                <c:pt idx="10">
                  <c:v>54671.086593879438</c:v>
                </c:pt>
                <c:pt idx="11">
                  <c:v>54728.195252568694</c:v>
                </c:pt>
                <c:pt idx="12">
                  <c:v>44441.71219626371</c:v>
                </c:pt>
                <c:pt idx="13">
                  <c:v>27518.367619411561</c:v>
                </c:pt>
                <c:pt idx="14">
                  <c:v>28848.319960299661</c:v>
                </c:pt>
                <c:pt idx="15">
                  <c:v>33177.993545770274</c:v>
                </c:pt>
                <c:pt idx="16">
                  <c:v>44941.444255061957</c:v>
                </c:pt>
                <c:pt idx="17">
                  <c:v>60755.292526708748</c:v>
                </c:pt>
                <c:pt idx="18">
                  <c:v>44873.200128105069</c:v>
                </c:pt>
                <c:pt idx="19">
                  <c:v>43874.905804791968</c:v>
                </c:pt>
                <c:pt idx="20">
                  <c:v>28123.953189991058</c:v>
                </c:pt>
                <c:pt idx="21">
                  <c:v>27475.80867310975</c:v>
                </c:pt>
                <c:pt idx="22">
                  <c:v>34303.99951860377</c:v>
                </c:pt>
                <c:pt idx="23">
                  <c:v>26577.934665126089</c:v>
                </c:pt>
                <c:pt idx="24">
                  <c:v>86533.265709253887</c:v>
                </c:pt>
                <c:pt idx="25">
                  <c:v>87346.033385497329</c:v>
                </c:pt>
                <c:pt idx="26">
                  <c:v>65927.415058823535</c:v>
                </c:pt>
                <c:pt idx="27">
                  <c:v>60493.906829268286</c:v>
                </c:pt>
                <c:pt idx="28">
                  <c:v>55897.919310478632</c:v>
                </c:pt>
                <c:pt idx="29">
                  <c:v>72583.722360278218</c:v>
                </c:pt>
                <c:pt idx="30">
                  <c:v>70147.927555786315</c:v>
                </c:pt>
                <c:pt idx="31">
                  <c:v>77161.83366565613</c:v>
                </c:pt>
                <c:pt idx="32">
                  <c:v>45742.486906386075</c:v>
                </c:pt>
                <c:pt idx="33">
                  <c:v>51056.717810619179</c:v>
                </c:pt>
                <c:pt idx="34">
                  <c:v>44546.816961352619</c:v>
                </c:pt>
                <c:pt idx="35">
                  <c:v>53672.733283714944</c:v>
                </c:pt>
                <c:pt idx="36">
                  <c:v>47819.246719350595</c:v>
                </c:pt>
                <c:pt idx="37">
                  <c:v>44633.828481965233</c:v>
                </c:pt>
                <c:pt idx="38">
                  <c:v>36752.742784658214</c:v>
                </c:pt>
                <c:pt idx="39">
                  <c:v>91891.070152403467</c:v>
                </c:pt>
                <c:pt idx="40">
                  <c:v>56750.760214955051</c:v>
                </c:pt>
                <c:pt idx="41">
                  <c:v>74676.814814814803</c:v>
                </c:pt>
                <c:pt idx="42">
                  <c:v>93152.777777777781</c:v>
                </c:pt>
                <c:pt idx="43">
                  <c:v>63832.595041322311</c:v>
                </c:pt>
                <c:pt idx="44">
                  <c:v>121926.13048418897</c:v>
                </c:pt>
                <c:pt idx="45">
                  <c:v>64802.035391180652</c:v>
                </c:pt>
                <c:pt idx="46">
                  <c:v>70662.345624372916</c:v>
                </c:pt>
                <c:pt idx="47">
                  <c:v>70383.964584545829</c:v>
                </c:pt>
                <c:pt idx="48">
                  <c:v>38085.306086377801</c:v>
                </c:pt>
                <c:pt idx="49">
                  <c:v>38479.630983904251</c:v>
                </c:pt>
                <c:pt idx="50">
                  <c:v>45152.638443834461</c:v>
                </c:pt>
                <c:pt idx="51">
                  <c:v>45404.643483879416</c:v>
                </c:pt>
                <c:pt idx="52">
                  <c:v>27209.485920488289</c:v>
                </c:pt>
                <c:pt idx="53">
                  <c:v>22782.081690317031</c:v>
                </c:pt>
                <c:pt idx="54">
                  <c:v>29209.654788690023</c:v>
                </c:pt>
                <c:pt idx="55">
                  <c:v>29889.101553952292</c:v>
                </c:pt>
                <c:pt idx="56">
                  <c:v>49672.862415796299</c:v>
                </c:pt>
                <c:pt idx="57">
                  <c:v>27358.071583041994</c:v>
                </c:pt>
                <c:pt idx="58">
                  <c:v>28660.426056222444</c:v>
                </c:pt>
                <c:pt idx="59">
                  <c:v>27327.28148153815</c:v>
                </c:pt>
                <c:pt idx="60">
                  <c:v>41859.202442899623</c:v>
                </c:pt>
                <c:pt idx="61">
                  <c:v>51547.284218749781</c:v>
                </c:pt>
                <c:pt idx="62">
                  <c:v>35192.435078291601</c:v>
                </c:pt>
                <c:pt idx="63">
                  <c:v>38818.312242602085</c:v>
                </c:pt>
                <c:pt idx="64">
                  <c:v>50163.558103998301</c:v>
                </c:pt>
                <c:pt idx="65">
                  <c:v>51017.446512770359</c:v>
                </c:pt>
                <c:pt idx="66">
                  <c:v>58923.215506299559</c:v>
                </c:pt>
                <c:pt idx="67">
                  <c:v>66769.436101229119</c:v>
                </c:pt>
                <c:pt idx="68">
                  <c:v>26005.399900967674</c:v>
                </c:pt>
                <c:pt idx="69">
                  <c:v>28005.316061809623</c:v>
                </c:pt>
                <c:pt idx="70">
                  <c:v>32146.937323265778</c:v>
                </c:pt>
                <c:pt idx="71">
                  <c:v>24559.819214842162</c:v>
                </c:pt>
                <c:pt idx="72">
                  <c:v>25245.455692337597</c:v>
                </c:pt>
                <c:pt idx="73">
                  <c:v>26375.133400555878</c:v>
                </c:pt>
                <c:pt idx="74">
                  <c:v>26895.842579945765</c:v>
                </c:pt>
                <c:pt idx="75">
                  <c:v>26815.434524197059</c:v>
                </c:pt>
                <c:pt idx="76">
                  <c:v>40472.564995900655</c:v>
                </c:pt>
                <c:pt idx="77">
                  <c:v>43232.153436942281</c:v>
                </c:pt>
                <c:pt idx="78">
                  <c:v>32080.164069282695</c:v>
                </c:pt>
                <c:pt idx="79">
                  <c:v>35336.909197166278</c:v>
                </c:pt>
                <c:pt idx="80">
                  <c:v>17197.49365608512</c:v>
                </c:pt>
                <c:pt idx="81">
                  <c:v>30480.522028614407</c:v>
                </c:pt>
                <c:pt idx="82">
                  <c:v>#N/A</c:v>
                </c:pt>
                <c:pt idx="83">
                  <c:v>#N/A</c:v>
                </c:pt>
                <c:pt idx="84">
                  <c:v>50381.712928409717</c:v>
                </c:pt>
                <c:pt idx="85">
                  <c:v>25881.821976456642</c:v>
                </c:pt>
                <c:pt idx="86">
                  <c:v>29683.025249396138</c:v>
                </c:pt>
                <c:pt idx="87">
                  <c:v>43249.031066379102</c:v>
                </c:pt>
                <c:pt idx="88">
                  <c:v>37732.012427608875</c:v>
                </c:pt>
                <c:pt idx="89">
                  <c:v>28109.144786763925</c:v>
                </c:pt>
                <c:pt idx="90">
                  <c:v>28336.849176028067</c:v>
                </c:pt>
                <c:pt idx="91">
                  <c:v>28804.383114121469</c:v>
                </c:pt>
              </c:numCache>
            </c:numRef>
          </c:val>
          <c:smooth val="0"/>
          <c:extLst>
            <c:ext xmlns:c16="http://schemas.microsoft.com/office/drawing/2014/chart" uri="{C3380CC4-5D6E-409C-BE32-E72D297353CC}">
              <c16:uniqueId val="{00000001-D018-429F-A637-182D7E151404}"/>
            </c:ext>
          </c:extLst>
        </c:ser>
        <c:ser>
          <c:idx val="4"/>
          <c:order val="1"/>
          <c:tx>
            <c:strRef>
              <c:f>'Comp to Prev_All FOEs (17-20)'!$CU$31</c:f>
              <c:strCache>
                <c:ptCount val="1"/>
                <c:pt idx="0">
                  <c:v>Low</c:v>
                </c:pt>
              </c:strCache>
            </c:strRef>
          </c:tx>
          <c:spPr>
            <a:ln w="28575" cap="rnd">
              <a:noFill/>
              <a:round/>
            </a:ln>
            <a:effectLst/>
          </c:spPr>
          <c:marker>
            <c:symbol val="none"/>
          </c:marker>
          <c:dPt>
            <c:idx val="45"/>
            <c:bubble3D val="0"/>
            <c:extLst>
              <c:ext xmlns:c16="http://schemas.microsoft.com/office/drawing/2014/chart" uri="{C3380CC4-5D6E-409C-BE32-E72D297353CC}">
                <c16:uniqueId val="{00000002-D018-429F-A637-182D7E151404}"/>
              </c:ext>
            </c:extLst>
          </c:dPt>
          <c:cat>
            <c:strRef>
              <c:f>'Comp to Prev_All FOEs (17-20)'!$CV$29:$GI$29</c:f>
              <c:strCache>
                <c:ptCount val="92"/>
                <c:pt idx="0">
                  <c:v>MathSci (n=20)</c:v>
                </c:pt>
                <c:pt idx="1">
                  <c:v> (n=22)</c:v>
                </c:pt>
                <c:pt idx="2">
                  <c:v> (n=21)</c:v>
                </c:pt>
                <c:pt idx="3">
                  <c:v> (n=23)</c:v>
                </c:pt>
                <c:pt idx="4">
                  <c:v>MedicalSci (n=10)</c:v>
                </c:pt>
                <c:pt idx="5">
                  <c:v> (n=9)</c:v>
                </c:pt>
                <c:pt idx="6">
                  <c:v> (n=9)</c:v>
                </c:pt>
                <c:pt idx="7">
                  <c:v> (n=9)</c:v>
                </c:pt>
                <c:pt idx="8">
                  <c:v>OthNat-PhysSci (n=22)</c:v>
                </c:pt>
                <c:pt idx="9">
                  <c:v> (n=22)</c:v>
                </c:pt>
                <c:pt idx="10">
                  <c:v> (n=22)</c:v>
                </c:pt>
                <c:pt idx="11">
                  <c:v> (n=21)</c:v>
                </c:pt>
                <c:pt idx="12">
                  <c:v>InfoTech (n=24)</c:v>
                </c:pt>
                <c:pt idx="13">
                  <c:v> (n=25)</c:v>
                </c:pt>
                <c:pt idx="14">
                  <c:v> (n=25)</c:v>
                </c:pt>
                <c:pt idx="15">
                  <c:v> (n=25)</c:v>
                </c:pt>
                <c:pt idx="16">
                  <c:v>Eng&amp;Related (n=23)</c:v>
                </c:pt>
                <c:pt idx="17">
                  <c:v> (n=23)</c:v>
                </c:pt>
                <c:pt idx="18">
                  <c:v> (n=22)</c:v>
                </c:pt>
                <c:pt idx="19">
                  <c:v> (n=23)</c:v>
                </c:pt>
                <c:pt idx="20">
                  <c:v>Archi&amp;Build (n=15)</c:v>
                </c:pt>
                <c:pt idx="21">
                  <c:v> (n=14)</c:v>
                </c:pt>
                <c:pt idx="22">
                  <c:v> (n=15)</c:v>
                </c:pt>
                <c:pt idx="23">
                  <c:v> (n=14)</c:v>
                </c:pt>
                <c:pt idx="24">
                  <c:v>Environment (n=17)</c:v>
                </c:pt>
                <c:pt idx="25">
                  <c:v> (n=18)</c:v>
                </c:pt>
                <c:pt idx="26">
                  <c:v> (n=18)</c:v>
                </c:pt>
                <c:pt idx="27">
                  <c:v> (n=20)</c:v>
                </c:pt>
                <c:pt idx="28">
                  <c:v>OthAg&amp;Enviro (n=11)</c:v>
                </c:pt>
                <c:pt idx="29">
                  <c:v> (n=11)</c:v>
                </c:pt>
                <c:pt idx="30">
                  <c:v> (n=10)</c:v>
                </c:pt>
                <c:pt idx="31">
                  <c:v> (n=11)</c:v>
                </c:pt>
                <c:pt idx="32">
                  <c:v>MedicalStudies (n=14)</c:v>
                </c:pt>
                <c:pt idx="33">
                  <c:v> (n=14)</c:v>
                </c:pt>
                <c:pt idx="34">
                  <c:v> (n=15)</c:v>
                </c:pt>
                <c:pt idx="35">
                  <c:v> (n=14)</c:v>
                </c:pt>
                <c:pt idx="36">
                  <c:v>Nursing (n=22)</c:v>
                </c:pt>
                <c:pt idx="37">
                  <c:v> (n=23)</c:v>
                </c:pt>
                <c:pt idx="38">
                  <c:v> (n=23)</c:v>
                </c:pt>
                <c:pt idx="39">
                  <c:v> (n=24)</c:v>
                </c:pt>
                <c:pt idx="40">
                  <c:v>Dental (n=7)</c:v>
                </c:pt>
                <c:pt idx="41">
                  <c:v> (n=7)</c:v>
                </c:pt>
                <c:pt idx="42">
                  <c:v> (n=6)</c:v>
                </c:pt>
                <c:pt idx="43">
                  <c:v> (n=7)</c:v>
                </c:pt>
                <c:pt idx="44">
                  <c:v>Veterinary (n=3)</c:v>
                </c:pt>
                <c:pt idx="45">
                  <c:v> (n=3)</c:v>
                </c:pt>
                <c:pt idx="46">
                  <c:v> (n=2)</c:v>
                </c:pt>
                <c:pt idx="47">
                  <c:v> (n=2)</c:v>
                </c:pt>
                <c:pt idx="48">
                  <c:v>OthHealth (n=24)</c:v>
                </c:pt>
                <c:pt idx="49">
                  <c:v> (n=25)</c:v>
                </c:pt>
                <c:pt idx="50">
                  <c:v> (n=25)</c:v>
                </c:pt>
                <c:pt idx="51">
                  <c:v> (n=25)</c:v>
                </c:pt>
                <c:pt idx="52">
                  <c:v>Education (n=24)</c:v>
                </c:pt>
                <c:pt idx="53">
                  <c:v> (n=25)</c:v>
                </c:pt>
                <c:pt idx="54">
                  <c:v> (n=25)</c:v>
                </c:pt>
                <c:pt idx="55">
                  <c:v> (n=25)</c:v>
                </c:pt>
                <c:pt idx="56">
                  <c:v>Mgmt&amp;Comm (n=24)</c:v>
                </c:pt>
                <c:pt idx="57">
                  <c:v> (n=25)</c:v>
                </c:pt>
                <c:pt idx="58">
                  <c:v> (n=25)</c:v>
                </c:pt>
                <c:pt idx="59">
                  <c:v> (n=25)</c:v>
                </c:pt>
                <c:pt idx="60">
                  <c:v>ForeignLang (n=8)</c:v>
                </c:pt>
                <c:pt idx="61">
                  <c:v> (n=8)</c:v>
                </c:pt>
                <c:pt idx="62">
                  <c:v> (n=8)</c:v>
                </c:pt>
                <c:pt idx="63">
                  <c:v> (n=7)</c:v>
                </c:pt>
                <c:pt idx="64">
                  <c:v>Psych (n=23)</c:v>
                </c:pt>
                <c:pt idx="65">
                  <c:v> (n=24)</c:v>
                </c:pt>
                <c:pt idx="66">
                  <c:v> (n=24)</c:v>
                </c:pt>
                <c:pt idx="67">
                  <c:v> (n=24)</c:v>
                </c:pt>
                <c:pt idx="68">
                  <c:v>OtherSoc&amp;Cult (n=24)</c:v>
                </c:pt>
                <c:pt idx="69">
                  <c:v> (n=25)</c:v>
                </c:pt>
                <c:pt idx="70">
                  <c:v> (n=25)</c:v>
                </c:pt>
                <c:pt idx="71">
                  <c:v> (n=25)</c:v>
                </c:pt>
                <c:pt idx="72">
                  <c:v>Comms&amp;Media (n=18)</c:v>
                </c:pt>
                <c:pt idx="73">
                  <c:v> (n=19)</c:v>
                </c:pt>
                <c:pt idx="74">
                  <c:v> (n=19)</c:v>
                </c:pt>
                <c:pt idx="75">
                  <c:v> (n=17)</c:v>
                </c:pt>
                <c:pt idx="76">
                  <c:v>OthCreative (n=14)</c:v>
                </c:pt>
                <c:pt idx="77">
                  <c:v> (n=16)</c:v>
                </c:pt>
                <c:pt idx="78">
                  <c:v> (n=12)</c:v>
                </c:pt>
                <c:pt idx="79">
                  <c:v> (n=13)</c:v>
                </c:pt>
                <c:pt idx="80">
                  <c:v>FoodHosp&amp;Person (n=1)</c:v>
                </c:pt>
                <c:pt idx="81">
                  <c:v> (n=1)</c:v>
                </c:pt>
                <c:pt idx="82">
                  <c:v> (n=0)</c:v>
                </c:pt>
                <c:pt idx="83">
                  <c:v> (n=0)</c:v>
                </c:pt>
                <c:pt idx="84">
                  <c:v>MixedField (n=2)</c:v>
                </c:pt>
                <c:pt idx="85">
                  <c:v> (n=2)</c:v>
                </c:pt>
                <c:pt idx="86">
                  <c:v> (n=3)</c:v>
                </c:pt>
                <c:pt idx="87">
                  <c:v> (n=4)</c:v>
                </c:pt>
                <c:pt idx="88">
                  <c:v>Total (n=24)</c:v>
                </c:pt>
                <c:pt idx="89">
                  <c:v> (n=25)</c:v>
                </c:pt>
                <c:pt idx="90">
                  <c:v> (n=25)</c:v>
                </c:pt>
                <c:pt idx="91">
                  <c:v> (n=25)</c:v>
                </c:pt>
              </c:strCache>
            </c:strRef>
          </c:cat>
          <c:val>
            <c:numRef>
              <c:f>'Comp to Prev_All FOEs (17-20)'!$CV$31:$GI$31</c:f>
              <c:numCache>
                <c:formatCode>"$"#,##0</c:formatCode>
                <c:ptCount val="92"/>
                <c:pt idx="0">
                  <c:v>12642.843288868093</c:v>
                </c:pt>
                <c:pt idx="1">
                  <c:v>14249.243219287562</c:v>
                </c:pt>
                <c:pt idx="2">
                  <c:v>12809.058910542526</c:v>
                </c:pt>
                <c:pt idx="3">
                  <c:v>14125.045829999908</c:v>
                </c:pt>
                <c:pt idx="4">
                  <c:v>15729.8613781899</c:v>
                </c:pt>
                <c:pt idx="5">
                  <c:v>17460.772116961372</c:v>
                </c:pt>
                <c:pt idx="6">
                  <c:v>21218.974136283177</c:v>
                </c:pt>
                <c:pt idx="7">
                  <c:v>19093.130204647689</c:v>
                </c:pt>
                <c:pt idx="8">
                  <c:v>15648.137347077303</c:v>
                </c:pt>
                <c:pt idx="9">
                  <c:v>15343.604768145236</c:v>
                </c:pt>
                <c:pt idx="10">
                  <c:v>14352.755636334676</c:v>
                </c:pt>
                <c:pt idx="11">
                  <c:v>14294.929257028109</c:v>
                </c:pt>
                <c:pt idx="12">
                  <c:v>4463.770177892251</c:v>
                </c:pt>
                <c:pt idx="13">
                  <c:v>3375.4369024478169</c:v>
                </c:pt>
                <c:pt idx="14">
                  <c:v>4633.4913560596096</c:v>
                </c:pt>
                <c:pt idx="15">
                  <c:v>5363.3552635461865</c:v>
                </c:pt>
                <c:pt idx="16">
                  <c:v>10684.217908687267</c:v>
                </c:pt>
                <c:pt idx="17">
                  <c:v>15725.502970392197</c:v>
                </c:pt>
                <c:pt idx="18">
                  <c:v>17742.337517389427</c:v>
                </c:pt>
                <c:pt idx="19">
                  <c:v>16007.956913428334</c:v>
                </c:pt>
                <c:pt idx="20">
                  <c:v>15439.581472506783</c:v>
                </c:pt>
                <c:pt idx="21">
                  <c:v>15060.299875494504</c:v>
                </c:pt>
                <c:pt idx="22">
                  <c:v>15681.150620546599</c:v>
                </c:pt>
                <c:pt idx="23">
                  <c:v>15794.121180805483</c:v>
                </c:pt>
                <c:pt idx="24">
                  <c:v>19084.716407152755</c:v>
                </c:pt>
                <c:pt idx="25">
                  <c:v>15567.310559006211</c:v>
                </c:pt>
                <c:pt idx="26">
                  <c:v>17126.773519163762</c:v>
                </c:pt>
                <c:pt idx="27">
                  <c:v>15097.694567183395</c:v>
                </c:pt>
                <c:pt idx="28">
                  <c:v>29473.893569356562</c:v>
                </c:pt>
                <c:pt idx="29">
                  <c:v>25631.560144253152</c:v>
                </c:pt>
                <c:pt idx="30">
                  <c:v>28601.672917855969</c:v>
                </c:pt>
                <c:pt idx="31">
                  <c:v>26262.081922148423</c:v>
                </c:pt>
                <c:pt idx="32">
                  <c:v>19935.872102297966</c:v>
                </c:pt>
                <c:pt idx="33">
                  <c:v>19333.833476224903</c:v>
                </c:pt>
                <c:pt idx="34">
                  <c:v>20824.115844837852</c:v>
                </c:pt>
                <c:pt idx="35">
                  <c:v>19497.445522577164</c:v>
                </c:pt>
                <c:pt idx="36">
                  <c:v>12860.387388509465</c:v>
                </c:pt>
                <c:pt idx="37">
                  <c:v>13623.969656293006</c:v>
                </c:pt>
                <c:pt idx="38">
                  <c:v>13864.666625295347</c:v>
                </c:pt>
                <c:pt idx="39">
                  <c:v>15110.937815164922</c:v>
                </c:pt>
                <c:pt idx="40">
                  <c:v>23351.848767212523</c:v>
                </c:pt>
                <c:pt idx="41">
                  <c:v>21855.900073105531</c:v>
                </c:pt>
                <c:pt idx="42">
                  <c:v>44271.112395342425</c:v>
                </c:pt>
                <c:pt idx="43">
                  <c:v>11494.038265699932</c:v>
                </c:pt>
                <c:pt idx="44">
                  <c:v>69749.28501311921</c:v>
                </c:pt>
                <c:pt idx="45">
                  <c:v>30325.294137509056</c:v>
                </c:pt>
                <c:pt idx="46">
                  <c:v>56634.297540807929</c:v>
                </c:pt>
                <c:pt idx="47">
                  <c:v>50432.002092864401</c:v>
                </c:pt>
                <c:pt idx="48">
                  <c:v>12436.220094258382</c:v>
                </c:pt>
                <c:pt idx="49">
                  <c:v>15282.659168518097</c:v>
                </c:pt>
                <c:pt idx="50">
                  <c:v>12207.705722729113</c:v>
                </c:pt>
                <c:pt idx="51">
                  <c:v>12583.444997174907</c:v>
                </c:pt>
                <c:pt idx="52">
                  <c:v>10498.738408856871</c:v>
                </c:pt>
                <c:pt idx="53">
                  <c:v>13354.214174624503</c:v>
                </c:pt>
                <c:pt idx="54">
                  <c:v>14156.220349408592</c:v>
                </c:pt>
                <c:pt idx="55">
                  <c:v>13391.80091802547</c:v>
                </c:pt>
                <c:pt idx="56">
                  <c:v>10195.113890375369</c:v>
                </c:pt>
                <c:pt idx="57">
                  <c:v>9155.9698755967602</c:v>
                </c:pt>
                <c:pt idx="58">
                  <c:v>10188.876142737015</c:v>
                </c:pt>
                <c:pt idx="59">
                  <c:v>13528.905725239485</c:v>
                </c:pt>
                <c:pt idx="60">
                  <c:v>14627.414368319</c:v>
                </c:pt>
                <c:pt idx="61">
                  <c:v>17372.655903754883</c:v>
                </c:pt>
                <c:pt idx="62">
                  <c:v>15341.963988218828</c:v>
                </c:pt>
                <c:pt idx="63">
                  <c:v>7797.4996205188418</c:v>
                </c:pt>
                <c:pt idx="64">
                  <c:v>10571.027113626013</c:v>
                </c:pt>
                <c:pt idx="65">
                  <c:v>12286.941883989832</c:v>
                </c:pt>
                <c:pt idx="66">
                  <c:v>13393.115491067956</c:v>
                </c:pt>
                <c:pt idx="67">
                  <c:v>12241.52270364821</c:v>
                </c:pt>
                <c:pt idx="68">
                  <c:v>13074.883970026454</c:v>
                </c:pt>
                <c:pt idx="69">
                  <c:v>14094.679458284771</c:v>
                </c:pt>
                <c:pt idx="70">
                  <c:v>14003.378095127324</c:v>
                </c:pt>
                <c:pt idx="71">
                  <c:v>15139.782716203097</c:v>
                </c:pt>
                <c:pt idx="72">
                  <c:v>11001.738422928855</c:v>
                </c:pt>
                <c:pt idx="73">
                  <c:v>13338.433913054847</c:v>
                </c:pt>
                <c:pt idx="74">
                  <c:v>11942.608353110316</c:v>
                </c:pt>
                <c:pt idx="75">
                  <c:v>12992.247563772182</c:v>
                </c:pt>
                <c:pt idx="76">
                  <c:v>12382.437867202327</c:v>
                </c:pt>
                <c:pt idx="77">
                  <c:v>14220.390490592976</c:v>
                </c:pt>
                <c:pt idx="78">
                  <c:v>16156.849827710832</c:v>
                </c:pt>
                <c:pt idx="79">
                  <c:v>17069.300659425604</c:v>
                </c:pt>
                <c:pt idx="80">
                  <c:v>17197.49365608512</c:v>
                </c:pt>
                <c:pt idx="81">
                  <c:v>30480.522028614407</c:v>
                </c:pt>
                <c:pt idx="82">
                  <c:v>#N/A</c:v>
                </c:pt>
                <c:pt idx="83">
                  <c:v>#N/A</c:v>
                </c:pt>
                <c:pt idx="84">
                  <c:v>50238.241540331714</c:v>
                </c:pt>
                <c:pt idx="85">
                  <c:v>20882.469640997337</c:v>
                </c:pt>
                <c:pt idx="86">
                  <c:v>22291.583965101414</c:v>
                </c:pt>
                <c:pt idx="87">
                  <c:v>14651.66715199618</c:v>
                </c:pt>
                <c:pt idx="88">
                  <c:v>10854.909913688329</c:v>
                </c:pt>
                <c:pt idx="89">
                  <c:v>11082.968047814051</c:v>
                </c:pt>
                <c:pt idx="90">
                  <c:v>12068.482955244708</c:v>
                </c:pt>
                <c:pt idx="91">
                  <c:v>13913.488624280824</c:v>
                </c:pt>
              </c:numCache>
            </c:numRef>
          </c:val>
          <c:smooth val="0"/>
          <c:extLst>
            <c:ext xmlns:c16="http://schemas.microsoft.com/office/drawing/2014/chart" uri="{C3380CC4-5D6E-409C-BE32-E72D297353CC}">
              <c16:uniqueId val="{00000003-D018-429F-A637-182D7E151404}"/>
            </c:ext>
          </c:extLst>
        </c:ser>
        <c:ser>
          <c:idx val="5"/>
          <c:order val="2"/>
          <c:tx>
            <c:strRef>
              <c:f>'Comp to Prev_All FOEs (17-20)'!$CU$32</c:f>
              <c:strCache>
                <c:ptCount val="1"/>
                <c:pt idx="0">
                  <c:v>Mean</c:v>
                </c:pt>
              </c:strCache>
            </c:strRef>
          </c:tx>
          <c:spPr>
            <a:ln w="28575" cap="rnd">
              <a:noFill/>
              <a:round/>
            </a:ln>
            <a:effectLst/>
          </c:spPr>
          <c:marker>
            <c:symbol val="diamond"/>
            <c:size val="7"/>
            <c:spPr>
              <a:solidFill>
                <a:srgbClr val="00ABAB"/>
              </a:solidFill>
              <a:ln>
                <a:solidFill>
                  <a:srgbClr val="00ABAB"/>
                </a:solidFill>
              </a:ln>
            </c:spPr>
          </c:marker>
          <c:dPt>
            <c:idx val="1"/>
            <c:marker>
              <c:spPr>
                <a:solidFill>
                  <a:srgbClr val="BFBFBF"/>
                </a:solidFill>
                <a:ln>
                  <a:solidFill>
                    <a:srgbClr val="BFBFBF"/>
                  </a:solidFill>
                </a:ln>
              </c:spPr>
            </c:marker>
            <c:bubble3D val="0"/>
            <c:extLst>
              <c:ext xmlns:c16="http://schemas.microsoft.com/office/drawing/2014/chart" uri="{C3380CC4-5D6E-409C-BE32-E72D297353CC}">
                <c16:uniqueId val="{00000004-D018-429F-A637-182D7E151404}"/>
              </c:ext>
            </c:extLst>
          </c:dPt>
          <c:dPt>
            <c:idx val="2"/>
            <c:marker>
              <c:spPr>
                <a:solidFill>
                  <a:schemeClr val="tx2"/>
                </a:solidFill>
                <a:ln>
                  <a:solidFill>
                    <a:schemeClr val="tx2"/>
                  </a:solidFill>
                </a:ln>
              </c:spPr>
            </c:marker>
            <c:bubble3D val="0"/>
            <c:extLst>
              <c:ext xmlns:c16="http://schemas.microsoft.com/office/drawing/2014/chart" uri="{C3380CC4-5D6E-409C-BE32-E72D297353CC}">
                <c16:uniqueId val="{00000005-D018-429F-A637-182D7E151404}"/>
              </c:ext>
            </c:extLst>
          </c:dPt>
          <c:dPt>
            <c:idx val="3"/>
            <c:marker>
              <c:spPr>
                <a:solidFill>
                  <a:srgbClr val="53565A"/>
                </a:solidFill>
                <a:ln>
                  <a:solidFill>
                    <a:srgbClr val="53565A"/>
                  </a:solidFill>
                </a:ln>
              </c:spPr>
            </c:marker>
            <c:bubble3D val="0"/>
            <c:extLst>
              <c:ext xmlns:c16="http://schemas.microsoft.com/office/drawing/2014/chart" uri="{C3380CC4-5D6E-409C-BE32-E72D297353CC}">
                <c16:uniqueId val="{00000006-D018-429F-A637-182D7E151404}"/>
              </c:ext>
            </c:extLst>
          </c:dPt>
          <c:dPt>
            <c:idx val="5"/>
            <c:marker>
              <c:spPr>
                <a:solidFill>
                  <a:srgbClr val="BFBFBF"/>
                </a:solidFill>
                <a:ln>
                  <a:solidFill>
                    <a:srgbClr val="BFBFBF"/>
                  </a:solidFill>
                </a:ln>
              </c:spPr>
            </c:marker>
            <c:bubble3D val="0"/>
            <c:extLst>
              <c:ext xmlns:c16="http://schemas.microsoft.com/office/drawing/2014/chart" uri="{C3380CC4-5D6E-409C-BE32-E72D297353CC}">
                <c16:uniqueId val="{00000007-D018-429F-A637-182D7E151404}"/>
              </c:ext>
            </c:extLst>
          </c:dPt>
          <c:dPt>
            <c:idx val="6"/>
            <c:marker>
              <c:spPr>
                <a:solidFill>
                  <a:schemeClr val="tx2"/>
                </a:solidFill>
                <a:ln>
                  <a:solidFill>
                    <a:schemeClr val="tx2"/>
                  </a:solidFill>
                </a:ln>
              </c:spPr>
            </c:marker>
            <c:bubble3D val="0"/>
            <c:extLst>
              <c:ext xmlns:c16="http://schemas.microsoft.com/office/drawing/2014/chart" uri="{C3380CC4-5D6E-409C-BE32-E72D297353CC}">
                <c16:uniqueId val="{00000008-D018-429F-A637-182D7E151404}"/>
              </c:ext>
            </c:extLst>
          </c:dPt>
          <c:dPt>
            <c:idx val="7"/>
            <c:marker>
              <c:spPr>
                <a:solidFill>
                  <a:srgbClr val="53565A"/>
                </a:solidFill>
                <a:ln>
                  <a:solidFill>
                    <a:srgbClr val="53565A"/>
                  </a:solidFill>
                </a:ln>
              </c:spPr>
            </c:marker>
            <c:bubble3D val="0"/>
            <c:extLst>
              <c:ext xmlns:c16="http://schemas.microsoft.com/office/drawing/2014/chart" uri="{C3380CC4-5D6E-409C-BE32-E72D297353CC}">
                <c16:uniqueId val="{00000009-D018-429F-A637-182D7E151404}"/>
              </c:ext>
            </c:extLst>
          </c:dPt>
          <c:dPt>
            <c:idx val="9"/>
            <c:marker>
              <c:spPr>
                <a:solidFill>
                  <a:srgbClr val="BFBFBF"/>
                </a:solidFill>
                <a:ln>
                  <a:solidFill>
                    <a:srgbClr val="BFBFBF"/>
                  </a:solidFill>
                </a:ln>
              </c:spPr>
            </c:marker>
            <c:bubble3D val="0"/>
            <c:extLst>
              <c:ext xmlns:c16="http://schemas.microsoft.com/office/drawing/2014/chart" uri="{C3380CC4-5D6E-409C-BE32-E72D297353CC}">
                <c16:uniqueId val="{0000000A-D018-429F-A637-182D7E151404}"/>
              </c:ext>
            </c:extLst>
          </c:dPt>
          <c:dPt>
            <c:idx val="10"/>
            <c:marker>
              <c:spPr>
                <a:solidFill>
                  <a:schemeClr val="tx2"/>
                </a:solidFill>
                <a:ln>
                  <a:solidFill>
                    <a:schemeClr val="tx2"/>
                  </a:solidFill>
                </a:ln>
              </c:spPr>
            </c:marker>
            <c:bubble3D val="0"/>
            <c:extLst>
              <c:ext xmlns:c16="http://schemas.microsoft.com/office/drawing/2014/chart" uri="{C3380CC4-5D6E-409C-BE32-E72D297353CC}">
                <c16:uniqueId val="{0000000B-D018-429F-A637-182D7E151404}"/>
              </c:ext>
            </c:extLst>
          </c:dPt>
          <c:dPt>
            <c:idx val="11"/>
            <c:marker>
              <c:spPr>
                <a:solidFill>
                  <a:srgbClr val="53565A"/>
                </a:solidFill>
                <a:ln>
                  <a:solidFill>
                    <a:srgbClr val="53565A"/>
                  </a:solidFill>
                </a:ln>
              </c:spPr>
            </c:marker>
            <c:bubble3D val="0"/>
            <c:extLst>
              <c:ext xmlns:c16="http://schemas.microsoft.com/office/drawing/2014/chart" uri="{C3380CC4-5D6E-409C-BE32-E72D297353CC}">
                <c16:uniqueId val="{0000000C-D018-429F-A637-182D7E151404}"/>
              </c:ext>
            </c:extLst>
          </c:dPt>
          <c:dPt>
            <c:idx val="13"/>
            <c:marker>
              <c:spPr>
                <a:solidFill>
                  <a:srgbClr val="BFBFBF"/>
                </a:solidFill>
                <a:ln>
                  <a:solidFill>
                    <a:srgbClr val="BFBFBF"/>
                  </a:solidFill>
                </a:ln>
              </c:spPr>
            </c:marker>
            <c:bubble3D val="0"/>
            <c:extLst>
              <c:ext xmlns:c16="http://schemas.microsoft.com/office/drawing/2014/chart" uri="{C3380CC4-5D6E-409C-BE32-E72D297353CC}">
                <c16:uniqueId val="{0000000D-D018-429F-A637-182D7E151404}"/>
              </c:ext>
            </c:extLst>
          </c:dPt>
          <c:dPt>
            <c:idx val="14"/>
            <c:marker>
              <c:spPr>
                <a:solidFill>
                  <a:schemeClr val="tx2"/>
                </a:solidFill>
                <a:ln>
                  <a:solidFill>
                    <a:schemeClr val="tx2"/>
                  </a:solidFill>
                </a:ln>
              </c:spPr>
            </c:marker>
            <c:bubble3D val="0"/>
            <c:extLst>
              <c:ext xmlns:c16="http://schemas.microsoft.com/office/drawing/2014/chart" uri="{C3380CC4-5D6E-409C-BE32-E72D297353CC}">
                <c16:uniqueId val="{0000000E-D018-429F-A637-182D7E151404}"/>
              </c:ext>
            </c:extLst>
          </c:dPt>
          <c:dPt>
            <c:idx val="15"/>
            <c:marker>
              <c:spPr>
                <a:solidFill>
                  <a:srgbClr val="53565A"/>
                </a:solidFill>
                <a:ln>
                  <a:solidFill>
                    <a:srgbClr val="53565A"/>
                  </a:solidFill>
                </a:ln>
              </c:spPr>
            </c:marker>
            <c:bubble3D val="0"/>
            <c:extLst>
              <c:ext xmlns:c16="http://schemas.microsoft.com/office/drawing/2014/chart" uri="{C3380CC4-5D6E-409C-BE32-E72D297353CC}">
                <c16:uniqueId val="{0000000F-D018-429F-A637-182D7E151404}"/>
              </c:ext>
            </c:extLst>
          </c:dPt>
          <c:dPt>
            <c:idx val="17"/>
            <c:marker>
              <c:spPr>
                <a:solidFill>
                  <a:srgbClr val="BFBFBF"/>
                </a:solidFill>
                <a:ln>
                  <a:solidFill>
                    <a:srgbClr val="BFBFBF"/>
                  </a:solidFill>
                </a:ln>
              </c:spPr>
            </c:marker>
            <c:bubble3D val="0"/>
            <c:extLst>
              <c:ext xmlns:c16="http://schemas.microsoft.com/office/drawing/2014/chart" uri="{C3380CC4-5D6E-409C-BE32-E72D297353CC}">
                <c16:uniqueId val="{00000010-D018-429F-A637-182D7E151404}"/>
              </c:ext>
            </c:extLst>
          </c:dPt>
          <c:dPt>
            <c:idx val="18"/>
            <c:marker>
              <c:spPr>
                <a:solidFill>
                  <a:schemeClr val="tx2"/>
                </a:solidFill>
                <a:ln>
                  <a:solidFill>
                    <a:schemeClr val="tx2"/>
                  </a:solidFill>
                </a:ln>
              </c:spPr>
            </c:marker>
            <c:bubble3D val="0"/>
            <c:extLst>
              <c:ext xmlns:c16="http://schemas.microsoft.com/office/drawing/2014/chart" uri="{C3380CC4-5D6E-409C-BE32-E72D297353CC}">
                <c16:uniqueId val="{00000011-D018-429F-A637-182D7E151404}"/>
              </c:ext>
            </c:extLst>
          </c:dPt>
          <c:dPt>
            <c:idx val="19"/>
            <c:marker>
              <c:spPr>
                <a:solidFill>
                  <a:srgbClr val="53565A"/>
                </a:solidFill>
                <a:ln>
                  <a:solidFill>
                    <a:srgbClr val="53565A"/>
                  </a:solidFill>
                </a:ln>
              </c:spPr>
            </c:marker>
            <c:bubble3D val="0"/>
            <c:extLst>
              <c:ext xmlns:c16="http://schemas.microsoft.com/office/drawing/2014/chart" uri="{C3380CC4-5D6E-409C-BE32-E72D297353CC}">
                <c16:uniqueId val="{00000012-D018-429F-A637-182D7E151404}"/>
              </c:ext>
            </c:extLst>
          </c:dPt>
          <c:dPt>
            <c:idx val="20"/>
            <c:bubble3D val="0"/>
            <c:extLst>
              <c:ext xmlns:c16="http://schemas.microsoft.com/office/drawing/2014/chart" uri="{C3380CC4-5D6E-409C-BE32-E72D297353CC}">
                <c16:uniqueId val="{00000013-D018-429F-A637-182D7E151404}"/>
              </c:ext>
            </c:extLst>
          </c:dPt>
          <c:dPt>
            <c:idx val="21"/>
            <c:marker>
              <c:spPr>
                <a:solidFill>
                  <a:srgbClr val="BFBFBF"/>
                </a:solidFill>
                <a:ln>
                  <a:solidFill>
                    <a:srgbClr val="BFBFBF"/>
                  </a:solidFill>
                </a:ln>
              </c:spPr>
            </c:marker>
            <c:bubble3D val="0"/>
            <c:extLst>
              <c:ext xmlns:c16="http://schemas.microsoft.com/office/drawing/2014/chart" uri="{C3380CC4-5D6E-409C-BE32-E72D297353CC}">
                <c16:uniqueId val="{00000014-D018-429F-A637-182D7E151404}"/>
              </c:ext>
            </c:extLst>
          </c:dPt>
          <c:dPt>
            <c:idx val="22"/>
            <c:marker>
              <c:spPr>
                <a:solidFill>
                  <a:schemeClr val="tx2"/>
                </a:solidFill>
                <a:ln>
                  <a:solidFill>
                    <a:schemeClr val="tx2"/>
                  </a:solidFill>
                </a:ln>
              </c:spPr>
            </c:marker>
            <c:bubble3D val="0"/>
            <c:extLst>
              <c:ext xmlns:c16="http://schemas.microsoft.com/office/drawing/2014/chart" uri="{C3380CC4-5D6E-409C-BE32-E72D297353CC}">
                <c16:uniqueId val="{00000015-D018-429F-A637-182D7E151404}"/>
              </c:ext>
            </c:extLst>
          </c:dPt>
          <c:dPt>
            <c:idx val="23"/>
            <c:marker>
              <c:spPr>
                <a:solidFill>
                  <a:srgbClr val="53565A"/>
                </a:solidFill>
                <a:ln>
                  <a:solidFill>
                    <a:srgbClr val="53565A"/>
                  </a:solidFill>
                </a:ln>
              </c:spPr>
            </c:marker>
            <c:bubble3D val="0"/>
            <c:extLst>
              <c:ext xmlns:c16="http://schemas.microsoft.com/office/drawing/2014/chart" uri="{C3380CC4-5D6E-409C-BE32-E72D297353CC}">
                <c16:uniqueId val="{00000016-D018-429F-A637-182D7E151404}"/>
              </c:ext>
            </c:extLst>
          </c:dPt>
          <c:dPt>
            <c:idx val="25"/>
            <c:marker>
              <c:spPr>
                <a:solidFill>
                  <a:srgbClr val="BFBFBF"/>
                </a:solidFill>
                <a:ln>
                  <a:solidFill>
                    <a:srgbClr val="BFBFBF"/>
                  </a:solidFill>
                </a:ln>
              </c:spPr>
            </c:marker>
            <c:bubble3D val="0"/>
            <c:extLst>
              <c:ext xmlns:c16="http://schemas.microsoft.com/office/drawing/2014/chart" uri="{C3380CC4-5D6E-409C-BE32-E72D297353CC}">
                <c16:uniqueId val="{00000017-D018-429F-A637-182D7E151404}"/>
              </c:ext>
            </c:extLst>
          </c:dPt>
          <c:dPt>
            <c:idx val="26"/>
            <c:marker>
              <c:spPr>
                <a:solidFill>
                  <a:schemeClr val="tx2"/>
                </a:solidFill>
                <a:ln>
                  <a:solidFill>
                    <a:schemeClr val="tx2"/>
                  </a:solidFill>
                </a:ln>
              </c:spPr>
            </c:marker>
            <c:bubble3D val="0"/>
            <c:extLst>
              <c:ext xmlns:c16="http://schemas.microsoft.com/office/drawing/2014/chart" uri="{C3380CC4-5D6E-409C-BE32-E72D297353CC}">
                <c16:uniqueId val="{00000018-D018-429F-A637-182D7E151404}"/>
              </c:ext>
            </c:extLst>
          </c:dPt>
          <c:dPt>
            <c:idx val="27"/>
            <c:marker>
              <c:spPr>
                <a:solidFill>
                  <a:srgbClr val="53565A"/>
                </a:solidFill>
                <a:ln>
                  <a:solidFill>
                    <a:srgbClr val="53565A"/>
                  </a:solidFill>
                </a:ln>
              </c:spPr>
            </c:marker>
            <c:bubble3D val="0"/>
            <c:extLst>
              <c:ext xmlns:c16="http://schemas.microsoft.com/office/drawing/2014/chart" uri="{C3380CC4-5D6E-409C-BE32-E72D297353CC}">
                <c16:uniqueId val="{00000019-D018-429F-A637-182D7E151404}"/>
              </c:ext>
            </c:extLst>
          </c:dPt>
          <c:dPt>
            <c:idx val="29"/>
            <c:marker>
              <c:spPr>
                <a:solidFill>
                  <a:srgbClr val="BFBFBF"/>
                </a:solidFill>
                <a:ln>
                  <a:solidFill>
                    <a:srgbClr val="BFBFBF"/>
                  </a:solidFill>
                </a:ln>
              </c:spPr>
            </c:marker>
            <c:bubble3D val="0"/>
            <c:extLst>
              <c:ext xmlns:c16="http://schemas.microsoft.com/office/drawing/2014/chart" uri="{C3380CC4-5D6E-409C-BE32-E72D297353CC}">
                <c16:uniqueId val="{0000001A-D018-429F-A637-182D7E151404}"/>
              </c:ext>
            </c:extLst>
          </c:dPt>
          <c:dPt>
            <c:idx val="30"/>
            <c:marker>
              <c:spPr>
                <a:solidFill>
                  <a:schemeClr val="tx2"/>
                </a:solidFill>
                <a:ln>
                  <a:solidFill>
                    <a:schemeClr val="tx2"/>
                  </a:solidFill>
                </a:ln>
              </c:spPr>
            </c:marker>
            <c:bubble3D val="0"/>
            <c:extLst>
              <c:ext xmlns:c16="http://schemas.microsoft.com/office/drawing/2014/chart" uri="{C3380CC4-5D6E-409C-BE32-E72D297353CC}">
                <c16:uniqueId val="{0000001B-D018-429F-A637-182D7E151404}"/>
              </c:ext>
            </c:extLst>
          </c:dPt>
          <c:dPt>
            <c:idx val="31"/>
            <c:marker>
              <c:spPr>
                <a:solidFill>
                  <a:srgbClr val="53565A"/>
                </a:solidFill>
                <a:ln>
                  <a:solidFill>
                    <a:srgbClr val="53565A"/>
                  </a:solidFill>
                </a:ln>
              </c:spPr>
            </c:marker>
            <c:bubble3D val="0"/>
            <c:extLst>
              <c:ext xmlns:c16="http://schemas.microsoft.com/office/drawing/2014/chart" uri="{C3380CC4-5D6E-409C-BE32-E72D297353CC}">
                <c16:uniqueId val="{0000001C-D018-429F-A637-182D7E151404}"/>
              </c:ext>
            </c:extLst>
          </c:dPt>
          <c:dPt>
            <c:idx val="33"/>
            <c:marker>
              <c:spPr>
                <a:solidFill>
                  <a:srgbClr val="BFBFBF"/>
                </a:solidFill>
                <a:ln>
                  <a:solidFill>
                    <a:srgbClr val="BFBFBF">
                      <a:alpha val="99000"/>
                    </a:srgbClr>
                  </a:solidFill>
                </a:ln>
              </c:spPr>
            </c:marker>
            <c:bubble3D val="0"/>
            <c:extLst>
              <c:ext xmlns:c16="http://schemas.microsoft.com/office/drawing/2014/chart" uri="{C3380CC4-5D6E-409C-BE32-E72D297353CC}">
                <c16:uniqueId val="{0000001D-D018-429F-A637-182D7E151404}"/>
              </c:ext>
            </c:extLst>
          </c:dPt>
          <c:dPt>
            <c:idx val="34"/>
            <c:marker>
              <c:spPr>
                <a:solidFill>
                  <a:schemeClr val="tx2"/>
                </a:solidFill>
                <a:ln>
                  <a:solidFill>
                    <a:schemeClr val="tx2"/>
                  </a:solidFill>
                </a:ln>
              </c:spPr>
            </c:marker>
            <c:bubble3D val="0"/>
            <c:extLst>
              <c:ext xmlns:c16="http://schemas.microsoft.com/office/drawing/2014/chart" uri="{C3380CC4-5D6E-409C-BE32-E72D297353CC}">
                <c16:uniqueId val="{0000001E-D018-429F-A637-182D7E151404}"/>
              </c:ext>
            </c:extLst>
          </c:dPt>
          <c:dPt>
            <c:idx val="35"/>
            <c:marker>
              <c:spPr>
                <a:solidFill>
                  <a:srgbClr val="53565A"/>
                </a:solidFill>
                <a:ln>
                  <a:solidFill>
                    <a:srgbClr val="53565A"/>
                  </a:solidFill>
                </a:ln>
              </c:spPr>
            </c:marker>
            <c:bubble3D val="0"/>
            <c:extLst>
              <c:ext xmlns:c16="http://schemas.microsoft.com/office/drawing/2014/chart" uri="{C3380CC4-5D6E-409C-BE32-E72D297353CC}">
                <c16:uniqueId val="{0000001F-D018-429F-A637-182D7E151404}"/>
              </c:ext>
            </c:extLst>
          </c:dPt>
          <c:dPt>
            <c:idx val="37"/>
            <c:marker>
              <c:spPr>
                <a:solidFill>
                  <a:srgbClr val="BFBFBF"/>
                </a:solidFill>
                <a:ln>
                  <a:solidFill>
                    <a:srgbClr val="BFBFBF"/>
                  </a:solidFill>
                </a:ln>
              </c:spPr>
            </c:marker>
            <c:bubble3D val="0"/>
            <c:extLst>
              <c:ext xmlns:c16="http://schemas.microsoft.com/office/drawing/2014/chart" uri="{C3380CC4-5D6E-409C-BE32-E72D297353CC}">
                <c16:uniqueId val="{00000020-D018-429F-A637-182D7E151404}"/>
              </c:ext>
            </c:extLst>
          </c:dPt>
          <c:dPt>
            <c:idx val="38"/>
            <c:marker>
              <c:spPr>
                <a:solidFill>
                  <a:schemeClr val="tx2"/>
                </a:solidFill>
                <a:ln>
                  <a:solidFill>
                    <a:schemeClr val="tx2"/>
                  </a:solidFill>
                </a:ln>
              </c:spPr>
            </c:marker>
            <c:bubble3D val="0"/>
            <c:extLst>
              <c:ext xmlns:c16="http://schemas.microsoft.com/office/drawing/2014/chart" uri="{C3380CC4-5D6E-409C-BE32-E72D297353CC}">
                <c16:uniqueId val="{00000021-D018-429F-A637-182D7E151404}"/>
              </c:ext>
            </c:extLst>
          </c:dPt>
          <c:dPt>
            <c:idx val="39"/>
            <c:marker>
              <c:spPr>
                <a:solidFill>
                  <a:srgbClr val="53565A"/>
                </a:solidFill>
                <a:ln>
                  <a:solidFill>
                    <a:srgbClr val="53565A"/>
                  </a:solidFill>
                </a:ln>
              </c:spPr>
            </c:marker>
            <c:bubble3D val="0"/>
            <c:extLst>
              <c:ext xmlns:c16="http://schemas.microsoft.com/office/drawing/2014/chart" uri="{C3380CC4-5D6E-409C-BE32-E72D297353CC}">
                <c16:uniqueId val="{00000022-D018-429F-A637-182D7E151404}"/>
              </c:ext>
            </c:extLst>
          </c:dPt>
          <c:dPt>
            <c:idx val="41"/>
            <c:marker>
              <c:spPr>
                <a:solidFill>
                  <a:srgbClr val="BFBFBF"/>
                </a:solidFill>
                <a:ln>
                  <a:solidFill>
                    <a:srgbClr val="BFBFBF"/>
                  </a:solidFill>
                </a:ln>
              </c:spPr>
            </c:marker>
            <c:bubble3D val="0"/>
            <c:extLst>
              <c:ext xmlns:c16="http://schemas.microsoft.com/office/drawing/2014/chart" uri="{C3380CC4-5D6E-409C-BE32-E72D297353CC}">
                <c16:uniqueId val="{00000023-D018-429F-A637-182D7E151404}"/>
              </c:ext>
            </c:extLst>
          </c:dPt>
          <c:dPt>
            <c:idx val="42"/>
            <c:marker>
              <c:spPr>
                <a:solidFill>
                  <a:schemeClr val="tx2"/>
                </a:solidFill>
                <a:ln>
                  <a:solidFill>
                    <a:schemeClr val="tx2"/>
                  </a:solidFill>
                </a:ln>
              </c:spPr>
            </c:marker>
            <c:bubble3D val="0"/>
            <c:extLst>
              <c:ext xmlns:c16="http://schemas.microsoft.com/office/drawing/2014/chart" uri="{C3380CC4-5D6E-409C-BE32-E72D297353CC}">
                <c16:uniqueId val="{00000024-D018-429F-A637-182D7E151404}"/>
              </c:ext>
            </c:extLst>
          </c:dPt>
          <c:dPt>
            <c:idx val="43"/>
            <c:marker>
              <c:spPr>
                <a:solidFill>
                  <a:srgbClr val="53565A"/>
                </a:solidFill>
                <a:ln>
                  <a:solidFill>
                    <a:srgbClr val="53565A"/>
                  </a:solidFill>
                </a:ln>
              </c:spPr>
            </c:marker>
            <c:bubble3D val="0"/>
            <c:extLst>
              <c:ext xmlns:c16="http://schemas.microsoft.com/office/drawing/2014/chart" uri="{C3380CC4-5D6E-409C-BE32-E72D297353CC}">
                <c16:uniqueId val="{00000025-D018-429F-A637-182D7E151404}"/>
              </c:ext>
            </c:extLst>
          </c:dPt>
          <c:dPt>
            <c:idx val="45"/>
            <c:marker>
              <c:spPr>
                <a:solidFill>
                  <a:srgbClr val="BFBFBF"/>
                </a:solidFill>
                <a:ln>
                  <a:solidFill>
                    <a:srgbClr val="BFBFBF"/>
                  </a:solidFill>
                </a:ln>
              </c:spPr>
            </c:marker>
            <c:bubble3D val="0"/>
            <c:extLst>
              <c:ext xmlns:c16="http://schemas.microsoft.com/office/drawing/2014/chart" uri="{C3380CC4-5D6E-409C-BE32-E72D297353CC}">
                <c16:uniqueId val="{00000026-D018-429F-A637-182D7E151404}"/>
              </c:ext>
            </c:extLst>
          </c:dPt>
          <c:dPt>
            <c:idx val="46"/>
            <c:marker>
              <c:spPr>
                <a:solidFill>
                  <a:schemeClr val="tx2"/>
                </a:solidFill>
                <a:ln>
                  <a:solidFill>
                    <a:schemeClr val="tx2"/>
                  </a:solidFill>
                </a:ln>
              </c:spPr>
            </c:marker>
            <c:bubble3D val="0"/>
            <c:extLst>
              <c:ext xmlns:c16="http://schemas.microsoft.com/office/drawing/2014/chart" uri="{C3380CC4-5D6E-409C-BE32-E72D297353CC}">
                <c16:uniqueId val="{00000027-D018-429F-A637-182D7E151404}"/>
              </c:ext>
            </c:extLst>
          </c:dPt>
          <c:dPt>
            <c:idx val="47"/>
            <c:marker>
              <c:spPr>
                <a:solidFill>
                  <a:srgbClr val="53565A"/>
                </a:solidFill>
                <a:ln>
                  <a:solidFill>
                    <a:srgbClr val="53565A"/>
                  </a:solidFill>
                </a:ln>
              </c:spPr>
            </c:marker>
            <c:bubble3D val="0"/>
            <c:extLst>
              <c:ext xmlns:c16="http://schemas.microsoft.com/office/drawing/2014/chart" uri="{C3380CC4-5D6E-409C-BE32-E72D297353CC}">
                <c16:uniqueId val="{00000028-D018-429F-A637-182D7E151404}"/>
              </c:ext>
            </c:extLst>
          </c:dPt>
          <c:dPt>
            <c:idx val="49"/>
            <c:marker>
              <c:spPr>
                <a:solidFill>
                  <a:srgbClr val="BFBFBF"/>
                </a:solidFill>
                <a:ln>
                  <a:solidFill>
                    <a:srgbClr val="BFBFBF"/>
                  </a:solidFill>
                </a:ln>
              </c:spPr>
            </c:marker>
            <c:bubble3D val="0"/>
            <c:extLst>
              <c:ext xmlns:c16="http://schemas.microsoft.com/office/drawing/2014/chart" uri="{C3380CC4-5D6E-409C-BE32-E72D297353CC}">
                <c16:uniqueId val="{00000029-D018-429F-A637-182D7E151404}"/>
              </c:ext>
            </c:extLst>
          </c:dPt>
          <c:dPt>
            <c:idx val="50"/>
            <c:marker>
              <c:spPr>
                <a:solidFill>
                  <a:schemeClr val="tx2"/>
                </a:solidFill>
                <a:ln>
                  <a:solidFill>
                    <a:schemeClr val="tx2"/>
                  </a:solidFill>
                </a:ln>
              </c:spPr>
            </c:marker>
            <c:bubble3D val="0"/>
            <c:extLst>
              <c:ext xmlns:c16="http://schemas.microsoft.com/office/drawing/2014/chart" uri="{C3380CC4-5D6E-409C-BE32-E72D297353CC}">
                <c16:uniqueId val="{0000002A-D018-429F-A637-182D7E151404}"/>
              </c:ext>
            </c:extLst>
          </c:dPt>
          <c:dPt>
            <c:idx val="51"/>
            <c:marker>
              <c:spPr>
                <a:solidFill>
                  <a:srgbClr val="53565A"/>
                </a:solidFill>
                <a:ln>
                  <a:solidFill>
                    <a:srgbClr val="53565A"/>
                  </a:solidFill>
                </a:ln>
              </c:spPr>
            </c:marker>
            <c:bubble3D val="0"/>
            <c:extLst>
              <c:ext xmlns:c16="http://schemas.microsoft.com/office/drawing/2014/chart" uri="{C3380CC4-5D6E-409C-BE32-E72D297353CC}">
                <c16:uniqueId val="{0000002B-D018-429F-A637-182D7E151404}"/>
              </c:ext>
            </c:extLst>
          </c:dPt>
          <c:dPt>
            <c:idx val="53"/>
            <c:marker>
              <c:spPr>
                <a:solidFill>
                  <a:srgbClr val="BFBFBF"/>
                </a:solidFill>
                <a:ln>
                  <a:solidFill>
                    <a:srgbClr val="BFBFBF"/>
                  </a:solidFill>
                </a:ln>
              </c:spPr>
            </c:marker>
            <c:bubble3D val="0"/>
            <c:extLst>
              <c:ext xmlns:c16="http://schemas.microsoft.com/office/drawing/2014/chart" uri="{C3380CC4-5D6E-409C-BE32-E72D297353CC}">
                <c16:uniqueId val="{0000002C-D018-429F-A637-182D7E151404}"/>
              </c:ext>
            </c:extLst>
          </c:dPt>
          <c:dPt>
            <c:idx val="54"/>
            <c:marker>
              <c:spPr>
                <a:solidFill>
                  <a:schemeClr val="tx2"/>
                </a:solidFill>
                <a:ln>
                  <a:solidFill>
                    <a:schemeClr val="tx2"/>
                  </a:solidFill>
                </a:ln>
              </c:spPr>
            </c:marker>
            <c:bubble3D val="0"/>
            <c:extLst>
              <c:ext xmlns:c16="http://schemas.microsoft.com/office/drawing/2014/chart" uri="{C3380CC4-5D6E-409C-BE32-E72D297353CC}">
                <c16:uniqueId val="{0000002D-D018-429F-A637-182D7E151404}"/>
              </c:ext>
            </c:extLst>
          </c:dPt>
          <c:dPt>
            <c:idx val="55"/>
            <c:marker>
              <c:spPr>
                <a:solidFill>
                  <a:srgbClr val="53565A"/>
                </a:solidFill>
                <a:ln>
                  <a:solidFill>
                    <a:srgbClr val="53565A"/>
                  </a:solidFill>
                </a:ln>
              </c:spPr>
            </c:marker>
            <c:bubble3D val="0"/>
            <c:extLst>
              <c:ext xmlns:c16="http://schemas.microsoft.com/office/drawing/2014/chart" uri="{C3380CC4-5D6E-409C-BE32-E72D297353CC}">
                <c16:uniqueId val="{0000002E-D018-429F-A637-182D7E151404}"/>
              </c:ext>
            </c:extLst>
          </c:dPt>
          <c:dPt>
            <c:idx val="57"/>
            <c:marker>
              <c:spPr>
                <a:solidFill>
                  <a:srgbClr val="BFBFBF"/>
                </a:solidFill>
                <a:ln>
                  <a:solidFill>
                    <a:srgbClr val="BFBFBF"/>
                  </a:solidFill>
                </a:ln>
              </c:spPr>
            </c:marker>
            <c:bubble3D val="0"/>
            <c:extLst>
              <c:ext xmlns:c16="http://schemas.microsoft.com/office/drawing/2014/chart" uri="{C3380CC4-5D6E-409C-BE32-E72D297353CC}">
                <c16:uniqueId val="{0000002F-D018-429F-A637-182D7E151404}"/>
              </c:ext>
            </c:extLst>
          </c:dPt>
          <c:dPt>
            <c:idx val="58"/>
            <c:marker>
              <c:spPr>
                <a:solidFill>
                  <a:schemeClr val="tx2"/>
                </a:solidFill>
                <a:ln>
                  <a:solidFill>
                    <a:schemeClr val="tx2"/>
                  </a:solidFill>
                </a:ln>
              </c:spPr>
            </c:marker>
            <c:bubble3D val="0"/>
            <c:extLst>
              <c:ext xmlns:c16="http://schemas.microsoft.com/office/drawing/2014/chart" uri="{C3380CC4-5D6E-409C-BE32-E72D297353CC}">
                <c16:uniqueId val="{00000030-D018-429F-A637-182D7E151404}"/>
              </c:ext>
            </c:extLst>
          </c:dPt>
          <c:dPt>
            <c:idx val="59"/>
            <c:marker>
              <c:spPr>
                <a:solidFill>
                  <a:srgbClr val="53565A"/>
                </a:solidFill>
                <a:ln>
                  <a:solidFill>
                    <a:srgbClr val="53565A"/>
                  </a:solidFill>
                </a:ln>
              </c:spPr>
            </c:marker>
            <c:bubble3D val="0"/>
            <c:extLst>
              <c:ext xmlns:c16="http://schemas.microsoft.com/office/drawing/2014/chart" uri="{C3380CC4-5D6E-409C-BE32-E72D297353CC}">
                <c16:uniqueId val="{00000031-D018-429F-A637-182D7E151404}"/>
              </c:ext>
            </c:extLst>
          </c:dPt>
          <c:dPt>
            <c:idx val="61"/>
            <c:marker>
              <c:spPr>
                <a:solidFill>
                  <a:srgbClr val="BFBFBF"/>
                </a:solidFill>
                <a:ln>
                  <a:solidFill>
                    <a:srgbClr val="BFBFBF"/>
                  </a:solidFill>
                </a:ln>
              </c:spPr>
            </c:marker>
            <c:bubble3D val="0"/>
            <c:extLst>
              <c:ext xmlns:c16="http://schemas.microsoft.com/office/drawing/2014/chart" uri="{C3380CC4-5D6E-409C-BE32-E72D297353CC}">
                <c16:uniqueId val="{00000032-D018-429F-A637-182D7E151404}"/>
              </c:ext>
            </c:extLst>
          </c:dPt>
          <c:dPt>
            <c:idx val="62"/>
            <c:marker>
              <c:spPr>
                <a:solidFill>
                  <a:schemeClr val="tx2"/>
                </a:solidFill>
                <a:ln>
                  <a:solidFill>
                    <a:schemeClr val="tx2"/>
                  </a:solidFill>
                </a:ln>
              </c:spPr>
            </c:marker>
            <c:bubble3D val="0"/>
            <c:extLst>
              <c:ext xmlns:c16="http://schemas.microsoft.com/office/drawing/2014/chart" uri="{C3380CC4-5D6E-409C-BE32-E72D297353CC}">
                <c16:uniqueId val="{00000033-D018-429F-A637-182D7E151404}"/>
              </c:ext>
            </c:extLst>
          </c:dPt>
          <c:dPt>
            <c:idx val="63"/>
            <c:marker>
              <c:spPr>
                <a:solidFill>
                  <a:srgbClr val="53565A"/>
                </a:solidFill>
                <a:ln>
                  <a:solidFill>
                    <a:srgbClr val="53565A"/>
                  </a:solidFill>
                </a:ln>
              </c:spPr>
            </c:marker>
            <c:bubble3D val="0"/>
            <c:extLst>
              <c:ext xmlns:c16="http://schemas.microsoft.com/office/drawing/2014/chart" uri="{C3380CC4-5D6E-409C-BE32-E72D297353CC}">
                <c16:uniqueId val="{00000034-D018-429F-A637-182D7E151404}"/>
              </c:ext>
            </c:extLst>
          </c:dPt>
          <c:dPt>
            <c:idx val="65"/>
            <c:marker>
              <c:spPr>
                <a:solidFill>
                  <a:srgbClr val="BFBFBF"/>
                </a:solidFill>
                <a:ln>
                  <a:solidFill>
                    <a:srgbClr val="BFBFBF"/>
                  </a:solidFill>
                </a:ln>
              </c:spPr>
            </c:marker>
            <c:bubble3D val="0"/>
            <c:extLst>
              <c:ext xmlns:c16="http://schemas.microsoft.com/office/drawing/2014/chart" uri="{C3380CC4-5D6E-409C-BE32-E72D297353CC}">
                <c16:uniqueId val="{00000035-D018-429F-A637-182D7E151404}"/>
              </c:ext>
            </c:extLst>
          </c:dPt>
          <c:dPt>
            <c:idx val="66"/>
            <c:marker>
              <c:spPr>
                <a:solidFill>
                  <a:schemeClr val="tx2"/>
                </a:solidFill>
                <a:ln>
                  <a:solidFill>
                    <a:srgbClr val="002776"/>
                  </a:solidFill>
                </a:ln>
              </c:spPr>
            </c:marker>
            <c:bubble3D val="0"/>
            <c:extLst>
              <c:ext xmlns:c16="http://schemas.microsoft.com/office/drawing/2014/chart" uri="{C3380CC4-5D6E-409C-BE32-E72D297353CC}">
                <c16:uniqueId val="{00000036-D018-429F-A637-182D7E151404}"/>
              </c:ext>
            </c:extLst>
          </c:dPt>
          <c:dPt>
            <c:idx val="67"/>
            <c:marker>
              <c:spPr>
                <a:solidFill>
                  <a:srgbClr val="53565A"/>
                </a:solidFill>
                <a:ln>
                  <a:solidFill>
                    <a:srgbClr val="53565A"/>
                  </a:solidFill>
                </a:ln>
              </c:spPr>
            </c:marker>
            <c:bubble3D val="0"/>
            <c:extLst>
              <c:ext xmlns:c16="http://schemas.microsoft.com/office/drawing/2014/chart" uri="{C3380CC4-5D6E-409C-BE32-E72D297353CC}">
                <c16:uniqueId val="{00000037-D018-429F-A637-182D7E151404}"/>
              </c:ext>
            </c:extLst>
          </c:dPt>
          <c:dPt>
            <c:idx val="69"/>
            <c:marker>
              <c:spPr>
                <a:solidFill>
                  <a:srgbClr val="BFBFBF"/>
                </a:solidFill>
                <a:ln>
                  <a:solidFill>
                    <a:srgbClr val="BFBFBF"/>
                  </a:solidFill>
                </a:ln>
              </c:spPr>
            </c:marker>
            <c:bubble3D val="0"/>
            <c:extLst>
              <c:ext xmlns:c16="http://schemas.microsoft.com/office/drawing/2014/chart" uri="{C3380CC4-5D6E-409C-BE32-E72D297353CC}">
                <c16:uniqueId val="{00000038-D018-429F-A637-182D7E151404}"/>
              </c:ext>
            </c:extLst>
          </c:dPt>
          <c:dPt>
            <c:idx val="70"/>
            <c:marker>
              <c:spPr>
                <a:solidFill>
                  <a:schemeClr val="tx2"/>
                </a:solidFill>
                <a:ln>
                  <a:solidFill>
                    <a:schemeClr val="tx2"/>
                  </a:solidFill>
                </a:ln>
              </c:spPr>
            </c:marker>
            <c:bubble3D val="0"/>
            <c:extLst>
              <c:ext xmlns:c16="http://schemas.microsoft.com/office/drawing/2014/chart" uri="{C3380CC4-5D6E-409C-BE32-E72D297353CC}">
                <c16:uniqueId val="{00000039-D018-429F-A637-182D7E151404}"/>
              </c:ext>
            </c:extLst>
          </c:dPt>
          <c:dPt>
            <c:idx val="71"/>
            <c:marker>
              <c:spPr>
                <a:solidFill>
                  <a:srgbClr val="53565A"/>
                </a:solidFill>
                <a:ln>
                  <a:solidFill>
                    <a:srgbClr val="53565A"/>
                  </a:solidFill>
                </a:ln>
              </c:spPr>
            </c:marker>
            <c:bubble3D val="0"/>
            <c:extLst>
              <c:ext xmlns:c16="http://schemas.microsoft.com/office/drawing/2014/chart" uri="{C3380CC4-5D6E-409C-BE32-E72D297353CC}">
                <c16:uniqueId val="{0000003A-D018-429F-A637-182D7E151404}"/>
              </c:ext>
            </c:extLst>
          </c:dPt>
          <c:dPt>
            <c:idx val="73"/>
            <c:marker>
              <c:spPr>
                <a:solidFill>
                  <a:srgbClr val="BFBFBF"/>
                </a:solidFill>
                <a:ln>
                  <a:solidFill>
                    <a:srgbClr val="BFBFBF"/>
                  </a:solidFill>
                </a:ln>
              </c:spPr>
            </c:marker>
            <c:bubble3D val="0"/>
            <c:extLst>
              <c:ext xmlns:c16="http://schemas.microsoft.com/office/drawing/2014/chart" uri="{C3380CC4-5D6E-409C-BE32-E72D297353CC}">
                <c16:uniqueId val="{0000003B-D018-429F-A637-182D7E151404}"/>
              </c:ext>
            </c:extLst>
          </c:dPt>
          <c:dPt>
            <c:idx val="74"/>
            <c:marker>
              <c:spPr>
                <a:solidFill>
                  <a:schemeClr val="tx2"/>
                </a:solidFill>
                <a:ln>
                  <a:solidFill>
                    <a:schemeClr val="tx2"/>
                  </a:solidFill>
                </a:ln>
              </c:spPr>
            </c:marker>
            <c:bubble3D val="0"/>
            <c:extLst>
              <c:ext xmlns:c16="http://schemas.microsoft.com/office/drawing/2014/chart" uri="{C3380CC4-5D6E-409C-BE32-E72D297353CC}">
                <c16:uniqueId val="{0000003C-D018-429F-A637-182D7E151404}"/>
              </c:ext>
            </c:extLst>
          </c:dPt>
          <c:dPt>
            <c:idx val="75"/>
            <c:marker>
              <c:spPr>
                <a:solidFill>
                  <a:srgbClr val="53565A"/>
                </a:solidFill>
                <a:ln>
                  <a:solidFill>
                    <a:srgbClr val="53565A"/>
                  </a:solidFill>
                </a:ln>
              </c:spPr>
            </c:marker>
            <c:bubble3D val="0"/>
            <c:extLst>
              <c:ext xmlns:c16="http://schemas.microsoft.com/office/drawing/2014/chart" uri="{C3380CC4-5D6E-409C-BE32-E72D297353CC}">
                <c16:uniqueId val="{0000003D-D018-429F-A637-182D7E151404}"/>
              </c:ext>
            </c:extLst>
          </c:dPt>
          <c:dPt>
            <c:idx val="77"/>
            <c:marker>
              <c:spPr>
                <a:solidFill>
                  <a:srgbClr val="BFBFBF"/>
                </a:solidFill>
                <a:ln>
                  <a:solidFill>
                    <a:srgbClr val="BFBFBF"/>
                  </a:solidFill>
                </a:ln>
              </c:spPr>
            </c:marker>
            <c:bubble3D val="0"/>
            <c:extLst>
              <c:ext xmlns:c16="http://schemas.microsoft.com/office/drawing/2014/chart" uri="{C3380CC4-5D6E-409C-BE32-E72D297353CC}">
                <c16:uniqueId val="{0000003E-D018-429F-A637-182D7E151404}"/>
              </c:ext>
            </c:extLst>
          </c:dPt>
          <c:dPt>
            <c:idx val="78"/>
            <c:marker>
              <c:spPr>
                <a:solidFill>
                  <a:schemeClr val="tx2"/>
                </a:solidFill>
                <a:ln>
                  <a:solidFill>
                    <a:schemeClr val="tx2"/>
                  </a:solidFill>
                </a:ln>
              </c:spPr>
            </c:marker>
            <c:bubble3D val="0"/>
            <c:extLst>
              <c:ext xmlns:c16="http://schemas.microsoft.com/office/drawing/2014/chart" uri="{C3380CC4-5D6E-409C-BE32-E72D297353CC}">
                <c16:uniqueId val="{0000003F-D018-429F-A637-182D7E151404}"/>
              </c:ext>
            </c:extLst>
          </c:dPt>
          <c:dPt>
            <c:idx val="79"/>
            <c:marker>
              <c:spPr>
                <a:solidFill>
                  <a:srgbClr val="53565A"/>
                </a:solidFill>
                <a:ln>
                  <a:solidFill>
                    <a:srgbClr val="53565A"/>
                  </a:solidFill>
                </a:ln>
              </c:spPr>
            </c:marker>
            <c:bubble3D val="0"/>
            <c:extLst>
              <c:ext xmlns:c16="http://schemas.microsoft.com/office/drawing/2014/chart" uri="{C3380CC4-5D6E-409C-BE32-E72D297353CC}">
                <c16:uniqueId val="{00000040-D018-429F-A637-182D7E151404}"/>
              </c:ext>
            </c:extLst>
          </c:dPt>
          <c:dPt>
            <c:idx val="81"/>
            <c:marker>
              <c:spPr>
                <a:solidFill>
                  <a:srgbClr val="BFBFBF"/>
                </a:solidFill>
                <a:ln>
                  <a:solidFill>
                    <a:srgbClr val="BFBFBF"/>
                  </a:solidFill>
                </a:ln>
              </c:spPr>
            </c:marker>
            <c:bubble3D val="0"/>
            <c:extLst>
              <c:ext xmlns:c16="http://schemas.microsoft.com/office/drawing/2014/chart" uri="{C3380CC4-5D6E-409C-BE32-E72D297353CC}">
                <c16:uniqueId val="{00000041-D018-429F-A637-182D7E151404}"/>
              </c:ext>
            </c:extLst>
          </c:dPt>
          <c:dPt>
            <c:idx val="82"/>
            <c:marker>
              <c:spPr>
                <a:solidFill>
                  <a:schemeClr val="tx2"/>
                </a:solidFill>
                <a:ln>
                  <a:solidFill>
                    <a:srgbClr val="002776"/>
                  </a:solidFill>
                </a:ln>
              </c:spPr>
            </c:marker>
            <c:bubble3D val="0"/>
            <c:extLst>
              <c:ext xmlns:c16="http://schemas.microsoft.com/office/drawing/2014/chart" uri="{C3380CC4-5D6E-409C-BE32-E72D297353CC}">
                <c16:uniqueId val="{00000042-D018-429F-A637-182D7E151404}"/>
              </c:ext>
            </c:extLst>
          </c:dPt>
          <c:dPt>
            <c:idx val="83"/>
            <c:marker>
              <c:spPr>
                <a:solidFill>
                  <a:srgbClr val="53565A"/>
                </a:solidFill>
                <a:ln>
                  <a:solidFill>
                    <a:srgbClr val="53565A"/>
                  </a:solidFill>
                </a:ln>
              </c:spPr>
            </c:marker>
            <c:bubble3D val="0"/>
            <c:extLst>
              <c:ext xmlns:c16="http://schemas.microsoft.com/office/drawing/2014/chart" uri="{C3380CC4-5D6E-409C-BE32-E72D297353CC}">
                <c16:uniqueId val="{00000043-D018-429F-A637-182D7E151404}"/>
              </c:ext>
            </c:extLst>
          </c:dPt>
          <c:dPt>
            <c:idx val="85"/>
            <c:marker>
              <c:spPr>
                <a:solidFill>
                  <a:srgbClr val="BFBFBF"/>
                </a:solidFill>
                <a:ln>
                  <a:solidFill>
                    <a:srgbClr val="BFBFBF"/>
                  </a:solidFill>
                </a:ln>
              </c:spPr>
            </c:marker>
            <c:bubble3D val="0"/>
            <c:extLst>
              <c:ext xmlns:c16="http://schemas.microsoft.com/office/drawing/2014/chart" uri="{C3380CC4-5D6E-409C-BE32-E72D297353CC}">
                <c16:uniqueId val="{00000044-D018-429F-A637-182D7E151404}"/>
              </c:ext>
            </c:extLst>
          </c:dPt>
          <c:dPt>
            <c:idx val="86"/>
            <c:marker>
              <c:spPr>
                <a:solidFill>
                  <a:schemeClr val="tx2"/>
                </a:solidFill>
                <a:ln>
                  <a:solidFill>
                    <a:schemeClr val="tx2"/>
                  </a:solidFill>
                </a:ln>
              </c:spPr>
            </c:marker>
            <c:bubble3D val="0"/>
            <c:extLst>
              <c:ext xmlns:c16="http://schemas.microsoft.com/office/drawing/2014/chart" uri="{C3380CC4-5D6E-409C-BE32-E72D297353CC}">
                <c16:uniqueId val="{00000045-D018-429F-A637-182D7E151404}"/>
              </c:ext>
            </c:extLst>
          </c:dPt>
          <c:dPt>
            <c:idx val="87"/>
            <c:marker>
              <c:spPr>
                <a:solidFill>
                  <a:srgbClr val="53565A"/>
                </a:solidFill>
                <a:ln>
                  <a:solidFill>
                    <a:srgbClr val="53565A"/>
                  </a:solidFill>
                </a:ln>
              </c:spPr>
            </c:marker>
            <c:bubble3D val="0"/>
            <c:extLst>
              <c:ext xmlns:c16="http://schemas.microsoft.com/office/drawing/2014/chart" uri="{C3380CC4-5D6E-409C-BE32-E72D297353CC}">
                <c16:uniqueId val="{00000046-D018-429F-A637-182D7E151404}"/>
              </c:ext>
            </c:extLst>
          </c:dPt>
          <c:dPt>
            <c:idx val="89"/>
            <c:marker>
              <c:spPr>
                <a:solidFill>
                  <a:srgbClr val="BFBFBF"/>
                </a:solidFill>
                <a:ln>
                  <a:solidFill>
                    <a:srgbClr val="BFBFBF"/>
                  </a:solidFill>
                </a:ln>
              </c:spPr>
            </c:marker>
            <c:bubble3D val="0"/>
            <c:extLst>
              <c:ext xmlns:c16="http://schemas.microsoft.com/office/drawing/2014/chart" uri="{C3380CC4-5D6E-409C-BE32-E72D297353CC}">
                <c16:uniqueId val="{00000047-D018-429F-A637-182D7E151404}"/>
              </c:ext>
            </c:extLst>
          </c:dPt>
          <c:dPt>
            <c:idx val="90"/>
            <c:marker>
              <c:spPr>
                <a:solidFill>
                  <a:schemeClr val="tx2"/>
                </a:solidFill>
                <a:ln>
                  <a:solidFill>
                    <a:schemeClr val="tx2"/>
                  </a:solidFill>
                </a:ln>
              </c:spPr>
            </c:marker>
            <c:bubble3D val="0"/>
            <c:extLst>
              <c:ext xmlns:c16="http://schemas.microsoft.com/office/drawing/2014/chart" uri="{C3380CC4-5D6E-409C-BE32-E72D297353CC}">
                <c16:uniqueId val="{00000048-D018-429F-A637-182D7E151404}"/>
              </c:ext>
            </c:extLst>
          </c:dPt>
          <c:dPt>
            <c:idx val="91"/>
            <c:marker>
              <c:spPr>
                <a:solidFill>
                  <a:srgbClr val="53565A"/>
                </a:solidFill>
                <a:ln>
                  <a:solidFill>
                    <a:srgbClr val="53565A"/>
                  </a:solidFill>
                </a:ln>
              </c:spPr>
            </c:marker>
            <c:bubble3D val="0"/>
            <c:extLst>
              <c:ext xmlns:c16="http://schemas.microsoft.com/office/drawing/2014/chart" uri="{C3380CC4-5D6E-409C-BE32-E72D297353CC}">
                <c16:uniqueId val="{00000049-D018-429F-A637-182D7E151404}"/>
              </c:ext>
            </c:extLst>
          </c:dPt>
          <c:cat>
            <c:strRef>
              <c:f>'Comp to Prev_All FOEs (17-20)'!$CV$29:$GI$29</c:f>
              <c:strCache>
                <c:ptCount val="92"/>
                <c:pt idx="0">
                  <c:v>MathSci (n=20)</c:v>
                </c:pt>
                <c:pt idx="1">
                  <c:v> (n=22)</c:v>
                </c:pt>
                <c:pt idx="2">
                  <c:v> (n=21)</c:v>
                </c:pt>
                <c:pt idx="3">
                  <c:v> (n=23)</c:v>
                </c:pt>
                <c:pt idx="4">
                  <c:v>MedicalSci (n=10)</c:v>
                </c:pt>
                <c:pt idx="5">
                  <c:v> (n=9)</c:v>
                </c:pt>
                <c:pt idx="6">
                  <c:v> (n=9)</c:v>
                </c:pt>
                <c:pt idx="7">
                  <c:v> (n=9)</c:v>
                </c:pt>
                <c:pt idx="8">
                  <c:v>OthNat-PhysSci (n=22)</c:v>
                </c:pt>
                <c:pt idx="9">
                  <c:v> (n=22)</c:v>
                </c:pt>
                <c:pt idx="10">
                  <c:v> (n=22)</c:v>
                </c:pt>
                <c:pt idx="11">
                  <c:v> (n=21)</c:v>
                </c:pt>
                <c:pt idx="12">
                  <c:v>InfoTech (n=24)</c:v>
                </c:pt>
                <c:pt idx="13">
                  <c:v> (n=25)</c:v>
                </c:pt>
                <c:pt idx="14">
                  <c:v> (n=25)</c:v>
                </c:pt>
                <c:pt idx="15">
                  <c:v> (n=25)</c:v>
                </c:pt>
                <c:pt idx="16">
                  <c:v>Eng&amp;Related (n=23)</c:v>
                </c:pt>
                <c:pt idx="17">
                  <c:v> (n=23)</c:v>
                </c:pt>
                <c:pt idx="18">
                  <c:v> (n=22)</c:v>
                </c:pt>
                <c:pt idx="19">
                  <c:v> (n=23)</c:v>
                </c:pt>
                <c:pt idx="20">
                  <c:v>Archi&amp;Build (n=15)</c:v>
                </c:pt>
                <c:pt idx="21">
                  <c:v> (n=14)</c:v>
                </c:pt>
                <c:pt idx="22">
                  <c:v> (n=15)</c:v>
                </c:pt>
                <c:pt idx="23">
                  <c:v> (n=14)</c:v>
                </c:pt>
                <c:pt idx="24">
                  <c:v>Environment (n=17)</c:v>
                </c:pt>
                <c:pt idx="25">
                  <c:v> (n=18)</c:v>
                </c:pt>
                <c:pt idx="26">
                  <c:v> (n=18)</c:v>
                </c:pt>
                <c:pt idx="27">
                  <c:v> (n=20)</c:v>
                </c:pt>
                <c:pt idx="28">
                  <c:v>OthAg&amp;Enviro (n=11)</c:v>
                </c:pt>
                <c:pt idx="29">
                  <c:v> (n=11)</c:v>
                </c:pt>
                <c:pt idx="30">
                  <c:v> (n=10)</c:v>
                </c:pt>
                <c:pt idx="31">
                  <c:v> (n=11)</c:v>
                </c:pt>
                <c:pt idx="32">
                  <c:v>MedicalStudies (n=14)</c:v>
                </c:pt>
                <c:pt idx="33">
                  <c:v> (n=14)</c:v>
                </c:pt>
                <c:pt idx="34">
                  <c:v> (n=15)</c:v>
                </c:pt>
                <c:pt idx="35">
                  <c:v> (n=14)</c:v>
                </c:pt>
                <c:pt idx="36">
                  <c:v>Nursing (n=22)</c:v>
                </c:pt>
                <c:pt idx="37">
                  <c:v> (n=23)</c:v>
                </c:pt>
                <c:pt idx="38">
                  <c:v> (n=23)</c:v>
                </c:pt>
                <c:pt idx="39">
                  <c:v> (n=24)</c:v>
                </c:pt>
                <c:pt idx="40">
                  <c:v>Dental (n=7)</c:v>
                </c:pt>
                <c:pt idx="41">
                  <c:v> (n=7)</c:v>
                </c:pt>
                <c:pt idx="42">
                  <c:v> (n=6)</c:v>
                </c:pt>
                <c:pt idx="43">
                  <c:v> (n=7)</c:v>
                </c:pt>
                <c:pt idx="44">
                  <c:v>Veterinary (n=3)</c:v>
                </c:pt>
                <c:pt idx="45">
                  <c:v> (n=3)</c:v>
                </c:pt>
                <c:pt idx="46">
                  <c:v> (n=2)</c:v>
                </c:pt>
                <c:pt idx="47">
                  <c:v> (n=2)</c:v>
                </c:pt>
                <c:pt idx="48">
                  <c:v>OthHealth (n=24)</c:v>
                </c:pt>
                <c:pt idx="49">
                  <c:v> (n=25)</c:v>
                </c:pt>
                <c:pt idx="50">
                  <c:v> (n=25)</c:v>
                </c:pt>
                <c:pt idx="51">
                  <c:v> (n=25)</c:v>
                </c:pt>
                <c:pt idx="52">
                  <c:v>Education (n=24)</c:v>
                </c:pt>
                <c:pt idx="53">
                  <c:v> (n=25)</c:v>
                </c:pt>
                <c:pt idx="54">
                  <c:v> (n=25)</c:v>
                </c:pt>
                <c:pt idx="55">
                  <c:v> (n=25)</c:v>
                </c:pt>
                <c:pt idx="56">
                  <c:v>Mgmt&amp;Comm (n=24)</c:v>
                </c:pt>
                <c:pt idx="57">
                  <c:v> (n=25)</c:v>
                </c:pt>
                <c:pt idx="58">
                  <c:v> (n=25)</c:v>
                </c:pt>
                <c:pt idx="59">
                  <c:v> (n=25)</c:v>
                </c:pt>
                <c:pt idx="60">
                  <c:v>ForeignLang (n=8)</c:v>
                </c:pt>
                <c:pt idx="61">
                  <c:v> (n=8)</c:v>
                </c:pt>
                <c:pt idx="62">
                  <c:v> (n=8)</c:v>
                </c:pt>
                <c:pt idx="63">
                  <c:v> (n=7)</c:v>
                </c:pt>
                <c:pt idx="64">
                  <c:v>Psych (n=23)</c:v>
                </c:pt>
                <c:pt idx="65">
                  <c:v> (n=24)</c:v>
                </c:pt>
                <c:pt idx="66">
                  <c:v> (n=24)</c:v>
                </c:pt>
                <c:pt idx="67">
                  <c:v> (n=24)</c:v>
                </c:pt>
                <c:pt idx="68">
                  <c:v>OtherSoc&amp;Cult (n=24)</c:v>
                </c:pt>
                <c:pt idx="69">
                  <c:v> (n=25)</c:v>
                </c:pt>
                <c:pt idx="70">
                  <c:v> (n=25)</c:v>
                </c:pt>
                <c:pt idx="71">
                  <c:v> (n=25)</c:v>
                </c:pt>
                <c:pt idx="72">
                  <c:v>Comms&amp;Media (n=18)</c:v>
                </c:pt>
                <c:pt idx="73">
                  <c:v> (n=19)</c:v>
                </c:pt>
                <c:pt idx="74">
                  <c:v> (n=19)</c:v>
                </c:pt>
                <c:pt idx="75">
                  <c:v> (n=17)</c:v>
                </c:pt>
                <c:pt idx="76">
                  <c:v>OthCreative (n=14)</c:v>
                </c:pt>
                <c:pt idx="77">
                  <c:v> (n=16)</c:v>
                </c:pt>
                <c:pt idx="78">
                  <c:v> (n=12)</c:v>
                </c:pt>
                <c:pt idx="79">
                  <c:v> (n=13)</c:v>
                </c:pt>
                <c:pt idx="80">
                  <c:v>FoodHosp&amp;Person (n=1)</c:v>
                </c:pt>
                <c:pt idx="81">
                  <c:v> (n=1)</c:v>
                </c:pt>
                <c:pt idx="82">
                  <c:v> (n=0)</c:v>
                </c:pt>
                <c:pt idx="83">
                  <c:v> (n=0)</c:v>
                </c:pt>
                <c:pt idx="84">
                  <c:v>MixedField (n=2)</c:v>
                </c:pt>
                <c:pt idx="85">
                  <c:v> (n=2)</c:v>
                </c:pt>
                <c:pt idx="86">
                  <c:v> (n=3)</c:v>
                </c:pt>
                <c:pt idx="87">
                  <c:v> (n=4)</c:v>
                </c:pt>
                <c:pt idx="88">
                  <c:v>Total (n=24)</c:v>
                </c:pt>
                <c:pt idx="89">
                  <c:v> (n=25)</c:v>
                </c:pt>
                <c:pt idx="90">
                  <c:v> (n=25)</c:v>
                </c:pt>
                <c:pt idx="91">
                  <c:v> (n=25)</c:v>
                </c:pt>
              </c:strCache>
            </c:strRef>
          </c:cat>
          <c:val>
            <c:numRef>
              <c:f>'Comp to Prev_All FOEs (17-20)'!$CV$32:$GI$32</c:f>
              <c:numCache>
                <c:formatCode>"$"#,##0</c:formatCode>
                <c:ptCount val="92"/>
                <c:pt idx="0">
                  <c:v>22203.072162064866</c:v>
                </c:pt>
                <c:pt idx="1">
                  <c:v>21188.027959933126</c:v>
                </c:pt>
                <c:pt idx="2">
                  <c:v>21001.823065721561</c:v>
                </c:pt>
                <c:pt idx="3">
                  <c:v>22708.537755784266</c:v>
                </c:pt>
                <c:pt idx="4">
                  <c:v>23856.9211969096</c:v>
                </c:pt>
                <c:pt idx="5">
                  <c:v>26548.054666868473</c:v>
                </c:pt>
                <c:pt idx="6">
                  <c:v>32691.010243120407</c:v>
                </c:pt>
                <c:pt idx="7">
                  <c:v>36965.663937659774</c:v>
                </c:pt>
                <c:pt idx="8">
                  <c:v>31263.209543972884</c:v>
                </c:pt>
                <c:pt idx="9">
                  <c:v>32778.960308042268</c:v>
                </c:pt>
                <c:pt idx="10">
                  <c:v>30973.096438396897</c:v>
                </c:pt>
                <c:pt idx="11">
                  <c:v>30493.551349221718</c:v>
                </c:pt>
                <c:pt idx="12">
                  <c:v>21592.472443630562</c:v>
                </c:pt>
                <c:pt idx="13">
                  <c:v>19564.359817053813</c:v>
                </c:pt>
                <c:pt idx="14">
                  <c:v>19328.97245167349</c:v>
                </c:pt>
                <c:pt idx="15">
                  <c:v>18557.38735839189</c:v>
                </c:pt>
                <c:pt idx="16">
                  <c:v>25730.218849533645</c:v>
                </c:pt>
                <c:pt idx="17">
                  <c:v>24954.754757851919</c:v>
                </c:pt>
                <c:pt idx="18">
                  <c:v>25277.332100890511</c:v>
                </c:pt>
                <c:pt idx="19">
                  <c:v>25812.93048085635</c:v>
                </c:pt>
                <c:pt idx="20">
                  <c:v>22268.983104775314</c:v>
                </c:pt>
                <c:pt idx="21">
                  <c:v>22023.245816937433</c:v>
                </c:pt>
                <c:pt idx="22">
                  <c:v>21937.171271158346</c:v>
                </c:pt>
                <c:pt idx="23">
                  <c:v>22218.178970993649</c:v>
                </c:pt>
                <c:pt idx="24">
                  <c:v>27188.745324190921</c:v>
                </c:pt>
                <c:pt idx="25">
                  <c:v>25803.50523073467</c:v>
                </c:pt>
                <c:pt idx="26">
                  <c:v>26889.81366292301</c:v>
                </c:pt>
                <c:pt idx="27">
                  <c:v>23761.170474709281</c:v>
                </c:pt>
                <c:pt idx="28">
                  <c:v>39791.626161714456</c:v>
                </c:pt>
                <c:pt idx="29">
                  <c:v>43186.081535676567</c:v>
                </c:pt>
                <c:pt idx="30">
                  <c:v>41664.773938638849</c:v>
                </c:pt>
                <c:pt idx="31">
                  <c:v>44414.176203164876</c:v>
                </c:pt>
                <c:pt idx="32">
                  <c:v>35735.298776444331</c:v>
                </c:pt>
                <c:pt idx="33">
                  <c:v>35143.140432471242</c:v>
                </c:pt>
                <c:pt idx="34">
                  <c:v>36175.778339273485</c:v>
                </c:pt>
                <c:pt idx="35">
                  <c:v>35601.535647868055</c:v>
                </c:pt>
                <c:pt idx="36">
                  <c:v>21670.281442703304</c:v>
                </c:pt>
                <c:pt idx="37">
                  <c:v>22328.820636998673</c:v>
                </c:pt>
                <c:pt idx="38">
                  <c:v>20895.131256317316</c:v>
                </c:pt>
                <c:pt idx="39">
                  <c:v>21653.838427943687</c:v>
                </c:pt>
                <c:pt idx="40">
                  <c:v>44525.18821438645</c:v>
                </c:pt>
                <c:pt idx="41">
                  <c:v>47263.451893955826</c:v>
                </c:pt>
                <c:pt idx="42">
                  <c:v>50832.286283821646</c:v>
                </c:pt>
                <c:pt idx="43">
                  <c:v>48713.447841544621</c:v>
                </c:pt>
                <c:pt idx="44">
                  <c:v>82584.976436517725</c:v>
                </c:pt>
                <c:pt idx="45">
                  <c:v>63897.253031372631</c:v>
                </c:pt>
                <c:pt idx="46">
                  <c:v>66460.270536720142</c:v>
                </c:pt>
                <c:pt idx="47">
                  <c:v>64348.268168683295</c:v>
                </c:pt>
                <c:pt idx="48">
                  <c:v>25462.581800842658</c:v>
                </c:pt>
                <c:pt idx="49">
                  <c:v>25507.144728414354</c:v>
                </c:pt>
                <c:pt idx="50">
                  <c:v>25666.201091608516</c:v>
                </c:pt>
                <c:pt idx="51">
                  <c:v>25007.279343131311</c:v>
                </c:pt>
                <c:pt idx="52">
                  <c:v>17522.880894876052</c:v>
                </c:pt>
                <c:pt idx="53">
                  <c:v>18008.885307548655</c:v>
                </c:pt>
                <c:pt idx="54">
                  <c:v>18621.888712124011</c:v>
                </c:pt>
                <c:pt idx="55">
                  <c:v>18649.315899615653</c:v>
                </c:pt>
                <c:pt idx="56">
                  <c:v>18313.110967951903</c:v>
                </c:pt>
                <c:pt idx="57">
                  <c:v>18716.070484298984</c:v>
                </c:pt>
                <c:pt idx="58">
                  <c:v>18768.784255079307</c:v>
                </c:pt>
                <c:pt idx="59">
                  <c:v>18559.161443471963</c:v>
                </c:pt>
                <c:pt idx="60">
                  <c:v>20994.465869582105</c:v>
                </c:pt>
                <c:pt idx="61">
                  <c:v>24719.861956031458</c:v>
                </c:pt>
                <c:pt idx="62">
                  <c:v>23428.235321138196</c:v>
                </c:pt>
                <c:pt idx="63">
                  <c:v>31310.704810391264</c:v>
                </c:pt>
                <c:pt idx="64">
                  <c:v>22140.288472448916</c:v>
                </c:pt>
                <c:pt idx="65">
                  <c:v>22388.506131637059</c:v>
                </c:pt>
                <c:pt idx="66">
                  <c:v>22821.208034979252</c:v>
                </c:pt>
                <c:pt idx="67">
                  <c:v>22610.23533829283</c:v>
                </c:pt>
                <c:pt idx="68">
                  <c:v>19214.302768669204</c:v>
                </c:pt>
                <c:pt idx="69">
                  <c:v>19864.193765516113</c:v>
                </c:pt>
                <c:pt idx="70">
                  <c:v>19228.018329593215</c:v>
                </c:pt>
                <c:pt idx="71">
                  <c:v>18727.203203232493</c:v>
                </c:pt>
                <c:pt idx="72">
                  <c:v>16915.254481756445</c:v>
                </c:pt>
                <c:pt idx="73">
                  <c:v>16645.295508338964</c:v>
                </c:pt>
                <c:pt idx="74">
                  <c:v>17473.944390262328</c:v>
                </c:pt>
                <c:pt idx="75">
                  <c:v>18422.920083054763</c:v>
                </c:pt>
                <c:pt idx="76">
                  <c:v>27102.556875037506</c:v>
                </c:pt>
                <c:pt idx="77">
                  <c:v>22996.964450150044</c:v>
                </c:pt>
                <c:pt idx="78">
                  <c:v>25627.235270586552</c:v>
                </c:pt>
                <c:pt idx="79">
                  <c:v>26128.32284165304</c:v>
                </c:pt>
                <c:pt idx="80">
                  <c:v>17197.49365608512</c:v>
                </c:pt>
                <c:pt idx="81">
                  <c:v>30480.522028614407</c:v>
                </c:pt>
                <c:pt idx="82">
                  <c:v>#N/A</c:v>
                </c:pt>
                <c:pt idx="83">
                  <c:v>#N/A</c:v>
                </c:pt>
                <c:pt idx="84">
                  <c:v>50256.175463841464</c:v>
                </c:pt>
                <c:pt idx="85">
                  <c:v>25233.757784823028</c:v>
                </c:pt>
                <c:pt idx="86">
                  <c:v>24135.1073498613</c:v>
                </c:pt>
                <c:pt idx="87">
                  <c:v>24240.950800239887</c:v>
                </c:pt>
                <c:pt idx="88">
                  <c:v>22201.332561676096</c:v>
                </c:pt>
                <c:pt idx="89">
                  <c:v>22026.572663177383</c:v>
                </c:pt>
                <c:pt idx="90">
                  <c:v>22039.826239108879</c:v>
                </c:pt>
                <c:pt idx="91">
                  <c:v>21962.116212053403</c:v>
                </c:pt>
              </c:numCache>
            </c:numRef>
          </c:val>
          <c:smooth val="0"/>
          <c:extLst>
            <c:ext xmlns:c16="http://schemas.microsoft.com/office/drawing/2014/chart" uri="{C3380CC4-5D6E-409C-BE32-E72D297353CC}">
              <c16:uniqueId val="{0000004A-D018-429F-A637-182D7E151404}"/>
            </c:ext>
          </c:extLst>
        </c:ser>
        <c:dLbls>
          <c:showLegendKey val="0"/>
          <c:showVal val="0"/>
          <c:showCatName val="0"/>
          <c:showSerName val="0"/>
          <c:showPercent val="0"/>
          <c:showBubbleSize val="0"/>
        </c:dLbls>
        <c:hiLowLines>
          <c:spPr>
            <a:ln w="9525" cap="flat" cmpd="sng" algn="ctr">
              <a:solidFill>
                <a:schemeClr val="accent5"/>
              </a:solidFill>
              <a:round/>
            </a:ln>
            <a:effectLst/>
          </c:spPr>
        </c:hiLowLines>
        <c:axId val="932373791"/>
        <c:axId val="932351327"/>
      </c:stockChart>
      <c:catAx>
        <c:axId val="932373791"/>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6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51327"/>
        <c:crosses val="autoZero"/>
        <c:auto val="1"/>
        <c:lblAlgn val="ctr"/>
        <c:lblOffset val="100"/>
        <c:tickLblSkip val="1"/>
        <c:tickMarkSkip val="4"/>
        <c:noMultiLvlLbl val="0"/>
      </c:catAx>
      <c:valAx>
        <c:axId val="932351327"/>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32373791"/>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2">
    <c:autoUpdate val="0"/>
  </c:externalData>
  <c:userShapes r:id="rId3"/>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7899143249644468E-2"/>
          <c:y val="2.9166680883635818E-2"/>
          <c:w val="0.93173872975459648"/>
          <c:h val="0.72423060454398813"/>
        </c:manualLayout>
      </c:layout>
      <c:stockChart>
        <c:ser>
          <c:idx val="0"/>
          <c:order val="0"/>
          <c:tx>
            <c:strRef>
              <c:f>'Comp to Prev_All FOEs (15-20)'!$DD$38</c:f>
              <c:strCache>
                <c:ptCount val="1"/>
                <c:pt idx="0">
                  <c:v>Low</c:v>
                </c:pt>
              </c:strCache>
            </c:strRef>
          </c:tx>
          <c:spPr>
            <a:ln w="28575" cap="rnd">
              <a:noFill/>
              <a:round/>
            </a:ln>
            <a:effectLst/>
          </c:spPr>
          <c:marker>
            <c:symbol val="none"/>
          </c:marker>
          <c:cat>
            <c:strRef>
              <c:f>'Comp to Prev_All FOEs (15-20)'!$DE$6:$GZ$6</c:f>
              <c:strCache>
                <c:ptCount val="100"/>
                <c:pt idx="0">
                  <c:v>MathSci (n=17)</c:v>
                </c:pt>
                <c:pt idx="1">
                  <c:v>(n=17)</c:v>
                </c:pt>
                <c:pt idx="2">
                  <c:v>(n=17)</c:v>
                </c:pt>
                <c:pt idx="3">
                  <c:v>(n=17)</c:v>
                </c:pt>
                <c:pt idx="4">
                  <c:v>(n=17)</c:v>
                </c:pt>
                <c:pt idx="5">
                  <c:v>MedicalSci (n=12)</c:v>
                </c:pt>
                <c:pt idx="6">
                  <c:v>(n=14)</c:v>
                </c:pt>
                <c:pt idx="7">
                  <c:v>(n=14)</c:v>
                </c:pt>
                <c:pt idx="8">
                  <c:v>(n=13)</c:v>
                </c:pt>
                <c:pt idx="9">
                  <c:v>(n=13)</c:v>
                </c:pt>
                <c:pt idx="10">
                  <c:v>OthNat-PhysSci (n=17)</c:v>
                </c:pt>
                <c:pt idx="11">
                  <c:v>(n=17)</c:v>
                </c:pt>
                <c:pt idx="12">
                  <c:v>(n=17)</c:v>
                </c:pt>
                <c:pt idx="13">
                  <c:v>(n=17)</c:v>
                </c:pt>
                <c:pt idx="14">
                  <c:v>(n=17)</c:v>
                </c:pt>
                <c:pt idx="15">
                  <c:v>InfoTech (n=17)</c:v>
                </c:pt>
                <c:pt idx="16">
                  <c:v>(n=17)</c:v>
                </c:pt>
                <c:pt idx="17">
                  <c:v>(n=17)</c:v>
                </c:pt>
                <c:pt idx="18">
                  <c:v>(n=17)</c:v>
                </c:pt>
                <c:pt idx="19">
                  <c:v>(n=17)</c:v>
                </c:pt>
                <c:pt idx="20">
                  <c:v>Eng&amp;Related (n=17)</c:v>
                </c:pt>
                <c:pt idx="21">
                  <c:v>(n=17)</c:v>
                </c:pt>
                <c:pt idx="22">
                  <c:v>(n=17)</c:v>
                </c:pt>
                <c:pt idx="23">
                  <c:v>(n=17)</c:v>
                </c:pt>
                <c:pt idx="24">
                  <c:v>(n=17)</c:v>
                </c:pt>
                <c:pt idx="25">
                  <c:v>Archi&amp;Build (n=14)</c:v>
                </c:pt>
                <c:pt idx="26">
                  <c:v>(n=14)</c:v>
                </c:pt>
                <c:pt idx="27">
                  <c:v>(n=14)</c:v>
                </c:pt>
                <c:pt idx="28">
                  <c:v>(n=14)</c:v>
                </c:pt>
                <c:pt idx="29">
                  <c:v>(n=14)</c:v>
                </c:pt>
                <c:pt idx="30">
                  <c:v>Environment (n=17)</c:v>
                </c:pt>
                <c:pt idx="31">
                  <c:v>(n=17)</c:v>
                </c:pt>
                <c:pt idx="32">
                  <c:v>(n=17)</c:v>
                </c:pt>
                <c:pt idx="33">
                  <c:v>(n=17)</c:v>
                </c:pt>
                <c:pt idx="34">
                  <c:v>(n=17)</c:v>
                </c:pt>
                <c:pt idx="35">
                  <c:v>OthAg&amp;Enviro (n=12)</c:v>
                </c:pt>
                <c:pt idx="36">
                  <c:v>(n=11)</c:v>
                </c:pt>
                <c:pt idx="37">
                  <c:v>(n=11)</c:v>
                </c:pt>
                <c:pt idx="38">
                  <c:v>(n=11)</c:v>
                </c:pt>
                <c:pt idx="39">
                  <c:v>(n=10)</c:v>
                </c:pt>
                <c:pt idx="40">
                  <c:v>MedicalStudies (n=14)</c:v>
                </c:pt>
                <c:pt idx="41">
                  <c:v>(n=14)</c:v>
                </c:pt>
                <c:pt idx="42">
                  <c:v>(n=13)</c:v>
                </c:pt>
                <c:pt idx="43">
                  <c:v>(n=13)</c:v>
                </c:pt>
                <c:pt idx="44">
                  <c:v>(n=12)</c:v>
                </c:pt>
                <c:pt idx="45">
                  <c:v>Dental (n=7)</c:v>
                </c:pt>
                <c:pt idx="46">
                  <c:v>(n=7)</c:v>
                </c:pt>
                <c:pt idx="47">
                  <c:v>(n=7)</c:v>
                </c:pt>
                <c:pt idx="48">
                  <c:v>(n=7)</c:v>
                </c:pt>
                <c:pt idx="49">
                  <c:v>(n=7)</c:v>
                </c:pt>
                <c:pt idx="50">
                  <c:v>Veterinary (n=5)</c:v>
                </c:pt>
                <c:pt idx="51">
                  <c:v>(n=5)</c:v>
                </c:pt>
                <c:pt idx="52">
                  <c:v>(n=5)</c:v>
                </c:pt>
                <c:pt idx="53">
                  <c:v>(n=5)</c:v>
                </c:pt>
                <c:pt idx="54">
                  <c:v>(n=5)</c:v>
                </c:pt>
                <c:pt idx="55">
                  <c:v>OthHealth (n=17)</c:v>
                </c:pt>
                <c:pt idx="56">
                  <c:v>(n=17)</c:v>
                </c:pt>
                <c:pt idx="57">
                  <c:v>(n=17)</c:v>
                </c:pt>
                <c:pt idx="58">
                  <c:v>(n=17)</c:v>
                </c:pt>
                <c:pt idx="59">
                  <c:v>(n=17)</c:v>
                </c:pt>
                <c:pt idx="60">
                  <c:v>Education (n=17)</c:v>
                </c:pt>
                <c:pt idx="61">
                  <c:v>(n=17)</c:v>
                </c:pt>
                <c:pt idx="62">
                  <c:v>(n=17)</c:v>
                </c:pt>
                <c:pt idx="63">
                  <c:v>(n=17)</c:v>
                </c:pt>
                <c:pt idx="64">
                  <c:v>(n=17)</c:v>
                </c:pt>
                <c:pt idx="65">
                  <c:v>Mgmt&amp;Comm (n=17)</c:v>
                </c:pt>
                <c:pt idx="66">
                  <c:v>(n=17)</c:v>
                </c:pt>
                <c:pt idx="67">
                  <c:v>(n=17)</c:v>
                </c:pt>
                <c:pt idx="68">
                  <c:v>(n=17)</c:v>
                </c:pt>
                <c:pt idx="69">
                  <c:v>(n=17)</c:v>
                </c:pt>
                <c:pt idx="70">
                  <c:v>ForeignLang (n=14)</c:v>
                </c:pt>
                <c:pt idx="71">
                  <c:v>(n=14)</c:v>
                </c:pt>
                <c:pt idx="72">
                  <c:v>(n=13)</c:v>
                </c:pt>
                <c:pt idx="73">
                  <c:v>(n=12)</c:v>
                </c:pt>
                <c:pt idx="74">
                  <c:v>(n=13)</c:v>
                </c:pt>
                <c:pt idx="75">
                  <c:v>Psych (n=16)</c:v>
                </c:pt>
                <c:pt idx="76">
                  <c:v>(n=17)</c:v>
                </c:pt>
                <c:pt idx="77">
                  <c:v>(n=17)</c:v>
                </c:pt>
                <c:pt idx="78">
                  <c:v>(n=17)</c:v>
                </c:pt>
                <c:pt idx="79">
                  <c:v>(n=17)</c:v>
                </c:pt>
                <c:pt idx="80">
                  <c:v>OtherSoc&amp;Cult (n=17)</c:v>
                </c:pt>
                <c:pt idx="81">
                  <c:v>(n=17)</c:v>
                </c:pt>
                <c:pt idx="82">
                  <c:v>(n=17)</c:v>
                </c:pt>
                <c:pt idx="83">
                  <c:v>(n=17)</c:v>
                </c:pt>
                <c:pt idx="84">
                  <c:v>(n=17)</c:v>
                </c:pt>
                <c:pt idx="85">
                  <c:v>Comms&amp;Media (n=17)</c:v>
                </c:pt>
                <c:pt idx="86">
                  <c:v>(n=17)</c:v>
                </c:pt>
                <c:pt idx="87">
                  <c:v>(n=17)</c:v>
                </c:pt>
                <c:pt idx="88">
                  <c:v>(n=17)</c:v>
                </c:pt>
                <c:pt idx="89">
                  <c:v>(n=17)</c:v>
                </c:pt>
                <c:pt idx="90">
                  <c:v>OthCreative (n=17)</c:v>
                </c:pt>
                <c:pt idx="91">
                  <c:v>(n=17)</c:v>
                </c:pt>
                <c:pt idx="92">
                  <c:v>(n=17)</c:v>
                </c:pt>
                <c:pt idx="93">
                  <c:v>(n=17)</c:v>
                </c:pt>
                <c:pt idx="94">
                  <c:v>(n=17)</c:v>
                </c:pt>
                <c:pt idx="95">
                  <c:v>Total (n=17)</c:v>
                </c:pt>
                <c:pt idx="96">
                  <c:v>(n=17)</c:v>
                </c:pt>
                <c:pt idx="97">
                  <c:v>(n=17)</c:v>
                </c:pt>
                <c:pt idx="98">
                  <c:v>(n=17)</c:v>
                </c:pt>
                <c:pt idx="99">
                  <c:v>(n=17)</c:v>
                </c:pt>
              </c:strCache>
            </c:strRef>
          </c:cat>
          <c:val>
            <c:numRef>
              <c:f>'Comp to Prev_All FOEs (15-20)'!$DE$38:$GZ$38</c:f>
              <c:numCache>
                <c:formatCode>#,##0.00</c:formatCode>
                <c:ptCount val="100"/>
                <c:pt idx="0">
                  <c:v>0.48266113507463099</c:v>
                </c:pt>
                <c:pt idx="1">
                  <c:v>0.61838659867691603</c:v>
                </c:pt>
                <c:pt idx="2">
                  <c:v>0.61267786298255633</c:v>
                </c:pt>
                <c:pt idx="3">
                  <c:v>0.53934207472126539</c:v>
                </c:pt>
                <c:pt idx="4">
                  <c:v>0.53339474115508489</c:v>
                </c:pt>
                <c:pt idx="5">
                  <c:v>0.54078285559297834</c:v>
                </c:pt>
                <c:pt idx="6">
                  <c:v>0.50897265786401291</c:v>
                </c:pt>
                <c:pt idx="7">
                  <c:v>0.50187154168197035</c:v>
                </c:pt>
                <c:pt idx="8">
                  <c:v>0.25799315482628976</c:v>
                </c:pt>
                <c:pt idx="9">
                  <c:v>0.26618140590852846</c:v>
                </c:pt>
                <c:pt idx="10">
                  <c:v>0.40085811484206663</c:v>
                </c:pt>
                <c:pt idx="11">
                  <c:v>0.57911022342168483</c:v>
                </c:pt>
                <c:pt idx="12">
                  <c:v>0.5555858234022838</c:v>
                </c:pt>
                <c:pt idx="13">
                  <c:v>0.513680523499079</c:v>
                </c:pt>
                <c:pt idx="14">
                  <c:v>0.55779887144109486</c:v>
                </c:pt>
                <c:pt idx="15">
                  <c:v>0.48516590977610069</c:v>
                </c:pt>
                <c:pt idx="16">
                  <c:v>0.46909177959541137</c:v>
                </c:pt>
                <c:pt idx="17">
                  <c:v>0.27952387782830018</c:v>
                </c:pt>
                <c:pt idx="18">
                  <c:v>0.24093485001831913</c:v>
                </c:pt>
                <c:pt idx="19">
                  <c:v>0.28087544997046504</c:v>
                </c:pt>
                <c:pt idx="20">
                  <c:v>0.46996345599913336</c:v>
                </c:pt>
                <c:pt idx="21">
                  <c:v>0.55191343184073283</c:v>
                </c:pt>
                <c:pt idx="22">
                  <c:v>0.57551966602355931</c:v>
                </c:pt>
                <c:pt idx="23">
                  <c:v>0.63490204034315378</c:v>
                </c:pt>
                <c:pt idx="24">
                  <c:v>0.5627291775381702</c:v>
                </c:pt>
                <c:pt idx="25">
                  <c:v>0.59893479222144419</c:v>
                </c:pt>
                <c:pt idx="26">
                  <c:v>0.77356636680725088</c:v>
                </c:pt>
                <c:pt idx="27">
                  <c:v>0.74319671781389018</c:v>
                </c:pt>
                <c:pt idx="28">
                  <c:v>0.72423812258650577</c:v>
                </c:pt>
                <c:pt idx="29">
                  <c:v>0.59535437553512949</c:v>
                </c:pt>
                <c:pt idx="30">
                  <c:v>0.29783932818951858</c:v>
                </c:pt>
                <c:pt idx="31">
                  <c:v>0.52319678236879519</c:v>
                </c:pt>
                <c:pt idx="32">
                  <c:v>0.42211402489296818</c:v>
                </c:pt>
                <c:pt idx="33">
                  <c:v>0.32556939232463022</c:v>
                </c:pt>
                <c:pt idx="34">
                  <c:v>0.47893462254307267</c:v>
                </c:pt>
                <c:pt idx="35">
                  <c:v>0.61634272216046071</c:v>
                </c:pt>
                <c:pt idx="36">
                  <c:v>0.59789210284786287</c:v>
                </c:pt>
                <c:pt idx="37">
                  <c:v>0.54295819906577125</c:v>
                </c:pt>
                <c:pt idx="38">
                  <c:v>0.78436079726793495</c:v>
                </c:pt>
                <c:pt idx="39">
                  <c:v>0.73367761777233043</c:v>
                </c:pt>
                <c:pt idx="40">
                  <c:v>0.35154252424675569</c:v>
                </c:pt>
                <c:pt idx="41">
                  <c:v>0.51499230695391518</c:v>
                </c:pt>
                <c:pt idx="42">
                  <c:v>0.50562874829638471</c:v>
                </c:pt>
                <c:pt idx="43">
                  <c:v>0.57893290449926094</c:v>
                </c:pt>
                <c:pt idx="44">
                  <c:v>0.46372775912681424</c:v>
                </c:pt>
                <c:pt idx="45">
                  <c:v>0.73451138523375681</c:v>
                </c:pt>
                <c:pt idx="46">
                  <c:v>0.74966155788027544</c:v>
                </c:pt>
                <c:pt idx="47">
                  <c:v>0.77803259024248139</c:v>
                </c:pt>
                <c:pt idx="48">
                  <c:v>0.85446890172416545</c:v>
                </c:pt>
                <c:pt idx="49">
                  <c:v>0.90704550143306539</c:v>
                </c:pt>
                <c:pt idx="50">
                  <c:v>1.0082626380162003</c:v>
                </c:pt>
                <c:pt idx="51">
                  <c:v>0.853248391044646</c:v>
                </c:pt>
                <c:pt idx="52">
                  <c:v>0.64194694845465816</c:v>
                </c:pt>
                <c:pt idx="53">
                  <c:v>1.0068779686084404</c:v>
                </c:pt>
                <c:pt idx="54">
                  <c:v>1.0420489521140017</c:v>
                </c:pt>
                <c:pt idx="55">
                  <c:v>0.65488426546467615</c:v>
                </c:pt>
                <c:pt idx="56">
                  <c:v>0.63970986024200915</c:v>
                </c:pt>
                <c:pt idx="57">
                  <c:v>0.66354879747662965</c:v>
                </c:pt>
                <c:pt idx="58">
                  <c:v>0.6758542602563079</c:v>
                </c:pt>
                <c:pt idx="59">
                  <c:v>0.70511470574982771</c:v>
                </c:pt>
                <c:pt idx="60">
                  <c:v>0.47496361633253936</c:v>
                </c:pt>
                <c:pt idx="61">
                  <c:v>0.60534126011439005</c:v>
                </c:pt>
                <c:pt idx="62">
                  <c:v>0.6923674515496866</c:v>
                </c:pt>
                <c:pt idx="63">
                  <c:v>0.66632099373000064</c:v>
                </c:pt>
                <c:pt idx="64">
                  <c:v>0.63197920408752106</c:v>
                </c:pt>
                <c:pt idx="65">
                  <c:v>0.52320514516191441</c:v>
                </c:pt>
                <c:pt idx="66">
                  <c:v>0.84853381552974183</c:v>
                </c:pt>
                <c:pt idx="67">
                  <c:v>0.81687575909489152</c:v>
                </c:pt>
                <c:pt idx="68">
                  <c:v>0.90665337504924104</c:v>
                </c:pt>
                <c:pt idx="69">
                  <c:v>0.85775130247099185</c:v>
                </c:pt>
                <c:pt idx="70">
                  <c:v>0.55914322396640337</c:v>
                </c:pt>
                <c:pt idx="71">
                  <c:v>0.6737616680054378</c:v>
                </c:pt>
                <c:pt idx="72">
                  <c:v>0.65311077984304322</c:v>
                </c:pt>
                <c:pt idx="73">
                  <c:v>0.72737481763022982</c:v>
                </c:pt>
                <c:pt idx="74">
                  <c:v>0.38655929802379979</c:v>
                </c:pt>
                <c:pt idx="75">
                  <c:v>0.35794604491090282</c:v>
                </c:pt>
                <c:pt idx="76">
                  <c:v>0.6669390258672182</c:v>
                </c:pt>
                <c:pt idx="77">
                  <c:v>0.71715758152144449</c:v>
                </c:pt>
                <c:pt idx="78">
                  <c:v>0.57311331167472879</c:v>
                </c:pt>
                <c:pt idx="79">
                  <c:v>0.53451777104168741</c:v>
                </c:pt>
                <c:pt idx="80">
                  <c:v>0.5248989185882641</c:v>
                </c:pt>
                <c:pt idx="81">
                  <c:v>0.77044972399740497</c:v>
                </c:pt>
                <c:pt idx="82">
                  <c:v>0.76500766233985906</c:v>
                </c:pt>
                <c:pt idx="83">
                  <c:v>0.71504837346470895</c:v>
                </c:pt>
                <c:pt idx="84">
                  <c:v>0.66522304190336679</c:v>
                </c:pt>
                <c:pt idx="85">
                  <c:v>0.50167510469160792</c:v>
                </c:pt>
                <c:pt idx="86">
                  <c:v>0.54013757909722226</c:v>
                </c:pt>
                <c:pt idx="87">
                  <c:v>0.6034879667854729</c:v>
                </c:pt>
                <c:pt idx="88">
                  <c:v>0.54671146999913112</c:v>
                </c:pt>
                <c:pt idx="89">
                  <c:v>0.57031491433495873</c:v>
                </c:pt>
                <c:pt idx="90">
                  <c:v>0.72990743038180728</c:v>
                </c:pt>
                <c:pt idx="91">
                  <c:v>0.76739901871470828</c:v>
                </c:pt>
                <c:pt idx="92">
                  <c:v>0.76810615331364573</c:v>
                </c:pt>
                <c:pt idx="93">
                  <c:v>0.66849962213315284</c:v>
                </c:pt>
                <c:pt idx="94">
                  <c:v>0.63767941634435643</c:v>
                </c:pt>
                <c:pt idx="95">
                  <c:v>0.65016030065854158</c:v>
                </c:pt>
                <c:pt idx="96">
                  <c:v>0.72067228404945916</c:v>
                </c:pt>
                <c:pt idx="97">
                  <c:v>0.73737878892856179</c:v>
                </c:pt>
                <c:pt idx="98">
                  <c:v>0.66246677671203802</c:v>
                </c:pt>
                <c:pt idx="99">
                  <c:v>0.65205420983157591</c:v>
                </c:pt>
              </c:numCache>
            </c:numRef>
          </c:val>
          <c:smooth val="0"/>
          <c:extLst>
            <c:ext xmlns:c16="http://schemas.microsoft.com/office/drawing/2014/chart" uri="{C3380CC4-5D6E-409C-BE32-E72D297353CC}">
              <c16:uniqueId val="{00000000-820C-4E85-A211-80D02068E74C}"/>
            </c:ext>
          </c:extLst>
        </c:ser>
        <c:ser>
          <c:idx val="1"/>
          <c:order val="1"/>
          <c:tx>
            <c:strRef>
              <c:f>'Comp to Prev_All FOEs (15-20)'!$DD$37</c:f>
              <c:strCache>
                <c:ptCount val="1"/>
                <c:pt idx="0">
                  <c:v>High</c:v>
                </c:pt>
              </c:strCache>
            </c:strRef>
          </c:tx>
          <c:spPr>
            <a:ln w="28575" cap="rnd">
              <a:noFill/>
              <a:round/>
            </a:ln>
            <a:effectLst/>
          </c:spPr>
          <c:marker>
            <c:symbol val="none"/>
          </c:marker>
          <c:cat>
            <c:strRef>
              <c:f>'Comp to Prev_All FOEs (15-20)'!$DE$6:$GZ$6</c:f>
              <c:strCache>
                <c:ptCount val="100"/>
                <c:pt idx="0">
                  <c:v>MathSci (n=17)</c:v>
                </c:pt>
                <c:pt idx="1">
                  <c:v>(n=17)</c:v>
                </c:pt>
                <c:pt idx="2">
                  <c:v>(n=17)</c:v>
                </c:pt>
                <c:pt idx="3">
                  <c:v>(n=17)</c:v>
                </c:pt>
                <c:pt idx="4">
                  <c:v>(n=17)</c:v>
                </c:pt>
                <c:pt idx="5">
                  <c:v>MedicalSci (n=12)</c:v>
                </c:pt>
                <c:pt idx="6">
                  <c:v>(n=14)</c:v>
                </c:pt>
                <c:pt idx="7">
                  <c:v>(n=14)</c:v>
                </c:pt>
                <c:pt idx="8">
                  <c:v>(n=13)</c:v>
                </c:pt>
                <c:pt idx="9">
                  <c:v>(n=13)</c:v>
                </c:pt>
                <c:pt idx="10">
                  <c:v>OthNat-PhysSci (n=17)</c:v>
                </c:pt>
                <c:pt idx="11">
                  <c:v>(n=17)</c:v>
                </c:pt>
                <c:pt idx="12">
                  <c:v>(n=17)</c:v>
                </c:pt>
                <c:pt idx="13">
                  <c:v>(n=17)</c:v>
                </c:pt>
                <c:pt idx="14">
                  <c:v>(n=17)</c:v>
                </c:pt>
                <c:pt idx="15">
                  <c:v>InfoTech (n=17)</c:v>
                </c:pt>
                <c:pt idx="16">
                  <c:v>(n=17)</c:v>
                </c:pt>
                <c:pt idx="17">
                  <c:v>(n=17)</c:v>
                </c:pt>
                <c:pt idx="18">
                  <c:v>(n=17)</c:v>
                </c:pt>
                <c:pt idx="19">
                  <c:v>(n=17)</c:v>
                </c:pt>
                <c:pt idx="20">
                  <c:v>Eng&amp;Related (n=17)</c:v>
                </c:pt>
                <c:pt idx="21">
                  <c:v>(n=17)</c:v>
                </c:pt>
                <c:pt idx="22">
                  <c:v>(n=17)</c:v>
                </c:pt>
                <c:pt idx="23">
                  <c:v>(n=17)</c:v>
                </c:pt>
                <c:pt idx="24">
                  <c:v>(n=17)</c:v>
                </c:pt>
                <c:pt idx="25">
                  <c:v>Archi&amp;Build (n=14)</c:v>
                </c:pt>
                <c:pt idx="26">
                  <c:v>(n=14)</c:v>
                </c:pt>
                <c:pt idx="27">
                  <c:v>(n=14)</c:v>
                </c:pt>
                <c:pt idx="28">
                  <c:v>(n=14)</c:v>
                </c:pt>
                <c:pt idx="29">
                  <c:v>(n=14)</c:v>
                </c:pt>
                <c:pt idx="30">
                  <c:v>Environment (n=17)</c:v>
                </c:pt>
                <c:pt idx="31">
                  <c:v>(n=17)</c:v>
                </c:pt>
                <c:pt idx="32">
                  <c:v>(n=17)</c:v>
                </c:pt>
                <c:pt idx="33">
                  <c:v>(n=17)</c:v>
                </c:pt>
                <c:pt idx="34">
                  <c:v>(n=17)</c:v>
                </c:pt>
                <c:pt idx="35">
                  <c:v>OthAg&amp;Enviro (n=12)</c:v>
                </c:pt>
                <c:pt idx="36">
                  <c:v>(n=11)</c:v>
                </c:pt>
                <c:pt idx="37">
                  <c:v>(n=11)</c:v>
                </c:pt>
                <c:pt idx="38">
                  <c:v>(n=11)</c:v>
                </c:pt>
                <c:pt idx="39">
                  <c:v>(n=10)</c:v>
                </c:pt>
                <c:pt idx="40">
                  <c:v>MedicalStudies (n=14)</c:v>
                </c:pt>
                <c:pt idx="41">
                  <c:v>(n=14)</c:v>
                </c:pt>
                <c:pt idx="42">
                  <c:v>(n=13)</c:v>
                </c:pt>
                <c:pt idx="43">
                  <c:v>(n=13)</c:v>
                </c:pt>
                <c:pt idx="44">
                  <c:v>(n=12)</c:v>
                </c:pt>
                <c:pt idx="45">
                  <c:v>Dental (n=7)</c:v>
                </c:pt>
                <c:pt idx="46">
                  <c:v>(n=7)</c:v>
                </c:pt>
                <c:pt idx="47">
                  <c:v>(n=7)</c:v>
                </c:pt>
                <c:pt idx="48">
                  <c:v>(n=7)</c:v>
                </c:pt>
                <c:pt idx="49">
                  <c:v>(n=7)</c:v>
                </c:pt>
                <c:pt idx="50">
                  <c:v>Veterinary (n=5)</c:v>
                </c:pt>
                <c:pt idx="51">
                  <c:v>(n=5)</c:v>
                </c:pt>
                <c:pt idx="52">
                  <c:v>(n=5)</c:v>
                </c:pt>
                <c:pt idx="53">
                  <c:v>(n=5)</c:v>
                </c:pt>
                <c:pt idx="54">
                  <c:v>(n=5)</c:v>
                </c:pt>
                <c:pt idx="55">
                  <c:v>OthHealth (n=17)</c:v>
                </c:pt>
                <c:pt idx="56">
                  <c:v>(n=17)</c:v>
                </c:pt>
                <c:pt idx="57">
                  <c:v>(n=17)</c:v>
                </c:pt>
                <c:pt idx="58">
                  <c:v>(n=17)</c:v>
                </c:pt>
                <c:pt idx="59">
                  <c:v>(n=17)</c:v>
                </c:pt>
                <c:pt idx="60">
                  <c:v>Education (n=17)</c:v>
                </c:pt>
                <c:pt idx="61">
                  <c:v>(n=17)</c:v>
                </c:pt>
                <c:pt idx="62">
                  <c:v>(n=17)</c:v>
                </c:pt>
                <c:pt idx="63">
                  <c:v>(n=17)</c:v>
                </c:pt>
                <c:pt idx="64">
                  <c:v>(n=17)</c:v>
                </c:pt>
                <c:pt idx="65">
                  <c:v>Mgmt&amp;Comm (n=17)</c:v>
                </c:pt>
                <c:pt idx="66">
                  <c:v>(n=17)</c:v>
                </c:pt>
                <c:pt idx="67">
                  <c:v>(n=17)</c:v>
                </c:pt>
                <c:pt idx="68">
                  <c:v>(n=17)</c:v>
                </c:pt>
                <c:pt idx="69">
                  <c:v>(n=17)</c:v>
                </c:pt>
                <c:pt idx="70">
                  <c:v>ForeignLang (n=14)</c:v>
                </c:pt>
                <c:pt idx="71">
                  <c:v>(n=14)</c:v>
                </c:pt>
                <c:pt idx="72">
                  <c:v>(n=13)</c:v>
                </c:pt>
                <c:pt idx="73">
                  <c:v>(n=12)</c:v>
                </c:pt>
                <c:pt idx="74">
                  <c:v>(n=13)</c:v>
                </c:pt>
                <c:pt idx="75">
                  <c:v>Psych (n=16)</c:v>
                </c:pt>
                <c:pt idx="76">
                  <c:v>(n=17)</c:v>
                </c:pt>
                <c:pt idx="77">
                  <c:v>(n=17)</c:v>
                </c:pt>
                <c:pt idx="78">
                  <c:v>(n=17)</c:v>
                </c:pt>
                <c:pt idx="79">
                  <c:v>(n=17)</c:v>
                </c:pt>
                <c:pt idx="80">
                  <c:v>OtherSoc&amp;Cult (n=17)</c:v>
                </c:pt>
                <c:pt idx="81">
                  <c:v>(n=17)</c:v>
                </c:pt>
                <c:pt idx="82">
                  <c:v>(n=17)</c:v>
                </c:pt>
                <c:pt idx="83">
                  <c:v>(n=17)</c:v>
                </c:pt>
                <c:pt idx="84">
                  <c:v>(n=17)</c:v>
                </c:pt>
                <c:pt idx="85">
                  <c:v>Comms&amp;Media (n=17)</c:v>
                </c:pt>
                <c:pt idx="86">
                  <c:v>(n=17)</c:v>
                </c:pt>
                <c:pt idx="87">
                  <c:v>(n=17)</c:v>
                </c:pt>
                <c:pt idx="88">
                  <c:v>(n=17)</c:v>
                </c:pt>
                <c:pt idx="89">
                  <c:v>(n=17)</c:v>
                </c:pt>
                <c:pt idx="90">
                  <c:v>OthCreative (n=17)</c:v>
                </c:pt>
                <c:pt idx="91">
                  <c:v>(n=17)</c:v>
                </c:pt>
                <c:pt idx="92">
                  <c:v>(n=17)</c:v>
                </c:pt>
                <c:pt idx="93">
                  <c:v>(n=17)</c:v>
                </c:pt>
                <c:pt idx="94">
                  <c:v>(n=17)</c:v>
                </c:pt>
                <c:pt idx="95">
                  <c:v>Total (n=17)</c:v>
                </c:pt>
                <c:pt idx="96">
                  <c:v>(n=17)</c:v>
                </c:pt>
                <c:pt idx="97">
                  <c:v>(n=17)</c:v>
                </c:pt>
                <c:pt idx="98">
                  <c:v>(n=17)</c:v>
                </c:pt>
                <c:pt idx="99">
                  <c:v>(n=17)</c:v>
                </c:pt>
              </c:strCache>
            </c:strRef>
          </c:cat>
          <c:val>
            <c:numRef>
              <c:f>'Comp to Prev_All FOEs (15-20)'!$DE$37:$GZ$37</c:f>
              <c:numCache>
                <c:formatCode>#,##0.00</c:formatCode>
                <c:ptCount val="100"/>
                <c:pt idx="0">
                  <c:v>1.0684186461095229</c:v>
                </c:pt>
                <c:pt idx="1">
                  <c:v>0.93740960241950166</c:v>
                </c:pt>
                <c:pt idx="2">
                  <c:v>1.0862255010236346</c:v>
                </c:pt>
                <c:pt idx="3">
                  <c:v>1.0463339148844844</c:v>
                </c:pt>
                <c:pt idx="4">
                  <c:v>0.94463873591093428</c:v>
                </c:pt>
                <c:pt idx="5">
                  <c:v>1.0181190170730279</c:v>
                </c:pt>
                <c:pt idx="6">
                  <c:v>1.0660015908372429</c:v>
                </c:pt>
                <c:pt idx="7">
                  <c:v>1.1851020427723851</c:v>
                </c:pt>
                <c:pt idx="8">
                  <c:v>0.89418031167209477</c:v>
                </c:pt>
                <c:pt idx="9">
                  <c:v>0.9307077854686242</c:v>
                </c:pt>
                <c:pt idx="10">
                  <c:v>1.0893547750220596</c:v>
                </c:pt>
                <c:pt idx="11">
                  <c:v>0.97828042191412756</c:v>
                </c:pt>
                <c:pt idx="12">
                  <c:v>0.98370393806822354</c:v>
                </c:pt>
                <c:pt idx="13">
                  <c:v>0.98917163487797843</c:v>
                </c:pt>
                <c:pt idx="14">
                  <c:v>0.8805109926090523</c:v>
                </c:pt>
                <c:pt idx="15">
                  <c:v>1.3050450379956315</c:v>
                </c:pt>
                <c:pt idx="16">
                  <c:v>1.6567203884869788</c:v>
                </c:pt>
                <c:pt idx="17">
                  <c:v>1.1757834268576213</c:v>
                </c:pt>
                <c:pt idx="18">
                  <c:v>1.4230629161027848</c:v>
                </c:pt>
                <c:pt idx="19">
                  <c:v>1.5450888492403563</c:v>
                </c:pt>
                <c:pt idx="20">
                  <c:v>1.5997122093777598</c:v>
                </c:pt>
                <c:pt idx="21">
                  <c:v>1.6885855940423613</c:v>
                </c:pt>
                <c:pt idx="22">
                  <c:v>1.8951858807578819</c:v>
                </c:pt>
                <c:pt idx="23">
                  <c:v>1.3485184935388568</c:v>
                </c:pt>
                <c:pt idx="24">
                  <c:v>1.2831671343531315</c:v>
                </c:pt>
                <c:pt idx="25">
                  <c:v>1.1636655038900692</c:v>
                </c:pt>
                <c:pt idx="26">
                  <c:v>1.6362405022238875</c:v>
                </c:pt>
                <c:pt idx="27">
                  <c:v>1.3928902177767633</c:v>
                </c:pt>
                <c:pt idx="28">
                  <c:v>1.399660219963933</c:v>
                </c:pt>
                <c:pt idx="29">
                  <c:v>1.4133091474873638</c:v>
                </c:pt>
                <c:pt idx="30">
                  <c:v>1.0552678422874064</c:v>
                </c:pt>
                <c:pt idx="31">
                  <c:v>1.0714061929593413</c:v>
                </c:pt>
                <c:pt idx="32">
                  <c:v>1.4676401978142739</c:v>
                </c:pt>
                <c:pt idx="33">
                  <c:v>1.0245430577720271</c:v>
                </c:pt>
                <c:pt idx="34">
                  <c:v>1.1771626995910118</c:v>
                </c:pt>
                <c:pt idx="35">
                  <c:v>1.5745296359482495</c:v>
                </c:pt>
                <c:pt idx="36">
                  <c:v>1.2938476241371035</c:v>
                </c:pt>
                <c:pt idx="37">
                  <c:v>1.237585379180612</c:v>
                </c:pt>
                <c:pt idx="38">
                  <c:v>1.238861191450924</c:v>
                </c:pt>
                <c:pt idx="39">
                  <c:v>1.3021780419208151</c:v>
                </c:pt>
                <c:pt idx="40">
                  <c:v>1.8727042889696155</c:v>
                </c:pt>
                <c:pt idx="41">
                  <c:v>1.283482022391127</c:v>
                </c:pt>
                <c:pt idx="42">
                  <c:v>1.3890116345396106</c:v>
                </c:pt>
                <c:pt idx="43">
                  <c:v>1.2031640586455159</c:v>
                </c:pt>
                <c:pt idx="44">
                  <c:v>0.9727115238778109</c:v>
                </c:pt>
                <c:pt idx="45">
                  <c:v>1.8744684837457906</c:v>
                </c:pt>
                <c:pt idx="46">
                  <c:v>1.708422556656134</c:v>
                </c:pt>
                <c:pt idx="47">
                  <c:v>1.8394995757541568</c:v>
                </c:pt>
                <c:pt idx="48">
                  <c:v>1.6195871646479096</c:v>
                </c:pt>
                <c:pt idx="49">
                  <c:v>1.632684354532419</c:v>
                </c:pt>
                <c:pt idx="50">
                  <c:v>2.4346115733387479</c:v>
                </c:pt>
                <c:pt idx="51">
                  <c:v>2.252205173249854</c:v>
                </c:pt>
                <c:pt idx="52">
                  <c:v>1.911282565733097</c:v>
                </c:pt>
                <c:pt idx="53">
                  <c:v>1.6412400534122629</c:v>
                </c:pt>
                <c:pt idx="54">
                  <c:v>1.8283195252503395</c:v>
                </c:pt>
                <c:pt idx="55">
                  <c:v>1.6596048729434913</c:v>
                </c:pt>
                <c:pt idx="56">
                  <c:v>2.4563824666279075</c:v>
                </c:pt>
                <c:pt idx="57">
                  <c:v>1.731141233581813</c:v>
                </c:pt>
                <c:pt idx="58">
                  <c:v>1.2359609011970012</c:v>
                </c:pt>
                <c:pt idx="59">
                  <c:v>1.1798769264233011</c:v>
                </c:pt>
                <c:pt idx="60">
                  <c:v>1.3631794355505853</c:v>
                </c:pt>
                <c:pt idx="61">
                  <c:v>1.3990046264988369</c:v>
                </c:pt>
                <c:pt idx="62">
                  <c:v>1.3373708505958177</c:v>
                </c:pt>
                <c:pt idx="63">
                  <c:v>1.2377054222083788</c:v>
                </c:pt>
                <c:pt idx="64">
                  <c:v>1.1073469001850369</c:v>
                </c:pt>
                <c:pt idx="65">
                  <c:v>1.9222789001027476</c:v>
                </c:pt>
                <c:pt idx="66">
                  <c:v>2.4349077828875791</c:v>
                </c:pt>
                <c:pt idx="67">
                  <c:v>1.7131114451608331</c:v>
                </c:pt>
                <c:pt idx="68">
                  <c:v>1.8011839950682962</c:v>
                </c:pt>
                <c:pt idx="69">
                  <c:v>1.8318425824751781</c:v>
                </c:pt>
                <c:pt idx="70">
                  <c:v>1.7281526288062945</c:v>
                </c:pt>
                <c:pt idx="71">
                  <c:v>1.6862157496766259</c:v>
                </c:pt>
                <c:pt idx="72">
                  <c:v>2.1671355647856476</c:v>
                </c:pt>
                <c:pt idx="73">
                  <c:v>1.7294185910129911</c:v>
                </c:pt>
                <c:pt idx="74">
                  <c:v>1.570324255431047</c:v>
                </c:pt>
                <c:pt idx="75">
                  <c:v>1.143038501831279</c:v>
                </c:pt>
                <c:pt idx="76">
                  <c:v>1.3293652744488649</c:v>
                </c:pt>
                <c:pt idx="77">
                  <c:v>1.3484994767533327</c:v>
                </c:pt>
                <c:pt idx="78">
                  <c:v>1.3315848759019497</c:v>
                </c:pt>
                <c:pt idx="79">
                  <c:v>1.3727264399544146</c:v>
                </c:pt>
                <c:pt idx="80">
                  <c:v>1.2512629559304398</c:v>
                </c:pt>
                <c:pt idx="81">
                  <c:v>1.2623835088579283</c:v>
                </c:pt>
                <c:pt idx="82">
                  <c:v>1.3814873386160362</c:v>
                </c:pt>
                <c:pt idx="83">
                  <c:v>1.4142688108902635</c:v>
                </c:pt>
                <c:pt idx="84">
                  <c:v>1.3740727433993374</c:v>
                </c:pt>
                <c:pt idx="85">
                  <c:v>0.97222611859560315</c:v>
                </c:pt>
                <c:pt idx="86">
                  <c:v>1.1222486687741013</c:v>
                </c:pt>
                <c:pt idx="87">
                  <c:v>1.1335137723186082</c:v>
                </c:pt>
                <c:pt idx="88">
                  <c:v>1.2276097326838729</c:v>
                </c:pt>
                <c:pt idx="89">
                  <c:v>1.1608746379032042</c:v>
                </c:pt>
                <c:pt idx="90">
                  <c:v>2.3907145032653543</c:v>
                </c:pt>
                <c:pt idx="91">
                  <c:v>1.7301152366586636</c:v>
                </c:pt>
                <c:pt idx="92">
                  <c:v>1.3785884100735424</c:v>
                </c:pt>
                <c:pt idx="93">
                  <c:v>1.4453713602570364</c:v>
                </c:pt>
                <c:pt idx="94">
                  <c:v>1.7468707413527016</c:v>
                </c:pt>
                <c:pt idx="95">
                  <c:v>1.0018035414805857</c:v>
                </c:pt>
                <c:pt idx="96">
                  <c:v>1.1183260534461914</c:v>
                </c:pt>
                <c:pt idx="97">
                  <c:v>1.0572700222106042</c:v>
                </c:pt>
                <c:pt idx="98">
                  <c:v>1.0358127854458818</c:v>
                </c:pt>
                <c:pt idx="99">
                  <c:v>1.0504869400886245</c:v>
                </c:pt>
              </c:numCache>
            </c:numRef>
          </c:val>
          <c:smooth val="0"/>
          <c:extLst>
            <c:ext xmlns:c16="http://schemas.microsoft.com/office/drawing/2014/chart" uri="{C3380CC4-5D6E-409C-BE32-E72D297353CC}">
              <c16:uniqueId val="{00000001-820C-4E85-A211-80D02068E74C}"/>
            </c:ext>
          </c:extLst>
        </c:ser>
        <c:ser>
          <c:idx val="2"/>
          <c:order val="2"/>
          <c:tx>
            <c:strRef>
              <c:f>'Comp to Prev_All FOEs (15-20)'!$DD$39</c:f>
              <c:strCache>
                <c:ptCount val="1"/>
                <c:pt idx="0">
                  <c:v>Mean</c:v>
                </c:pt>
              </c:strCache>
            </c:strRef>
          </c:tx>
          <c:spPr>
            <a:ln w="28575" cap="rnd">
              <a:noFill/>
              <a:round/>
            </a:ln>
            <a:effectLst/>
          </c:spPr>
          <c:marker>
            <c:symbol val="diamond"/>
            <c:size val="8"/>
            <c:spPr>
              <a:solidFill>
                <a:schemeClr val="accent2"/>
              </a:solidFill>
              <a:ln w="9525">
                <a:noFill/>
              </a:ln>
              <a:effectLst/>
            </c:spPr>
          </c:marker>
          <c:dPt>
            <c:idx val="0"/>
            <c:marker>
              <c:symbol val="diamond"/>
              <c:size val="8"/>
              <c:spPr>
                <a:solidFill>
                  <a:schemeClr val="accent2"/>
                </a:solidFill>
                <a:ln w="9525">
                  <a:noFill/>
                </a:ln>
                <a:effectLst/>
              </c:spPr>
            </c:marker>
            <c:bubble3D val="0"/>
            <c:extLst>
              <c:ext xmlns:c16="http://schemas.microsoft.com/office/drawing/2014/chart" uri="{C3380CC4-5D6E-409C-BE32-E72D297353CC}">
                <c16:uniqueId val="{00000002-820C-4E85-A211-80D02068E74C}"/>
              </c:ext>
            </c:extLst>
          </c:dPt>
          <c:dPt>
            <c:idx val="1"/>
            <c:marker>
              <c:symbol val="diamond"/>
              <c:size val="8"/>
              <c:spPr>
                <a:solidFill>
                  <a:srgbClr val="00ABAB"/>
                </a:solidFill>
                <a:ln w="9525">
                  <a:noFill/>
                </a:ln>
                <a:effectLst/>
              </c:spPr>
            </c:marker>
            <c:bubble3D val="0"/>
            <c:extLst>
              <c:ext xmlns:c16="http://schemas.microsoft.com/office/drawing/2014/chart" uri="{C3380CC4-5D6E-409C-BE32-E72D297353CC}">
                <c16:uniqueId val="{00000003-820C-4E85-A211-80D02068E74C}"/>
              </c:ext>
            </c:extLst>
          </c:dPt>
          <c:dPt>
            <c:idx val="2"/>
            <c:marker>
              <c:symbol val="diamond"/>
              <c:size val="8"/>
              <c:spPr>
                <a:solidFill>
                  <a:srgbClr val="BFBFBF"/>
                </a:solidFill>
                <a:ln w="9525">
                  <a:noFill/>
                </a:ln>
                <a:effectLst/>
              </c:spPr>
            </c:marker>
            <c:bubble3D val="0"/>
            <c:extLst>
              <c:ext xmlns:c16="http://schemas.microsoft.com/office/drawing/2014/chart" uri="{C3380CC4-5D6E-409C-BE32-E72D297353CC}">
                <c16:uniqueId val="{00000004-820C-4E85-A211-80D02068E74C}"/>
              </c:ext>
            </c:extLst>
          </c:dPt>
          <c:dPt>
            <c:idx val="3"/>
            <c:marker>
              <c:symbol val="diamond"/>
              <c:size val="8"/>
              <c:spPr>
                <a:solidFill>
                  <a:schemeClr val="accent4"/>
                </a:solidFill>
                <a:ln w="9525">
                  <a:noFill/>
                </a:ln>
                <a:effectLst/>
              </c:spPr>
            </c:marker>
            <c:bubble3D val="0"/>
            <c:extLst>
              <c:ext xmlns:c16="http://schemas.microsoft.com/office/drawing/2014/chart" uri="{C3380CC4-5D6E-409C-BE32-E72D297353CC}">
                <c16:uniqueId val="{00000005-820C-4E85-A211-80D02068E74C}"/>
              </c:ext>
            </c:extLst>
          </c:dPt>
          <c:dPt>
            <c:idx val="4"/>
            <c:marker>
              <c:symbol val="diamond"/>
              <c:size val="8"/>
              <c:spPr>
                <a:solidFill>
                  <a:srgbClr val="53565A"/>
                </a:solidFill>
                <a:ln w="9525">
                  <a:noFill/>
                </a:ln>
                <a:effectLst/>
              </c:spPr>
            </c:marker>
            <c:bubble3D val="0"/>
            <c:extLst>
              <c:ext xmlns:c16="http://schemas.microsoft.com/office/drawing/2014/chart" uri="{C3380CC4-5D6E-409C-BE32-E72D297353CC}">
                <c16:uniqueId val="{00000006-820C-4E85-A211-80D02068E74C}"/>
              </c:ext>
            </c:extLst>
          </c:dPt>
          <c:dPt>
            <c:idx val="5"/>
            <c:marker>
              <c:symbol val="diamond"/>
              <c:size val="8"/>
              <c:spPr>
                <a:solidFill>
                  <a:schemeClr val="accent2"/>
                </a:solidFill>
                <a:ln w="9525">
                  <a:noFill/>
                </a:ln>
                <a:effectLst/>
              </c:spPr>
            </c:marker>
            <c:bubble3D val="0"/>
            <c:extLst>
              <c:ext xmlns:c16="http://schemas.microsoft.com/office/drawing/2014/chart" uri="{C3380CC4-5D6E-409C-BE32-E72D297353CC}">
                <c16:uniqueId val="{00000007-820C-4E85-A211-80D02068E74C}"/>
              </c:ext>
            </c:extLst>
          </c:dPt>
          <c:dPt>
            <c:idx val="6"/>
            <c:marker>
              <c:symbol val="diamond"/>
              <c:size val="8"/>
              <c:spPr>
                <a:solidFill>
                  <a:schemeClr val="accent2"/>
                </a:solidFill>
                <a:ln w="9525">
                  <a:noFill/>
                </a:ln>
                <a:effectLst/>
              </c:spPr>
            </c:marker>
            <c:bubble3D val="0"/>
            <c:extLst>
              <c:ext xmlns:c16="http://schemas.microsoft.com/office/drawing/2014/chart" uri="{C3380CC4-5D6E-409C-BE32-E72D297353CC}">
                <c16:uniqueId val="{00000008-820C-4E85-A211-80D02068E74C}"/>
              </c:ext>
            </c:extLst>
          </c:dPt>
          <c:dPt>
            <c:idx val="7"/>
            <c:marker>
              <c:symbol val="diamond"/>
              <c:size val="8"/>
              <c:spPr>
                <a:solidFill>
                  <a:srgbClr val="BFBFBF"/>
                </a:solidFill>
                <a:ln w="9525">
                  <a:noFill/>
                </a:ln>
                <a:effectLst/>
              </c:spPr>
            </c:marker>
            <c:bubble3D val="0"/>
            <c:extLst>
              <c:ext xmlns:c16="http://schemas.microsoft.com/office/drawing/2014/chart" uri="{C3380CC4-5D6E-409C-BE32-E72D297353CC}">
                <c16:uniqueId val="{00000009-820C-4E85-A211-80D02068E74C}"/>
              </c:ext>
            </c:extLst>
          </c:dPt>
          <c:dPt>
            <c:idx val="8"/>
            <c:marker>
              <c:symbol val="diamond"/>
              <c:size val="8"/>
              <c:spPr>
                <a:solidFill>
                  <a:schemeClr val="accent4"/>
                </a:solidFill>
                <a:ln w="9525">
                  <a:noFill/>
                </a:ln>
                <a:effectLst/>
              </c:spPr>
            </c:marker>
            <c:bubble3D val="0"/>
            <c:extLst>
              <c:ext xmlns:c16="http://schemas.microsoft.com/office/drawing/2014/chart" uri="{C3380CC4-5D6E-409C-BE32-E72D297353CC}">
                <c16:uniqueId val="{0000000A-820C-4E85-A211-80D02068E74C}"/>
              </c:ext>
            </c:extLst>
          </c:dPt>
          <c:dPt>
            <c:idx val="9"/>
            <c:marker>
              <c:symbol val="diamond"/>
              <c:size val="8"/>
              <c:spPr>
                <a:solidFill>
                  <a:srgbClr val="53565A"/>
                </a:solidFill>
                <a:ln w="9525">
                  <a:noFill/>
                </a:ln>
                <a:effectLst/>
              </c:spPr>
            </c:marker>
            <c:bubble3D val="0"/>
            <c:extLst>
              <c:ext xmlns:c16="http://schemas.microsoft.com/office/drawing/2014/chart" uri="{C3380CC4-5D6E-409C-BE32-E72D297353CC}">
                <c16:uniqueId val="{0000000B-820C-4E85-A211-80D02068E74C}"/>
              </c:ext>
            </c:extLst>
          </c:dPt>
          <c:dPt>
            <c:idx val="10"/>
            <c:marker>
              <c:symbol val="diamond"/>
              <c:size val="8"/>
              <c:spPr>
                <a:solidFill>
                  <a:schemeClr val="accent2"/>
                </a:solidFill>
                <a:ln w="9525">
                  <a:noFill/>
                </a:ln>
                <a:effectLst/>
              </c:spPr>
            </c:marker>
            <c:bubble3D val="0"/>
            <c:extLst>
              <c:ext xmlns:c16="http://schemas.microsoft.com/office/drawing/2014/chart" uri="{C3380CC4-5D6E-409C-BE32-E72D297353CC}">
                <c16:uniqueId val="{0000000C-820C-4E85-A211-80D02068E74C}"/>
              </c:ext>
            </c:extLst>
          </c:dPt>
          <c:dPt>
            <c:idx val="11"/>
            <c:marker>
              <c:symbol val="diamond"/>
              <c:size val="8"/>
              <c:spPr>
                <a:solidFill>
                  <a:srgbClr val="00ABAB"/>
                </a:solidFill>
                <a:ln w="9525">
                  <a:noFill/>
                </a:ln>
                <a:effectLst/>
              </c:spPr>
            </c:marker>
            <c:bubble3D val="0"/>
            <c:extLst>
              <c:ext xmlns:c16="http://schemas.microsoft.com/office/drawing/2014/chart" uri="{C3380CC4-5D6E-409C-BE32-E72D297353CC}">
                <c16:uniqueId val="{0000000D-820C-4E85-A211-80D02068E74C}"/>
              </c:ext>
            </c:extLst>
          </c:dPt>
          <c:dPt>
            <c:idx val="12"/>
            <c:marker>
              <c:symbol val="diamond"/>
              <c:size val="8"/>
              <c:spPr>
                <a:solidFill>
                  <a:srgbClr val="BFBFBF"/>
                </a:solidFill>
                <a:ln w="9525">
                  <a:noFill/>
                </a:ln>
                <a:effectLst/>
              </c:spPr>
            </c:marker>
            <c:bubble3D val="0"/>
            <c:extLst>
              <c:ext xmlns:c16="http://schemas.microsoft.com/office/drawing/2014/chart" uri="{C3380CC4-5D6E-409C-BE32-E72D297353CC}">
                <c16:uniqueId val="{0000000E-820C-4E85-A211-80D02068E74C}"/>
              </c:ext>
            </c:extLst>
          </c:dPt>
          <c:dPt>
            <c:idx val="13"/>
            <c:marker>
              <c:symbol val="diamond"/>
              <c:size val="8"/>
              <c:spPr>
                <a:solidFill>
                  <a:schemeClr val="accent4"/>
                </a:solidFill>
                <a:ln w="9525">
                  <a:noFill/>
                </a:ln>
                <a:effectLst/>
              </c:spPr>
            </c:marker>
            <c:bubble3D val="0"/>
            <c:extLst>
              <c:ext xmlns:c16="http://schemas.microsoft.com/office/drawing/2014/chart" uri="{C3380CC4-5D6E-409C-BE32-E72D297353CC}">
                <c16:uniqueId val="{0000000F-820C-4E85-A211-80D02068E74C}"/>
              </c:ext>
            </c:extLst>
          </c:dPt>
          <c:dPt>
            <c:idx val="14"/>
            <c:marker>
              <c:symbol val="diamond"/>
              <c:size val="8"/>
              <c:spPr>
                <a:solidFill>
                  <a:srgbClr val="53565A"/>
                </a:solidFill>
                <a:ln w="9525">
                  <a:noFill/>
                </a:ln>
                <a:effectLst/>
              </c:spPr>
            </c:marker>
            <c:bubble3D val="0"/>
            <c:extLst>
              <c:ext xmlns:c16="http://schemas.microsoft.com/office/drawing/2014/chart" uri="{C3380CC4-5D6E-409C-BE32-E72D297353CC}">
                <c16:uniqueId val="{00000010-820C-4E85-A211-80D02068E74C}"/>
              </c:ext>
            </c:extLst>
          </c:dPt>
          <c:dPt>
            <c:idx val="15"/>
            <c:marker>
              <c:symbol val="diamond"/>
              <c:size val="8"/>
              <c:spPr>
                <a:solidFill>
                  <a:schemeClr val="accent2"/>
                </a:solidFill>
                <a:ln w="9525">
                  <a:noFill/>
                </a:ln>
                <a:effectLst/>
              </c:spPr>
            </c:marker>
            <c:bubble3D val="0"/>
            <c:extLst>
              <c:ext xmlns:c16="http://schemas.microsoft.com/office/drawing/2014/chart" uri="{C3380CC4-5D6E-409C-BE32-E72D297353CC}">
                <c16:uniqueId val="{00000011-820C-4E85-A211-80D02068E74C}"/>
              </c:ext>
            </c:extLst>
          </c:dPt>
          <c:dPt>
            <c:idx val="16"/>
            <c:marker>
              <c:symbol val="diamond"/>
              <c:size val="8"/>
              <c:spPr>
                <a:solidFill>
                  <a:srgbClr val="00ABAB"/>
                </a:solidFill>
                <a:ln w="9525">
                  <a:noFill/>
                </a:ln>
                <a:effectLst/>
              </c:spPr>
            </c:marker>
            <c:bubble3D val="0"/>
            <c:extLst>
              <c:ext xmlns:c16="http://schemas.microsoft.com/office/drawing/2014/chart" uri="{C3380CC4-5D6E-409C-BE32-E72D297353CC}">
                <c16:uniqueId val="{00000012-820C-4E85-A211-80D02068E74C}"/>
              </c:ext>
            </c:extLst>
          </c:dPt>
          <c:dPt>
            <c:idx val="17"/>
            <c:marker>
              <c:symbol val="diamond"/>
              <c:size val="8"/>
              <c:spPr>
                <a:solidFill>
                  <a:srgbClr val="BFBFBF"/>
                </a:solidFill>
                <a:ln w="9525">
                  <a:noFill/>
                </a:ln>
                <a:effectLst/>
              </c:spPr>
            </c:marker>
            <c:bubble3D val="0"/>
            <c:extLst>
              <c:ext xmlns:c16="http://schemas.microsoft.com/office/drawing/2014/chart" uri="{C3380CC4-5D6E-409C-BE32-E72D297353CC}">
                <c16:uniqueId val="{00000013-820C-4E85-A211-80D02068E74C}"/>
              </c:ext>
            </c:extLst>
          </c:dPt>
          <c:dPt>
            <c:idx val="18"/>
            <c:marker>
              <c:symbol val="diamond"/>
              <c:size val="8"/>
              <c:spPr>
                <a:solidFill>
                  <a:schemeClr val="accent4"/>
                </a:solidFill>
                <a:ln w="9525">
                  <a:noFill/>
                </a:ln>
                <a:effectLst/>
              </c:spPr>
            </c:marker>
            <c:bubble3D val="0"/>
            <c:extLst>
              <c:ext xmlns:c16="http://schemas.microsoft.com/office/drawing/2014/chart" uri="{C3380CC4-5D6E-409C-BE32-E72D297353CC}">
                <c16:uniqueId val="{00000014-820C-4E85-A211-80D02068E74C}"/>
              </c:ext>
            </c:extLst>
          </c:dPt>
          <c:dPt>
            <c:idx val="19"/>
            <c:marker>
              <c:symbol val="diamond"/>
              <c:size val="8"/>
              <c:spPr>
                <a:solidFill>
                  <a:srgbClr val="53565A"/>
                </a:solidFill>
                <a:ln w="9525">
                  <a:noFill/>
                </a:ln>
                <a:effectLst/>
              </c:spPr>
            </c:marker>
            <c:bubble3D val="0"/>
            <c:extLst>
              <c:ext xmlns:c16="http://schemas.microsoft.com/office/drawing/2014/chart" uri="{C3380CC4-5D6E-409C-BE32-E72D297353CC}">
                <c16:uniqueId val="{00000015-820C-4E85-A211-80D02068E74C}"/>
              </c:ext>
            </c:extLst>
          </c:dPt>
          <c:dPt>
            <c:idx val="20"/>
            <c:marker>
              <c:symbol val="diamond"/>
              <c:size val="8"/>
              <c:spPr>
                <a:solidFill>
                  <a:schemeClr val="accent2"/>
                </a:solidFill>
                <a:ln w="9525">
                  <a:noFill/>
                </a:ln>
                <a:effectLst/>
              </c:spPr>
            </c:marker>
            <c:bubble3D val="0"/>
            <c:extLst>
              <c:ext xmlns:c16="http://schemas.microsoft.com/office/drawing/2014/chart" uri="{C3380CC4-5D6E-409C-BE32-E72D297353CC}">
                <c16:uniqueId val="{00000016-820C-4E85-A211-80D02068E74C}"/>
              </c:ext>
            </c:extLst>
          </c:dPt>
          <c:dPt>
            <c:idx val="21"/>
            <c:marker>
              <c:symbol val="diamond"/>
              <c:size val="8"/>
              <c:spPr>
                <a:solidFill>
                  <a:srgbClr val="00ABAB"/>
                </a:solidFill>
                <a:ln w="9525">
                  <a:noFill/>
                </a:ln>
                <a:effectLst/>
              </c:spPr>
            </c:marker>
            <c:bubble3D val="0"/>
            <c:extLst>
              <c:ext xmlns:c16="http://schemas.microsoft.com/office/drawing/2014/chart" uri="{C3380CC4-5D6E-409C-BE32-E72D297353CC}">
                <c16:uniqueId val="{00000017-820C-4E85-A211-80D02068E74C}"/>
              </c:ext>
            </c:extLst>
          </c:dPt>
          <c:dPt>
            <c:idx val="22"/>
            <c:marker>
              <c:symbol val="diamond"/>
              <c:size val="8"/>
              <c:spPr>
                <a:solidFill>
                  <a:srgbClr val="BFBFBF"/>
                </a:solidFill>
                <a:ln w="9525">
                  <a:noFill/>
                </a:ln>
                <a:effectLst/>
              </c:spPr>
            </c:marker>
            <c:bubble3D val="0"/>
            <c:extLst>
              <c:ext xmlns:c16="http://schemas.microsoft.com/office/drawing/2014/chart" uri="{C3380CC4-5D6E-409C-BE32-E72D297353CC}">
                <c16:uniqueId val="{00000018-820C-4E85-A211-80D02068E74C}"/>
              </c:ext>
            </c:extLst>
          </c:dPt>
          <c:dPt>
            <c:idx val="23"/>
            <c:marker>
              <c:symbol val="diamond"/>
              <c:size val="8"/>
              <c:spPr>
                <a:solidFill>
                  <a:schemeClr val="accent4"/>
                </a:solidFill>
                <a:ln w="9525">
                  <a:noFill/>
                </a:ln>
                <a:effectLst/>
              </c:spPr>
            </c:marker>
            <c:bubble3D val="0"/>
            <c:extLst>
              <c:ext xmlns:c16="http://schemas.microsoft.com/office/drawing/2014/chart" uri="{C3380CC4-5D6E-409C-BE32-E72D297353CC}">
                <c16:uniqueId val="{00000019-820C-4E85-A211-80D02068E74C}"/>
              </c:ext>
            </c:extLst>
          </c:dPt>
          <c:dPt>
            <c:idx val="24"/>
            <c:marker>
              <c:symbol val="diamond"/>
              <c:size val="8"/>
              <c:spPr>
                <a:solidFill>
                  <a:srgbClr val="53565A"/>
                </a:solidFill>
                <a:ln w="9525">
                  <a:noFill/>
                </a:ln>
                <a:effectLst/>
              </c:spPr>
            </c:marker>
            <c:bubble3D val="0"/>
            <c:extLst>
              <c:ext xmlns:c16="http://schemas.microsoft.com/office/drawing/2014/chart" uri="{C3380CC4-5D6E-409C-BE32-E72D297353CC}">
                <c16:uniqueId val="{0000001A-820C-4E85-A211-80D02068E74C}"/>
              </c:ext>
            </c:extLst>
          </c:dPt>
          <c:dPt>
            <c:idx val="25"/>
            <c:marker>
              <c:symbol val="diamond"/>
              <c:size val="8"/>
              <c:spPr>
                <a:solidFill>
                  <a:schemeClr val="accent2"/>
                </a:solidFill>
                <a:ln w="9525">
                  <a:noFill/>
                </a:ln>
                <a:effectLst/>
              </c:spPr>
            </c:marker>
            <c:bubble3D val="0"/>
            <c:extLst>
              <c:ext xmlns:c16="http://schemas.microsoft.com/office/drawing/2014/chart" uri="{C3380CC4-5D6E-409C-BE32-E72D297353CC}">
                <c16:uniqueId val="{0000001B-820C-4E85-A211-80D02068E74C}"/>
              </c:ext>
            </c:extLst>
          </c:dPt>
          <c:dPt>
            <c:idx val="26"/>
            <c:marker>
              <c:symbol val="diamond"/>
              <c:size val="8"/>
              <c:spPr>
                <a:solidFill>
                  <a:srgbClr val="00ABAB"/>
                </a:solidFill>
                <a:ln w="9525">
                  <a:noFill/>
                </a:ln>
                <a:effectLst/>
              </c:spPr>
            </c:marker>
            <c:bubble3D val="0"/>
            <c:extLst>
              <c:ext xmlns:c16="http://schemas.microsoft.com/office/drawing/2014/chart" uri="{C3380CC4-5D6E-409C-BE32-E72D297353CC}">
                <c16:uniqueId val="{0000001C-820C-4E85-A211-80D02068E74C}"/>
              </c:ext>
            </c:extLst>
          </c:dPt>
          <c:dPt>
            <c:idx val="27"/>
            <c:marker>
              <c:symbol val="diamond"/>
              <c:size val="8"/>
              <c:spPr>
                <a:solidFill>
                  <a:srgbClr val="BFBFBF"/>
                </a:solidFill>
                <a:ln w="9525">
                  <a:noFill/>
                </a:ln>
                <a:effectLst/>
              </c:spPr>
            </c:marker>
            <c:bubble3D val="0"/>
            <c:extLst>
              <c:ext xmlns:c16="http://schemas.microsoft.com/office/drawing/2014/chart" uri="{C3380CC4-5D6E-409C-BE32-E72D297353CC}">
                <c16:uniqueId val="{0000001D-820C-4E85-A211-80D02068E74C}"/>
              </c:ext>
            </c:extLst>
          </c:dPt>
          <c:dPt>
            <c:idx val="28"/>
            <c:marker>
              <c:symbol val="diamond"/>
              <c:size val="8"/>
              <c:spPr>
                <a:solidFill>
                  <a:schemeClr val="accent4"/>
                </a:solidFill>
                <a:ln w="9525">
                  <a:noFill/>
                </a:ln>
                <a:effectLst/>
              </c:spPr>
            </c:marker>
            <c:bubble3D val="0"/>
            <c:extLst>
              <c:ext xmlns:c16="http://schemas.microsoft.com/office/drawing/2014/chart" uri="{C3380CC4-5D6E-409C-BE32-E72D297353CC}">
                <c16:uniqueId val="{0000001E-820C-4E85-A211-80D02068E74C}"/>
              </c:ext>
            </c:extLst>
          </c:dPt>
          <c:dPt>
            <c:idx val="29"/>
            <c:marker>
              <c:symbol val="diamond"/>
              <c:size val="8"/>
              <c:spPr>
                <a:solidFill>
                  <a:srgbClr val="53565A"/>
                </a:solidFill>
                <a:ln w="9525">
                  <a:noFill/>
                </a:ln>
                <a:effectLst/>
              </c:spPr>
            </c:marker>
            <c:bubble3D val="0"/>
            <c:extLst>
              <c:ext xmlns:c16="http://schemas.microsoft.com/office/drawing/2014/chart" uri="{C3380CC4-5D6E-409C-BE32-E72D297353CC}">
                <c16:uniqueId val="{0000001F-820C-4E85-A211-80D02068E74C}"/>
              </c:ext>
            </c:extLst>
          </c:dPt>
          <c:dPt>
            <c:idx val="30"/>
            <c:marker>
              <c:symbol val="diamond"/>
              <c:size val="8"/>
              <c:spPr>
                <a:solidFill>
                  <a:schemeClr val="accent2"/>
                </a:solidFill>
                <a:ln w="9525">
                  <a:noFill/>
                </a:ln>
                <a:effectLst/>
              </c:spPr>
            </c:marker>
            <c:bubble3D val="0"/>
            <c:extLst>
              <c:ext xmlns:c16="http://schemas.microsoft.com/office/drawing/2014/chart" uri="{C3380CC4-5D6E-409C-BE32-E72D297353CC}">
                <c16:uniqueId val="{00000020-820C-4E85-A211-80D02068E74C}"/>
              </c:ext>
            </c:extLst>
          </c:dPt>
          <c:dPt>
            <c:idx val="31"/>
            <c:marker>
              <c:symbol val="diamond"/>
              <c:size val="8"/>
              <c:spPr>
                <a:solidFill>
                  <a:srgbClr val="00ABAB"/>
                </a:solidFill>
                <a:ln w="9525">
                  <a:noFill/>
                </a:ln>
                <a:effectLst/>
              </c:spPr>
            </c:marker>
            <c:bubble3D val="0"/>
            <c:extLst>
              <c:ext xmlns:c16="http://schemas.microsoft.com/office/drawing/2014/chart" uri="{C3380CC4-5D6E-409C-BE32-E72D297353CC}">
                <c16:uniqueId val="{00000021-820C-4E85-A211-80D02068E74C}"/>
              </c:ext>
            </c:extLst>
          </c:dPt>
          <c:dPt>
            <c:idx val="32"/>
            <c:marker>
              <c:symbol val="diamond"/>
              <c:size val="8"/>
              <c:spPr>
                <a:solidFill>
                  <a:srgbClr val="BFBFBF"/>
                </a:solidFill>
                <a:ln w="9525">
                  <a:noFill/>
                </a:ln>
                <a:effectLst/>
              </c:spPr>
            </c:marker>
            <c:bubble3D val="0"/>
            <c:extLst>
              <c:ext xmlns:c16="http://schemas.microsoft.com/office/drawing/2014/chart" uri="{C3380CC4-5D6E-409C-BE32-E72D297353CC}">
                <c16:uniqueId val="{00000022-820C-4E85-A211-80D02068E74C}"/>
              </c:ext>
            </c:extLst>
          </c:dPt>
          <c:dPt>
            <c:idx val="33"/>
            <c:marker>
              <c:symbol val="diamond"/>
              <c:size val="8"/>
              <c:spPr>
                <a:solidFill>
                  <a:schemeClr val="accent4"/>
                </a:solidFill>
                <a:ln w="9525">
                  <a:noFill/>
                </a:ln>
                <a:effectLst/>
              </c:spPr>
            </c:marker>
            <c:bubble3D val="0"/>
            <c:extLst>
              <c:ext xmlns:c16="http://schemas.microsoft.com/office/drawing/2014/chart" uri="{C3380CC4-5D6E-409C-BE32-E72D297353CC}">
                <c16:uniqueId val="{00000023-820C-4E85-A211-80D02068E74C}"/>
              </c:ext>
            </c:extLst>
          </c:dPt>
          <c:dPt>
            <c:idx val="34"/>
            <c:marker>
              <c:symbol val="diamond"/>
              <c:size val="8"/>
              <c:spPr>
                <a:solidFill>
                  <a:srgbClr val="53565A"/>
                </a:solidFill>
                <a:ln w="9525">
                  <a:noFill/>
                </a:ln>
                <a:effectLst/>
              </c:spPr>
            </c:marker>
            <c:bubble3D val="0"/>
            <c:extLst>
              <c:ext xmlns:c16="http://schemas.microsoft.com/office/drawing/2014/chart" uri="{C3380CC4-5D6E-409C-BE32-E72D297353CC}">
                <c16:uniqueId val="{00000024-820C-4E85-A211-80D02068E74C}"/>
              </c:ext>
            </c:extLst>
          </c:dPt>
          <c:dPt>
            <c:idx val="35"/>
            <c:marker>
              <c:symbol val="diamond"/>
              <c:size val="8"/>
              <c:spPr>
                <a:solidFill>
                  <a:schemeClr val="accent2"/>
                </a:solidFill>
                <a:ln w="9525">
                  <a:noFill/>
                </a:ln>
                <a:effectLst/>
              </c:spPr>
            </c:marker>
            <c:bubble3D val="0"/>
            <c:extLst>
              <c:ext xmlns:c16="http://schemas.microsoft.com/office/drawing/2014/chart" uri="{C3380CC4-5D6E-409C-BE32-E72D297353CC}">
                <c16:uniqueId val="{00000025-820C-4E85-A211-80D02068E74C}"/>
              </c:ext>
            </c:extLst>
          </c:dPt>
          <c:dPt>
            <c:idx val="36"/>
            <c:marker>
              <c:symbol val="diamond"/>
              <c:size val="8"/>
              <c:spPr>
                <a:solidFill>
                  <a:srgbClr val="00ABAB"/>
                </a:solidFill>
                <a:ln w="9525">
                  <a:noFill/>
                </a:ln>
                <a:effectLst/>
              </c:spPr>
            </c:marker>
            <c:bubble3D val="0"/>
            <c:extLst>
              <c:ext xmlns:c16="http://schemas.microsoft.com/office/drawing/2014/chart" uri="{C3380CC4-5D6E-409C-BE32-E72D297353CC}">
                <c16:uniqueId val="{00000026-820C-4E85-A211-80D02068E74C}"/>
              </c:ext>
            </c:extLst>
          </c:dPt>
          <c:dPt>
            <c:idx val="37"/>
            <c:marker>
              <c:symbol val="diamond"/>
              <c:size val="8"/>
              <c:spPr>
                <a:solidFill>
                  <a:srgbClr val="BFBFBF"/>
                </a:solidFill>
                <a:ln w="9525">
                  <a:noFill/>
                </a:ln>
                <a:effectLst/>
              </c:spPr>
            </c:marker>
            <c:bubble3D val="0"/>
            <c:extLst>
              <c:ext xmlns:c16="http://schemas.microsoft.com/office/drawing/2014/chart" uri="{C3380CC4-5D6E-409C-BE32-E72D297353CC}">
                <c16:uniqueId val="{00000027-820C-4E85-A211-80D02068E74C}"/>
              </c:ext>
            </c:extLst>
          </c:dPt>
          <c:dPt>
            <c:idx val="38"/>
            <c:marker>
              <c:symbol val="diamond"/>
              <c:size val="8"/>
              <c:spPr>
                <a:solidFill>
                  <a:schemeClr val="accent4"/>
                </a:solidFill>
                <a:ln w="9525">
                  <a:noFill/>
                </a:ln>
                <a:effectLst/>
              </c:spPr>
            </c:marker>
            <c:bubble3D val="0"/>
            <c:extLst>
              <c:ext xmlns:c16="http://schemas.microsoft.com/office/drawing/2014/chart" uri="{C3380CC4-5D6E-409C-BE32-E72D297353CC}">
                <c16:uniqueId val="{00000028-820C-4E85-A211-80D02068E74C}"/>
              </c:ext>
            </c:extLst>
          </c:dPt>
          <c:dPt>
            <c:idx val="39"/>
            <c:marker>
              <c:symbol val="diamond"/>
              <c:size val="8"/>
              <c:spPr>
                <a:solidFill>
                  <a:srgbClr val="53565A"/>
                </a:solidFill>
                <a:ln w="9525">
                  <a:noFill/>
                </a:ln>
                <a:effectLst/>
              </c:spPr>
            </c:marker>
            <c:bubble3D val="0"/>
            <c:extLst>
              <c:ext xmlns:c16="http://schemas.microsoft.com/office/drawing/2014/chart" uri="{C3380CC4-5D6E-409C-BE32-E72D297353CC}">
                <c16:uniqueId val="{00000029-820C-4E85-A211-80D02068E74C}"/>
              </c:ext>
            </c:extLst>
          </c:dPt>
          <c:dPt>
            <c:idx val="40"/>
            <c:marker>
              <c:symbol val="diamond"/>
              <c:size val="8"/>
              <c:spPr>
                <a:solidFill>
                  <a:schemeClr val="accent2"/>
                </a:solidFill>
                <a:ln w="9525">
                  <a:noFill/>
                </a:ln>
                <a:effectLst/>
              </c:spPr>
            </c:marker>
            <c:bubble3D val="0"/>
            <c:extLst>
              <c:ext xmlns:c16="http://schemas.microsoft.com/office/drawing/2014/chart" uri="{C3380CC4-5D6E-409C-BE32-E72D297353CC}">
                <c16:uniqueId val="{0000002A-820C-4E85-A211-80D02068E74C}"/>
              </c:ext>
            </c:extLst>
          </c:dPt>
          <c:dPt>
            <c:idx val="41"/>
            <c:marker>
              <c:symbol val="diamond"/>
              <c:size val="8"/>
              <c:spPr>
                <a:solidFill>
                  <a:srgbClr val="00ABAB"/>
                </a:solidFill>
                <a:ln w="9525">
                  <a:noFill/>
                </a:ln>
                <a:effectLst/>
              </c:spPr>
            </c:marker>
            <c:bubble3D val="0"/>
            <c:extLst>
              <c:ext xmlns:c16="http://schemas.microsoft.com/office/drawing/2014/chart" uri="{C3380CC4-5D6E-409C-BE32-E72D297353CC}">
                <c16:uniqueId val="{0000002B-820C-4E85-A211-80D02068E74C}"/>
              </c:ext>
            </c:extLst>
          </c:dPt>
          <c:dPt>
            <c:idx val="42"/>
            <c:marker>
              <c:symbol val="diamond"/>
              <c:size val="8"/>
              <c:spPr>
                <a:solidFill>
                  <a:srgbClr val="BFBFBF"/>
                </a:solidFill>
                <a:ln w="9525">
                  <a:noFill/>
                </a:ln>
                <a:effectLst/>
              </c:spPr>
            </c:marker>
            <c:bubble3D val="0"/>
            <c:extLst>
              <c:ext xmlns:c16="http://schemas.microsoft.com/office/drawing/2014/chart" uri="{C3380CC4-5D6E-409C-BE32-E72D297353CC}">
                <c16:uniqueId val="{0000002C-820C-4E85-A211-80D02068E74C}"/>
              </c:ext>
            </c:extLst>
          </c:dPt>
          <c:dPt>
            <c:idx val="43"/>
            <c:marker>
              <c:symbol val="diamond"/>
              <c:size val="8"/>
              <c:spPr>
                <a:solidFill>
                  <a:srgbClr val="002776"/>
                </a:solidFill>
                <a:ln w="9525">
                  <a:noFill/>
                </a:ln>
                <a:effectLst/>
              </c:spPr>
            </c:marker>
            <c:bubble3D val="0"/>
            <c:extLst>
              <c:ext xmlns:c16="http://schemas.microsoft.com/office/drawing/2014/chart" uri="{C3380CC4-5D6E-409C-BE32-E72D297353CC}">
                <c16:uniqueId val="{0000002D-820C-4E85-A211-80D02068E74C}"/>
              </c:ext>
            </c:extLst>
          </c:dPt>
          <c:dPt>
            <c:idx val="44"/>
            <c:marker>
              <c:symbol val="diamond"/>
              <c:size val="8"/>
              <c:spPr>
                <a:solidFill>
                  <a:srgbClr val="53565A"/>
                </a:solidFill>
                <a:ln w="9525">
                  <a:noFill/>
                </a:ln>
                <a:effectLst/>
              </c:spPr>
            </c:marker>
            <c:bubble3D val="0"/>
            <c:extLst>
              <c:ext xmlns:c16="http://schemas.microsoft.com/office/drawing/2014/chart" uri="{C3380CC4-5D6E-409C-BE32-E72D297353CC}">
                <c16:uniqueId val="{0000002E-820C-4E85-A211-80D02068E74C}"/>
              </c:ext>
            </c:extLst>
          </c:dPt>
          <c:dPt>
            <c:idx val="45"/>
            <c:marker>
              <c:symbol val="diamond"/>
              <c:size val="8"/>
              <c:spPr>
                <a:solidFill>
                  <a:schemeClr val="accent2"/>
                </a:solidFill>
                <a:ln w="9525">
                  <a:noFill/>
                </a:ln>
                <a:effectLst/>
              </c:spPr>
            </c:marker>
            <c:bubble3D val="0"/>
            <c:extLst>
              <c:ext xmlns:c16="http://schemas.microsoft.com/office/drawing/2014/chart" uri="{C3380CC4-5D6E-409C-BE32-E72D297353CC}">
                <c16:uniqueId val="{0000002F-820C-4E85-A211-80D02068E74C}"/>
              </c:ext>
            </c:extLst>
          </c:dPt>
          <c:dPt>
            <c:idx val="46"/>
            <c:marker>
              <c:symbol val="diamond"/>
              <c:size val="8"/>
              <c:spPr>
                <a:solidFill>
                  <a:srgbClr val="00ABAB"/>
                </a:solidFill>
                <a:ln w="9525">
                  <a:noFill/>
                </a:ln>
                <a:effectLst/>
              </c:spPr>
            </c:marker>
            <c:bubble3D val="0"/>
            <c:extLst>
              <c:ext xmlns:c16="http://schemas.microsoft.com/office/drawing/2014/chart" uri="{C3380CC4-5D6E-409C-BE32-E72D297353CC}">
                <c16:uniqueId val="{00000030-820C-4E85-A211-80D02068E74C}"/>
              </c:ext>
            </c:extLst>
          </c:dPt>
          <c:dPt>
            <c:idx val="47"/>
            <c:marker>
              <c:symbol val="diamond"/>
              <c:size val="8"/>
              <c:spPr>
                <a:solidFill>
                  <a:srgbClr val="BFBFBF"/>
                </a:solidFill>
                <a:ln w="9525">
                  <a:noFill/>
                </a:ln>
                <a:effectLst/>
              </c:spPr>
            </c:marker>
            <c:bubble3D val="0"/>
            <c:extLst>
              <c:ext xmlns:c16="http://schemas.microsoft.com/office/drawing/2014/chart" uri="{C3380CC4-5D6E-409C-BE32-E72D297353CC}">
                <c16:uniqueId val="{00000031-820C-4E85-A211-80D02068E74C}"/>
              </c:ext>
            </c:extLst>
          </c:dPt>
          <c:dPt>
            <c:idx val="48"/>
            <c:marker>
              <c:symbol val="diamond"/>
              <c:size val="8"/>
              <c:spPr>
                <a:solidFill>
                  <a:srgbClr val="002776"/>
                </a:solidFill>
                <a:ln w="9525">
                  <a:noFill/>
                </a:ln>
                <a:effectLst/>
              </c:spPr>
            </c:marker>
            <c:bubble3D val="0"/>
            <c:extLst>
              <c:ext xmlns:c16="http://schemas.microsoft.com/office/drawing/2014/chart" uri="{C3380CC4-5D6E-409C-BE32-E72D297353CC}">
                <c16:uniqueId val="{00000032-820C-4E85-A211-80D02068E74C}"/>
              </c:ext>
            </c:extLst>
          </c:dPt>
          <c:dPt>
            <c:idx val="49"/>
            <c:marker>
              <c:symbol val="diamond"/>
              <c:size val="8"/>
              <c:spPr>
                <a:solidFill>
                  <a:srgbClr val="53565A"/>
                </a:solidFill>
                <a:ln w="9525">
                  <a:noFill/>
                </a:ln>
                <a:effectLst/>
              </c:spPr>
            </c:marker>
            <c:bubble3D val="0"/>
            <c:extLst>
              <c:ext xmlns:c16="http://schemas.microsoft.com/office/drawing/2014/chart" uri="{C3380CC4-5D6E-409C-BE32-E72D297353CC}">
                <c16:uniqueId val="{00000033-820C-4E85-A211-80D02068E74C}"/>
              </c:ext>
            </c:extLst>
          </c:dPt>
          <c:dPt>
            <c:idx val="50"/>
            <c:marker>
              <c:symbol val="diamond"/>
              <c:size val="8"/>
              <c:spPr>
                <a:solidFill>
                  <a:schemeClr val="accent2"/>
                </a:solidFill>
                <a:ln w="9525">
                  <a:noFill/>
                </a:ln>
                <a:effectLst/>
              </c:spPr>
            </c:marker>
            <c:bubble3D val="0"/>
            <c:extLst>
              <c:ext xmlns:c16="http://schemas.microsoft.com/office/drawing/2014/chart" uri="{C3380CC4-5D6E-409C-BE32-E72D297353CC}">
                <c16:uniqueId val="{00000034-820C-4E85-A211-80D02068E74C}"/>
              </c:ext>
            </c:extLst>
          </c:dPt>
          <c:dPt>
            <c:idx val="51"/>
            <c:marker>
              <c:symbol val="diamond"/>
              <c:size val="8"/>
              <c:spPr>
                <a:solidFill>
                  <a:srgbClr val="00ABAB"/>
                </a:solidFill>
                <a:ln w="9525">
                  <a:noFill/>
                </a:ln>
                <a:effectLst/>
              </c:spPr>
            </c:marker>
            <c:bubble3D val="0"/>
            <c:extLst>
              <c:ext xmlns:c16="http://schemas.microsoft.com/office/drawing/2014/chart" uri="{C3380CC4-5D6E-409C-BE32-E72D297353CC}">
                <c16:uniqueId val="{00000035-820C-4E85-A211-80D02068E74C}"/>
              </c:ext>
            </c:extLst>
          </c:dPt>
          <c:dPt>
            <c:idx val="52"/>
            <c:marker>
              <c:symbol val="diamond"/>
              <c:size val="8"/>
              <c:spPr>
                <a:solidFill>
                  <a:srgbClr val="BFBFBF"/>
                </a:solidFill>
                <a:ln w="9525">
                  <a:noFill/>
                </a:ln>
                <a:effectLst/>
              </c:spPr>
            </c:marker>
            <c:bubble3D val="0"/>
            <c:extLst>
              <c:ext xmlns:c16="http://schemas.microsoft.com/office/drawing/2014/chart" uri="{C3380CC4-5D6E-409C-BE32-E72D297353CC}">
                <c16:uniqueId val="{00000036-820C-4E85-A211-80D02068E74C}"/>
              </c:ext>
            </c:extLst>
          </c:dPt>
          <c:dPt>
            <c:idx val="53"/>
            <c:marker>
              <c:symbol val="diamond"/>
              <c:size val="8"/>
              <c:spPr>
                <a:solidFill>
                  <a:srgbClr val="002776"/>
                </a:solidFill>
                <a:ln w="9525">
                  <a:noFill/>
                </a:ln>
                <a:effectLst/>
              </c:spPr>
            </c:marker>
            <c:bubble3D val="0"/>
            <c:extLst>
              <c:ext xmlns:c16="http://schemas.microsoft.com/office/drawing/2014/chart" uri="{C3380CC4-5D6E-409C-BE32-E72D297353CC}">
                <c16:uniqueId val="{00000037-820C-4E85-A211-80D02068E74C}"/>
              </c:ext>
            </c:extLst>
          </c:dPt>
          <c:dPt>
            <c:idx val="54"/>
            <c:marker>
              <c:symbol val="diamond"/>
              <c:size val="8"/>
              <c:spPr>
                <a:solidFill>
                  <a:srgbClr val="53565A"/>
                </a:solidFill>
                <a:ln w="9525">
                  <a:noFill/>
                </a:ln>
                <a:effectLst/>
              </c:spPr>
            </c:marker>
            <c:bubble3D val="0"/>
            <c:extLst>
              <c:ext xmlns:c16="http://schemas.microsoft.com/office/drawing/2014/chart" uri="{C3380CC4-5D6E-409C-BE32-E72D297353CC}">
                <c16:uniqueId val="{00000038-820C-4E85-A211-80D02068E74C}"/>
              </c:ext>
            </c:extLst>
          </c:dPt>
          <c:dPt>
            <c:idx val="55"/>
            <c:marker>
              <c:symbol val="diamond"/>
              <c:size val="8"/>
              <c:spPr>
                <a:solidFill>
                  <a:schemeClr val="accent2"/>
                </a:solidFill>
                <a:ln w="9525">
                  <a:noFill/>
                </a:ln>
                <a:effectLst/>
              </c:spPr>
            </c:marker>
            <c:bubble3D val="0"/>
            <c:extLst>
              <c:ext xmlns:c16="http://schemas.microsoft.com/office/drawing/2014/chart" uri="{C3380CC4-5D6E-409C-BE32-E72D297353CC}">
                <c16:uniqueId val="{00000039-820C-4E85-A211-80D02068E74C}"/>
              </c:ext>
            </c:extLst>
          </c:dPt>
          <c:dPt>
            <c:idx val="56"/>
            <c:marker>
              <c:symbol val="diamond"/>
              <c:size val="8"/>
              <c:spPr>
                <a:solidFill>
                  <a:srgbClr val="00ABAB"/>
                </a:solidFill>
                <a:ln w="9525">
                  <a:noFill/>
                </a:ln>
                <a:effectLst/>
              </c:spPr>
            </c:marker>
            <c:bubble3D val="0"/>
            <c:extLst>
              <c:ext xmlns:c16="http://schemas.microsoft.com/office/drawing/2014/chart" uri="{C3380CC4-5D6E-409C-BE32-E72D297353CC}">
                <c16:uniqueId val="{0000003A-820C-4E85-A211-80D02068E74C}"/>
              </c:ext>
            </c:extLst>
          </c:dPt>
          <c:dPt>
            <c:idx val="57"/>
            <c:marker>
              <c:symbol val="diamond"/>
              <c:size val="8"/>
              <c:spPr>
                <a:solidFill>
                  <a:srgbClr val="BFBFBF"/>
                </a:solidFill>
                <a:ln w="9525">
                  <a:noFill/>
                </a:ln>
                <a:effectLst/>
              </c:spPr>
            </c:marker>
            <c:bubble3D val="0"/>
            <c:extLst>
              <c:ext xmlns:c16="http://schemas.microsoft.com/office/drawing/2014/chart" uri="{C3380CC4-5D6E-409C-BE32-E72D297353CC}">
                <c16:uniqueId val="{0000003B-820C-4E85-A211-80D02068E74C}"/>
              </c:ext>
            </c:extLst>
          </c:dPt>
          <c:dPt>
            <c:idx val="58"/>
            <c:marker>
              <c:symbol val="diamond"/>
              <c:size val="8"/>
              <c:spPr>
                <a:solidFill>
                  <a:schemeClr val="accent4"/>
                </a:solidFill>
                <a:ln w="9525">
                  <a:noFill/>
                </a:ln>
                <a:effectLst/>
              </c:spPr>
            </c:marker>
            <c:bubble3D val="0"/>
            <c:extLst>
              <c:ext xmlns:c16="http://schemas.microsoft.com/office/drawing/2014/chart" uri="{C3380CC4-5D6E-409C-BE32-E72D297353CC}">
                <c16:uniqueId val="{0000003C-820C-4E85-A211-80D02068E74C}"/>
              </c:ext>
            </c:extLst>
          </c:dPt>
          <c:dPt>
            <c:idx val="59"/>
            <c:marker>
              <c:symbol val="diamond"/>
              <c:size val="8"/>
              <c:spPr>
                <a:solidFill>
                  <a:srgbClr val="53565A"/>
                </a:solidFill>
                <a:ln w="9525">
                  <a:noFill/>
                </a:ln>
                <a:effectLst/>
              </c:spPr>
            </c:marker>
            <c:bubble3D val="0"/>
            <c:extLst>
              <c:ext xmlns:c16="http://schemas.microsoft.com/office/drawing/2014/chart" uri="{C3380CC4-5D6E-409C-BE32-E72D297353CC}">
                <c16:uniqueId val="{0000003D-820C-4E85-A211-80D02068E74C}"/>
              </c:ext>
            </c:extLst>
          </c:dPt>
          <c:dPt>
            <c:idx val="60"/>
            <c:marker>
              <c:symbol val="diamond"/>
              <c:size val="8"/>
              <c:spPr>
                <a:solidFill>
                  <a:schemeClr val="accent2"/>
                </a:solidFill>
                <a:ln w="9525">
                  <a:noFill/>
                </a:ln>
                <a:effectLst/>
              </c:spPr>
            </c:marker>
            <c:bubble3D val="0"/>
            <c:extLst>
              <c:ext xmlns:c16="http://schemas.microsoft.com/office/drawing/2014/chart" uri="{C3380CC4-5D6E-409C-BE32-E72D297353CC}">
                <c16:uniqueId val="{0000003E-820C-4E85-A211-80D02068E74C}"/>
              </c:ext>
            </c:extLst>
          </c:dPt>
          <c:dPt>
            <c:idx val="61"/>
            <c:marker>
              <c:symbol val="diamond"/>
              <c:size val="8"/>
              <c:spPr>
                <a:solidFill>
                  <a:srgbClr val="00ABAB"/>
                </a:solidFill>
                <a:ln w="9525">
                  <a:noFill/>
                </a:ln>
                <a:effectLst/>
              </c:spPr>
            </c:marker>
            <c:bubble3D val="0"/>
            <c:extLst>
              <c:ext xmlns:c16="http://schemas.microsoft.com/office/drawing/2014/chart" uri="{C3380CC4-5D6E-409C-BE32-E72D297353CC}">
                <c16:uniqueId val="{0000003F-820C-4E85-A211-80D02068E74C}"/>
              </c:ext>
            </c:extLst>
          </c:dPt>
          <c:dPt>
            <c:idx val="62"/>
            <c:marker>
              <c:symbol val="diamond"/>
              <c:size val="8"/>
              <c:spPr>
                <a:solidFill>
                  <a:srgbClr val="BFBFBF"/>
                </a:solidFill>
                <a:ln w="9525">
                  <a:noFill/>
                </a:ln>
                <a:effectLst/>
              </c:spPr>
            </c:marker>
            <c:bubble3D val="0"/>
            <c:extLst>
              <c:ext xmlns:c16="http://schemas.microsoft.com/office/drawing/2014/chart" uri="{C3380CC4-5D6E-409C-BE32-E72D297353CC}">
                <c16:uniqueId val="{00000040-820C-4E85-A211-80D02068E74C}"/>
              </c:ext>
            </c:extLst>
          </c:dPt>
          <c:dPt>
            <c:idx val="63"/>
            <c:marker>
              <c:symbol val="diamond"/>
              <c:size val="8"/>
              <c:spPr>
                <a:solidFill>
                  <a:schemeClr val="accent4"/>
                </a:solidFill>
                <a:ln w="9525">
                  <a:noFill/>
                </a:ln>
                <a:effectLst/>
              </c:spPr>
            </c:marker>
            <c:bubble3D val="0"/>
            <c:extLst>
              <c:ext xmlns:c16="http://schemas.microsoft.com/office/drawing/2014/chart" uri="{C3380CC4-5D6E-409C-BE32-E72D297353CC}">
                <c16:uniqueId val="{00000041-820C-4E85-A211-80D02068E74C}"/>
              </c:ext>
            </c:extLst>
          </c:dPt>
          <c:dPt>
            <c:idx val="64"/>
            <c:marker>
              <c:symbol val="diamond"/>
              <c:size val="8"/>
              <c:spPr>
                <a:solidFill>
                  <a:srgbClr val="53565A"/>
                </a:solidFill>
                <a:ln w="9525">
                  <a:noFill/>
                </a:ln>
                <a:effectLst/>
              </c:spPr>
            </c:marker>
            <c:bubble3D val="0"/>
            <c:extLst>
              <c:ext xmlns:c16="http://schemas.microsoft.com/office/drawing/2014/chart" uri="{C3380CC4-5D6E-409C-BE32-E72D297353CC}">
                <c16:uniqueId val="{00000042-820C-4E85-A211-80D02068E74C}"/>
              </c:ext>
            </c:extLst>
          </c:dPt>
          <c:dPt>
            <c:idx val="65"/>
            <c:marker>
              <c:symbol val="diamond"/>
              <c:size val="8"/>
              <c:spPr>
                <a:solidFill>
                  <a:schemeClr val="accent2"/>
                </a:solidFill>
                <a:ln w="9525">
                  <a:noFill/>
                </a:ln>
                <a:effectLst/>
              </c:spPr>
            </c:marker>
            <c:bubble3D val="0"/>
            <c:extLst>
              <c:ext xmlns:c16="http://schemas.microsoft.com/office/drawing/2014/chart" uri="{C3380CC4-5D6E-409C-BE32-E72D297353CC}">
                <c16:uniqueId val="{00000043-820C-4E85-A211-80D02068E74C}"/>
              </c:ext>
            </c:extLst>
          </c:dPt>
          <c:dPt>
            <c:idx val="66"/>
            <c:marker>
              <c:symbol val="diamond"/>
              <c:size val="8"/>
              <c:spPr>
                <a:solidFill>
                  <a:srgbClr val="00ABAB"/>
                </a:solidFill>
                <a:ln w="9525">
                  <a:noFill/>
                </a:ln>
                <a:effectLst/>
              </c:spPr>
            </c:marker>
            <c:bubble3D val="0"/>
            <c:extLst>
              <c:ext xmlns:c16="http://schemas.microsoft.com/office/drawing/2014/chart" uri="{C3380CC4-5D6E-409C-BE32-E72D297353CC}">
                <c16:uniqueId val="{00000044-820C-4E85-A211-80D02068E74C}"/>
              </c:ext>
            </c:extLst>
          </c:dPt>
          <c:dPt>
            <c:idx val="67"/>
            <c:marker>
              <c:symbol val="diamond"/>
              <c:size val="8"/>
              <c:spPr>
                <a:solidFill>
                  <a:srgbClr val="BFBFBF"/>
                </a:solidFill>
                <a:ln w="9525">
                  <a:noFill/>
                </a:ln>
                <a:effectLst/>
              </c:spPr>
            </c:marker>
            <c:bubble3D val="0"/>
            <c:extLst>
              <c:ext xmlns:c16="http://schemas.microsoft.com/office/drawing/2014/chart" uri="{C3380CC4-5D6E-409C-BE32-E72D297353CC}">
                <c16:uniqueId val="{00000045-820C-4E85-A211-80D02068E74C}"/>
              </c:ext>
            </c:extLst>
          </c:dPt>
          <c:dPt>
            <c:idx val="68"/>
            <c:marker>
              <c:symbol val="diamond"/>
              <c:size val="8"/>
              <c:spPr>
                <a:solidFill>
                  <a:schemeClr val="accent4"/>
                </a:solidFill>
                <a:ln w="9525">
                  <a:noFill/>
                </a:ln>
                <a:effectLst/>
              </c:spPr>
            </c:marker>
            <c:bubble3D val="0"/>
            <c:extLst>
              <c:ext xmlns:c16="http://schemas.microsoft.com/office/drawing/2014/chart" uri="{C3380CC4-5D6E-409C-BE32-E72D297353CC}">
                <c16:uniqueId val="{00000046-820C-4E85-A211-80D02068E74C}"/>
              </c:ext>
            </c:extLst>
          </c:dPt>
          <c:dPt>
            <c:idx val="69"/>
            <c:marker>
              <c:symbol val="diamond"/>
              <c:size val="8"/>
              <c:spPr>
                <a:solidFill>
                  <a:srgbClr val="53565A"/>
                </a:solidFill>
                <a:ln w="9525">
                  <a:noFill/>
                </a:ln>
                <a:effectLst/>
              </c:spPr>
            </c:marker>
            <c:bubble3D val="0"/>
            <c:extLst>
              <c:ext xmlns:c16="http://schemas.microsoft.com/office/drawing/2014/chart" uri="{C3380CC4-5D6E-409C-BE32-E72D297353CC}">
                <c16:uniqueId val="{00000047-820C-4E85-A211-80D02068E74C}"/>
              </c:ext>
            </c:extLst>
          </c:dPt>
          <c:dPt>
            <c:idx val="70"/>
            <c:marker>
              <c:symbol val="diamond"/>
              <c:size val="8"/>
              <c:spPr>
                <a:solidFill>
                  <a:schemeClr val="accent2"/>
                </a:solidFill>
                <a:ln w="9525">
                  <a:noFill/>
                </a:ln>
                <a:effectLst/>
              </c:spPr>
            </c:marker>
            <c:bubble3D val="0"/>
            <c:extLst>
              <c:ext xmlns:c16="http://schemas.microsoft.com/office/drawing/2014/chart" uri="{C3380CC4-5D6E-409C-BE32-E72D297353CC}">
                <c16:uniqueId val="{00000048-820C-4E85-A211-80D02068E74C}"/>
              </c:ext>
            </c:extLst>
          </c:dPt>
          <c:dPt>
            <c:idx val="71"/>
            <c:marker>
              <c:symbol val="diamond"/>
              <c:size val="8"/>
              <c:spPr>
                <a:solidFill>
                  <a:srgbClr val="00ABAB"/>
                </a:solidFill>
                <a:ln w="9525">
                  <a:noFill/>
                </a:ln>
                <a:effectLst/>
              </c:spPr>
            </c:marker>
            <c:bubble3D val="0"/>
            <c:extLst>
              <c:ext xmlns:c16="http://schemas.microsoft.com/office/drawing/2014/chart" uri="{C3380CC4-5D6E-409C-BE32-E72D297353CC}">
                <c16:uniqueId val="{00000049-820C-4E85-A211-80D02068E74C}"/>
              </c:ext>
            </c:extLst>
          </c:dPt>
          <c:dPt>
            <c:idx val="72"/>
            <c:marker>
              <c:symbol val="diamond"/>
              <c:size val="8"/>
              <c:spPr>
                <a:solidFill>
                  <a:srgbClr val="BFBFBF"/>
                </a:solidFill>
                <a:ln w="9525">
                  <a:noFill/>
                </a:ln>
                <a:effectLst/>
              </c:spPr>
            </c:marker>
            <c:bubble3D val="0"/>
            <c:extLst>
              <c:ext xmlns:c16="http://schemas.microsoft.com/office/drawing/2014/chart" uri="{C3380CC4-5D6E-409C-BE32-E72D297353CC}">
                <c16:uniqueId val="{0000004A-820C-4E85-A211-80D02068E74C}"/>
              </c:ext>
            </c:extLst>
          </c:dPt>
          <c:dPt>
            <c:idx val="73"/>
            <c:marker>
              <c:symbol val="diamond"/>
              <c:size val="8"/>
              <c:spPr>
                <a:solidFill>
                  <a:schemeClr val="accent4"/>
                </a:solidFill>
                <a:ln w="9525">
                  <a:noFill/>
                </a:ln>
                <a:effectLst/>
              </c:spPr>
            </c:marker>
            <c:bubble3D val="0"/>
            <c:extLst>
              <c:ext xmlns:c16="http://schemas.microsoft.com/office/drawing/2014/chart" uri="{C3380CC4-5D6E-409C-BE32-E72D297353CC}">
                <c16:uniqueId val="{0000004B-820C-4E85-A211-80D02068E74C}"/>
              </c:ext>
            </c:extLst>
          </c:dPt>
          <c:dPt>
            <c:idx val="74"/>
            <c:marker>
              <c:symbol val="diamond"/>
              <c:size val="8"/>
              <c:spPr>
                <a:solidFill>
                  <a:srgbClr val="53565A"/>
                </a:solidFill>
                <a:ln w="9525">
                  <a:noFill/>
                </a:ln>
                <a:effectLst/>
              </c:spPr>
            </c:marker>
            <c:bubble3D val="0"/>
            <c:extLst>
              <c:ext xmlns:c16="http://schemas.microsoft.com/office/drawing/2014/chart" uri="{C3380CC4-5D6E-409C-BE32-E72D297353CC}">
                <c16:uniqueId val="{0000004C-820C-4E85-A211-80D02068E74C}"/>
              </c:ext>
            </c:extLst>
          </c:dPt>
          <c:dPt>
            <c:idx val="75"/>
            <c:marker>
              <c:symbol val="diamond"/>
              <c:size val="8"/>
              <c:spPr>
                <a:solidFill>
                  <a:schemeClr val="accent2"/>
                </a:solidFill>
                <a:ln w="9525">
                  <a:noFill/>
                </a:ln>
                <a:effectLst/>
              </c:spPr>
            </c:marker>
            <c:bubble3D val="0"/>
            <c:extLst>
              <c:ext xmlns:c16="http://schemas.microsoft.com/office/drawing/2014/chart" uri="{C3380CC4-5D6E-409C-BE32-E72D297353CC}">
                <c16:uniqueId val="{0000004D-820C-4E85-A211-80D02068E74C}"/>
              </c:ext>
            </c:extLst>
          </c:dPt>
          <c:dPt>
            <c:idx val="76"/>
            <c:marker>
              <c:symbol val="diamond"/>
              <c:size val="8"/>
              <c:spPr>
                <a:solidFill>
                  <a:srgbClr val="00ABAB"/>
                </a:solidFill>
                <a:ln w="9525">
                  <a:noFill/>
                </a:ln>
                <a:effectLst/>
              </c:spPr>
            </c:marker>
            <c:bubble3D val="0"/>
            <c:extLst>
              <c:ext xmlns:c16="http://schemas.microsoft.com/office/drawing/2014/chart" uri="{C3380CC4-5D6E-409C-BE32-E72D297353CC}">
                <c16:uniqueId val="{0000004E-820C-4E85-A211-80D02068E74C}"/>
              </c:ext>
            </c:extLst>
          </c:dPt>
          <c:dPt>
            <c:idx val="77"/>
            <c:marker>
              <c:symbol val="diamond"/>
              <c:size val="8"/>
              <c:spPr>
                <a:solidFill>
                  <a:srgbClr val="BFBFBF"/>
                </a:solidFill>
                <a:ln w="9525">
                  <a:noFill/>
                </a:ln>
                <a:effectLst/>
              </c:spPr>
            </c:marker>
            <c:bubble3D val="0"/>
            <c:extLst>
              <c:ext xmlns:c16="http://schemas.microsoft.com/office/drawing/2014/chart" uri="{C3380CC4-5D6E-409C-BE32-E72D297353CC}">
                <c16:uniqueId val="{0000004F-820C-4E85-A211-80D02068E74C}"/>
              </c:ext>
            </c:extLst>
          </c:dPt>
          <c:dPt>
            <c:idx val="78"/>
            <c:marker>
              <c:symbol val="diamond"/>
              <c:size val="8"/>
              <c:spPr>
                <a:solidFill>
                  <a:schemeClr val="accent4"/>
                </a:solidFill>
                <a:ln w="9525">
                  <a:noFill/>
                </a:ln>
                <a:effectLst/>
              </c:spPr>
            </c:marker>
            <c:bubble3D val="0"/>
            <c:extLst>
              <c:ext xmlns:c16="http://schemas.microsoft.com/office/drawing/2014/chart" uri="{C3380CC4-5D6E-409C-BE32-E72D297353CC}">
                <c16:uniqueId val="{00000050-820C-4E85-A211-80D02068E74C}"/>
              </c:ext>
            </c:extLst>
          </c:dPt>
          <c:dPt>
            <c:idx val="79"/>
            <c:marker>
              <c:symbol val="diamond"/>
              <c:size val="8"/>
              <c:spPr>
                <a:solidFill>
                  <a:srgbClr val="53565A"/>
                </a:solidFill>
                <a:ln w="9525">
                  <a:noFill/>
                </a:ln>
                <a:effectLst/>
              </c:spPr>
            </c:marker>
            <c:bubble3D val="0"/>
            <c:extLst>
              <c:ext xmlns:c16="http://schemas.microsoft.com/office/drawing/2014/chart" uri="{C3380CC4-5D6E-409C-BE32-E72D297353CC}">
                <c16:uniqueId val="{00000051-820C-4E85-A211-80D02068E74C}"/>
              </c:ext>
            </c:extLst>
          </c:dPt>
          <c:dPt>
            <c:idx val="80"/>
            <c:marker>
              <c:symbol val="diamond"/>
              <c:size val="8"/>
              <c:spPr>
                <a:solidFill>
                  <a:schemeClr val="accent2"/>
                </a:solidFill>
                <a:ln w="9525">
                  <a:noFill/>
                </a:ln>
                <a:effectLst/>
              </c:spPr>
            </c:marker>
            <c:bubble3D val="0"/>
            <c:extLst>
              <c:ext xmlns:c16="http://schemas.microsoft.com/office/drawing/2014/chart" uri="{C3380CC4-5D6E-409C-BE32-E72D297353CC}">
                <c16:uniqueId val="{00000052-820C-4E85-A211-80D02068E74C}"/>
              </c:ext>
            </c:extLst>
          </c:dPt>
          <c:dPt>
            <c:idx val="81"/>
            <c:marker>
              <c:symbol val="diamond"/>
              <c:size val="8"/>
              <c:spPr>
                <a:solidFill>
                  <a:srgbClr val="00ABAB"/>
                </a:solidFill>
                <a:ln w="9525">
                  <a:noFill/>
                </a:ln>
                <a:effectLst/>
              </c:spPr>
            </c:marker>
            <c:bubble3D val="0"/>
            <c:extLst>
              <c:ext xmlns:c16="http://schemas.microsoft.com/office/drawing/2014/chart" uri="{C3380CC4-5D6E-409C-BE32-E72D297353CC}">
                <c16:uniqueId val="{00000053-820C-4E85-A211-80D02068E74C}"/>
              </c:ext>
            </c:extLst>
          </c:dPt>
          <c:dPt>
            <c:idx val="82"/>
            <c:marker>
              <c:symbol val="diamond"/>
              <c:size val="8"/>
              <c:spPr>
                <a:solidFill>
                  <a:srgbClr val="BFBFBF"/>
                </a:solidFill>
                <a:ln w="9525">
                  <a:noFill/>
                </a:ln>
                <a:effectLst/>
              </c:spPr>
            </c:marker>
            <c:bubble3D val="0"/>
            <c:extLst>
              <c:ext xmlns:c16="http://schemas.microsoft.com/office/drawing/2014/chart" uri="{C3380CC4-5D6E-409C-BE32-E72D297353CC}">
                <c16:uniqueId val="{00000054-820C-4E85-A211-80D02068E74C}"/>
              </c:ext>
            </c:extLst>
          </c:dPt>
          <c:dPt>
            <c:idx val="83"/>
            <c:marker>
              <c:symbol val="diamond"/>
              <c:size val="8"/>
              <c:spPr>
                <a:solidFill>
                  <a:schemeClr val="accent4"/>
                </a:solidFill>
                <a:ln w="9525">
                  <a:noFill/>
                </a:ln>
                <a:effectLst/>
              </c:spPr>
            </c:marker>
            <c:bubble3D val="0"/>
            <c:extLst>
              <c:ext xmlns:c16="http://schemas.microsoft.com/office/drawing/2014/chart" uri="{C3380CC4-5D6E-409C-BE32-E72D297353CC}">
                <c16:uniqueId val="{00000055-820C-4E85-A211-80D02068E74C}"/>
              </c:ext>
            </c:extLst>
          </c:dPt>
          <c:dPt>
            <c:idx val="84"/>
            <c:marker>
              <c:symbol val="diamond"/>
              <c:size val="8"/>
              <c:spPr>
                <a:solidFill>
                  <a:srgbClr val="53565A"/>
                </a:solidFill>
                <a:ln w="9525">
                  <a:noFill/>
                </a:ln>
                <a:effectLst/>
              </c:spPr>
            </c:marker>
            <c:bubble3D val="0"/>
            <c:extLst>
              <c:ext xmlns:c16="http://schemas.microsoft.com/office/drawing/2014/chart" uri="{C3380CC4-5D6E-409C-BE32-E72D297353CC}">
                <c16:uniqueId val="{00000056-820C-4E85-A211-80D02068E74C}"/>
              </c:ext>
            </c:extLst>
          </c:dPt>
          <c:dPt>
            <c:idx val="85"/>
            <c:marker>
              <c:symbol val="diamond"/>
              <c:size val="8"/>
              <c:spPr>
                <a:solidFill>
                  <a:schemeClr val="accent2"/>
                </a:solidFill>
                <a:ln w="9525">
                  <a:noFill/>
                </a:ln>
                <a:effectLst/>
              </c:spPr>
            </c:marker>
            <c:bubble3D val="0"/>
            <c:extLst>
              <c:ext xmlns:c16="http://schemas.microsoft.com/office/drawing/2014/chart" uri="{C3380CC4-5D6E-409C-BE32-E72D297353CC}">
                <c16:uniqueId val="{00000057-820C-4E85-A211-80D02068E74C}"/>
              </c:ext>
            </c:extLst>
          </c:dPt>
          <c:dPt>
            <c:idx val="86"/>
            <c:marker>
              <c:symbol val="diamond"/>
              <c:size val="8"/>
              <c:spPr>
                <a:solidFill>
                  <a:srgbClr val="00ABAB"/>
                </a:solidFill>
                <a:ln w="9525">
                  <a:noFill/>
                </a:ln>
                <a:effectLst/>
              </c:spPr>
            </c:marker>
            <c:bubble3D val="0"/>
            <c:extLst>
              <c:ext xmlns:c16="http://schemas.microsoft.com/office/drawing/2014/chart" uri="{C3380CC4-5D6E-409C-BE32-E72D297353CC}">
                <c16:uniqueId val="{00000058-820C-4E85-A211-80D02068E74C}"/>
              </c:ext>
            </c:extLst>
          </c:dPt>
          <c:dPt>
            <c:idx val="87"/>
            <c:marker>
              <c:symbol val="diamond"/>
              <c:size val="8"/>
              <c:spPr>
                <a:solidFill>
                  <a:srgbClr val="BFBFBF"/>
                </a:solidFill>
                <a:ln w="9525">
                  <a:noFill/>
                </a:ln>
                <a:effectLst/>
              </c:spPr>
            </c:marker>
            <c:bubble3D val="0"/>
            <c:extLst>
              <c:ext xmlns:c16="http://schemas.microsoft.com/office/drawing/2014/chart" uri="{C3380CC4-5D6E-409C-BE32-E72D297353CC}">
                <c16:uniqueId val="{00000059-820C-4E85-A211-80D02068E74C}"/>
              </c:ext>
            </c:extLst>
          </c:dPt>
          <c:dPt>
            <c:idx val="88"/>
            <c:marker>
              <c:symbol val="diamond"/>
              <c:size val="8"/>
              <c:spPr>
                <a:solidFill>
                  <a:schemeClr val="accent4"/>
                </a:solidFill>
                <a:ln w="9525">
                  <a:noFill/>
                </a:ln>
                <a:effectLst/>
              </c:spPr>
            </c:marker>
            <c:bubble3D val="0"/>
            <c:extLst>
              <c:ext xmlns:c16="http://schemas.microsoft.com/office/drawing/2014/chart" uri="{C3380CC4-5D6E-409C-BE32-E72D297353CC}">
                <c16:uniqueId val="{0000005A-820C-4E85-A211-80D02068E74C}"/>
              </c:ext>
            </c:extLst>
          </c:dPt>
          <c:dPt>
            <c:idx val="89"/>
            <c:marker>
              <c:symbol val="diamond"/>
              <c:size val="8"/>
              <c:spPr>
                <a:solidFill>
                  <a:srgbClr val="53565A"/>
                </a:solidFill>
                <a:ln w="9525">
                  <a:noFill/>
                </a:ln>
                <a:effectLst/>
              </c:spPr>
            </c:marker>
            <c:bubble3D val="0"/>
            <c:extLst>
              <c:ext xmlns:c16="http://schemas.microsoft.com/office/drawing/2014/chart" uri="{C3380CC4-5D6E-409C-BE32-E72D297353CC}">
                <c16:uniqueId val="{0000005B-820C-4E85-A211-80D02068E74C}"/>
              </c:ext>
            </c:extLst>
          </c:dPt>
          <c:dPt>
            <c:idx val="90"/>
            <c:marker>
              <c:symbol val="diamond"/>
              <c:size val="8"/>
              <c:spPr>
                <a:solidFill>
                  <a:schemeClr val="accent2"/>
                </a:solidFill>
                <a:ln w="9525">
                  <a:noFill/>
                </a:ln>
                <a:effectLst/>
              </c:spPr>
            </c:marker>
            <c:bubble3D val="0"/>
            <c:extLst>
              <c:ext xmlns:c16="http://schemas.microsoft.com/office/drawing/2014/chart" uri="{C3380CC4-5D6E-409C-BE32-E72D297353CC}">
                <c16:uniqueId val="{0000005C-820C-4E85-A211-80D02068E74C}"/>
              </c:ext>
            </c:extLst>
          </c:dPt>
          <c:dPt>
            <c:idx val="91"/>
            <c:marker>
              <c:symbol val="diamond"/>
              <c:size val="8"/>
              <c:spPr>
                <a:solidFill>
                  <a:srgbClr val="00ABAB"/>
                </a:solidFill>
                <a:ln w="9525">
                  <a:noFill/>
                </a:ln>
                <a:effectLst/>
              </c:spPr>
            </c:marker>
            <c:bubble3D val="0"/>
            <c:extLst>
              <c:ext xmlns:c16="http://schemas.microsoft.com/office/drawing/2014/chart" uri="{C3380CC4-5D6E-409C-BE32-E72D297353CC}">
                <c16:uniqueId val="{0000005D-820C-4E85-A211-80D02068E74C}"/>
              </c:ext>
            </c:extLst>
          </c:dPt>
          <c:dPt>
            <c:idx val="92"/>
            <c:marker>
              <c:symbol val="diamond"/>
              <c:size val="8"/>
              <c:spPr>
                <a:solidFill>
                  <a:srgbClr val="BFBFBF"/>
                </a:solidFill>
                <a:ln w="9525">
                  <a:noFill/>
                </a:ln>
                <a:effectLst/>
              </c:spPr>
            </c:marker>
            <c:bubble3D val="0"/>
            <c:extLst>
              <c:ext xmlns:c16="http://schemas.microsoft.com/office/drawing/2014/chart" uri="{C3380CC4-5D6E-409C-BE32-E72D297353CC}">
                <c16:uniqueId val="{0000005E-820C-4E85-A211-80D02068E74C}"/>
              </c:ext>
            </c:extLst>
          </c:dPt>
          <c:dPt>
            <c:idx val="93"/>
            <c:marker>
              <c:symbol val="diamond"/>
              <c:size val="8"/>
              <c:spPr>
                <a:solidFill>
                  <a:schemeClr val="accent4"/>
                </a:solidFill>
                <a:ln w="9525">
                  <a:noFill/>
                </a:ln>
                <a:effectLst/>
              </c:spPr>
            </c:marker>
            <c:bubble3D val="0"/>
            <c:extLst>
              <c:ext xmlns:c16="http://schemas.microsoft.com/office/drawing/2014/chart" uri="{C3380CC4-5D6E-409C-BE32-E72D297353CC}">
                <c16:uniqueId val="{0000005F-820C-4E85-A211-80D02068E74C}"/>
              </c:ext>
            </c:extLst>
          </c:dPt>
          <c:dPt>
            <c:idx val="94"/>
            <c:marker>
              <c:symbol val="diamond"/>
              <c:size val="8"/>
              <c:spPr>
                <a:solidFill>
                  <a:srgbClr val="53565A"/>
                </a:solidFill>
                <a:ln w="9525">
                  <a:noFill/>
                </a:ln>
                <a:effectLst/>
              </c:spPr>
            </c:marker>
            <c:bubble3D val="0"/>
            <c:extLst>
              <c:ext xmlns:c16="http://schemas.microsoft.com/office/drawing/2014/chart" uri="{C3380CC4-5D6E-409C-BE32-E72D297353CC}">
                <c16:uniqueId val="{00000060-820C-4E85-A211-80D02068E74C}"/>
              </c:ext>
            </c:extLst>
          </c:dPt>
          <c:dPt>
            <c:idx val="95"/>
            <c:marker>
              <c:symbol val="diamond"/>
              <c:size val="8"/>
              <c:spPr>
                <a:solidFill>
                  <a:schemeClr val="accent2"/>
                </a:solidFill>
                <a:ln w="9525">
                  <a:noFill/>
                </a:ln>
                <a:effectLst/>
              </c:spPr>
            </c:marker>
            <c:bubble3D val="0"/>
            <c:extLst>
              <c:ext xmlns:c16="http://schemas.microsoft.com/office/drawing/2014/chart" uri="{C3380CC4-5D6E-409C-BE32-E72D297353CC}">
                <c16:uniqueId val="{00000061-820C-4E85-A211-80D02068E74C}"/>
              </c:ext>
            </c:extLst>
          </c:dPt>
          <c:dPt>
            <c:idx val="96"/>
            <c:marker>
              <c:symbol val="diamond"/>
              <c:size val="8"/>
              <c:spPr>
                <a:solidFill>
                  <a:srgbClr val="00ABAB"/>
                </a:solidFill>
                <a:ln w="9525">
                  <a:noFill/>
                </a:ln>
                <a:effectLst/>
              </c:spPr>
            </c:marker>
            <c:bubble3D val="0"/>
            <c:extLst>
              <c:ext xmlns:c16="http://schemas.microsoft.com/office/drawing/2014/chart" uri="{C3380CC4-5D6E-409C-BE32-E72D297353CC}">
                <c16:uniqueId val="{00000062-820C-4E85-A211-80D02068E74C}"/>
              </c:ext>
            </c:extLst>
          </c:dPt>
          <c:dPt>
            <c:idx val="97"/>
            <c:marker>
              <c:symbol val="diamond"/>
              <c:size val="8"/>
              <c:spPr>
                <a:solidFill>
                  <a:srgbClr val="BFBFBF"/>
                </a:solidFill>
                <a:ln w="9525">
                  <a:noFill/>
                </a:ln>
                <a:effectLst/>
              </c:spPr>
            </c:marker>
            <c:bubble3D val="0"/>
            <c:extLst>
              <c:ext xmlns:c16="http://schemas.microsoft.com/office/drawing/2014/chart" uri="{C3380CC4-5D6E-409C-BE32-E72D297353CC}">
                <c16:uniqueId val="{00000063-820C-4E85-A211-80D02068E74C}"/>
              </c:ext>
            </c:extLst>
          </c:dPt>
          <c:dPt>
            <c:idx val="98"/>
            <c:marker>
              <c:symbol val="diamond"/>
              <c:size val="8"/>
              <c:spPr>
                <a:solidFill>
                  <a:schemeClr val="accent4"/>
                </a:solidFill>
                <a:ln w="9525">
                  <a:noFill/>
                </a:ln>
                <a:effectLst/>
              </c:spPr>
            </c:marker>
            <c:bubble3D val="0"/>
            <c:extLst>
              <c:ext xmlns:c16="http://schemas.microsoft.com/office/drawing/2014/chart" uri="{C3380CC4-5D6E-409C-BE32-E72D297353CC}">
                <c16:uniqueId val="{00000064-820C-4E85-A211-80D02068E74C}"/>
              </c:ext>
            </c:extLst>
          </c:dPt>
          <c:dPt>
            <c:idx val="99"/>
            <c:marker>
              <c:symbol val="diamond"/>
              <c:size val="8"/>
              <c:spPr>
                <a:solidFill>
                  <a:srgbClr val="53565A"/>
                </a:solidFill>
                <a:ln w="9525">
                  <a:noFill/>
                </a:ln>
                <a:effectLst/>
              </c:spPr>
            </c:marker>
            <c:bubble3D val="0"/>
            <c:extLst>
              <c:ext xmlns:c16="http://schemas.microsoft.com/office/drawing/2014/chart" uri="{C3380CC4-5D6E-409C-BE32-E72D297353CC}">
                <c16:uniqueId val="{00000065-820C-4E85-A211-80D02068E74C}"/>
              </c:ext>
            </c:extLst>
          </c:dPt>
          <c:cat>
            <c:strRef>
              <c:f>'Comp to Prev_All FOEs (15-20)'!$DE$6:$GZ$6</c:f>
              <c:strCache>
                <c:ptCount val="100"/>
                <c:pt idx="0">
                  <c:v>MathSci (n=17)</c:v>
                </c:pt>
                <c:pt idx="1">
                  <c:v>(n=17)</c:v>
                </c:pt>
                <c:pt idx="2">
                  <c:v>(n=17)</c:v>
                </c:pt>
                <c:pt idx="3">
                  <c:v>(n=17)</c:v>
                </c:pt>
                <c:pt idx="4">
                  <c:v>(n=17)</c:v>
                </c:pt>
                <c:pt idx="5">
                  <c:v>MedicalSci (n=12)</c:v>
                </c:pt>
                <c:pt idx="6">
                  <c:v>(n=14)</c:v>
                </c:pt>
                <c:pt idx="7">
                  <c:v>(n=14)</c:v>
                </c:pt>
                <c:pt idx="8">
                  <c:v>(n=13)</c:v>
                </c:pt>
                <c:pt idx="9">
                  <c:v>(n=13)</c:v>
                </c:pt>
                <c:pt idx="10">
                  <c:v>OthNat-PhysSci (n=17)</c:v>
                </c:pt>
                <c:pt idx="11">
                  <c:v>(n=17)</c:v>
                </c:pt>
                <c:pt idx="12">
                  <c:v>(n=17)</c:v>
                </c:pt>
                <c:pt idx="13">
                  <c:v>(n=17)</c:v>
                </c:pt>
                <c:pt idx="14">
                  <c:v>(n=17)</c:v>
                </c:pt>
                <c:pt idx="15">
                  <c:v>InfoTech (n=17)</c:v>
                </c:pt>
                <c:pt idx="16">
                  <c:v>(n=17)</c:v>
                </c:pt>
                <c:pt idx="17">
                  <c:v>(n=17)</c:v>
                </c:pt>
                <c:pt idx="18">
                  <c:v>(n=17)</c:v>
                </c:pt>
                <c:pt idx="19">
                  <c:v>(n=17)</c:v>
                </c:pt>
                <c:pt idx="20">
                  <c:v>Eng&amp;Related (n=17)</c:v>
                </c:pt>
                <c:pt idx="21">
                  <c:v>(n=17)</c:v>
                </c:pt>
                <c:pt idx="22">
                  <c:v>(n=17)</c:v>
                </c:pt>
                <c:pt idx="23">
                  <c:v>(n=17)</c:v>
                </c:pt>
                <c:pt idx="24">
                  <c:v>(n=17)</c:v>
                </c:pt>
                <c:pt idx="25">
                  <c:v>Archi&amp;Build (n=14)</c:v>
                </c:pt>
                <c:pt idx="26">
                  <c:v>(n=14)</c:v>
                </c:pt>
                <c:pt idx="27">
                  <c:v>(n=14)</c:v>
                </c:pt>
                <c:pt idx="28">
                  <c:v>(n=14)</c:v>
                </c:pt>
                <c:pt idx="29">
                  <c:v>(n=14)</c:v>
                </c:pt>
                <c:pt idx="30">
                  <c:v>Environment (n=17)</c:v>
                </c:pt>
                <c:pt idx="31">
                  <c:v>(n=17)</c:v>
                </c:pt>
                <c:pt idx="32">
                  <c:v>(n=17)</c:v>
                </c:pt>
                <c:pt idx="33">
                  <c:v>(n=17)</c:v>
                </c:pt>
                <c:pt idx="34">
                  <c:v>(n=17)</c:v>
                </c:pt>
                <c:pt idx="35">
                  <c:v>OthAg&amp;Enviro (n=12)</c:v>
                </c:pt>
                <c:pt idx="36">
                  <c:v>(n=11)</c:v>
                </c:pt>
                <c:pt idx="37">
                  <c:v>(n=11)</c:v>
                </c:pt>
                <c:pt idx="38">
                  <c:v>(n=11)</c:v>
                </c:pt>
                <c:pt idx="39">
                  <c:v>(n=10)</c:v>
                </c:pt>
                <c:pt idx="40">
                  <c:v>MedicalStudies (n=14)</c:v>
                </c:pt>
                <c:pt idx="41">
                  <c:v>(n=14)</c:v>
                </c:pt>
                <c:pt idx="42">
                  <c:v>(n=13)</c:v>
                </c:pt>
                <c:pt idx="43">
                  <c:v>(n=13)</c:v>
                </c:pt>
                <c:pt idx="44">
                  <c:v>(n=12)</c:v>
                </c:pt>
                <c:pt idx="45">
                  <c:v>Dental (n=7)</c:v>
                </c:pt>
                <c:pt idx="46">
                  <c:v>(n=7)</c:v>
                </c:pt>
                <c:pt idx="47">
                  <c:v>(n=7)</c:v>
                </c:pt>
                <c:pt idx="48">
                  <c:v>(n=7)</c:v>
                </c:pt>
                <c:pt idx="49">
                  <c:v>(n=7)</c:v>
                </c:pt>
                <c:pt idx="50">
                  <c:v>Veterinary (n=5)</c:v>
                </c:pt>
                <c:pt idx="51">
                  <c:v>(n=5)</c:v>
                </c:pt>
                <c:pt idx="52">
                  <c:v>(n=5)</c:v>
                </c:pt>
                <c:pt idx="53">
                  <c:v>(n=5)</c:v>
                </c:pt>
                <c:pt idx="54">
                  <c:v>(n=5)</c:v>
                </c:pt>
                <c:pt idx="55">
                  <c:v>OthHealth (n=17)</c:v>
                </c:pt>
                <c:pt idx="56">
                  <c:v>(n=17)</c:v>
                </c:pt>
                <c:pt idx="57">
                  <c:v>(n=17)</c:v>
                </c:pt>
                <c:pt idx="58">
                  <c:v>(n=17)</c:v>
                </c:pt>
                <c:pt idx="59">
                  <c:v>(n=17)</c:v>
                </c:pt>
                <c:pt idx="60">
                  <c:v>Education (n=17)</c:v>
                </c:pt>
                <c:pt idx="61">
                  <c:v>(n=17)</c:v>
                </c:pt>
                <c:pt idx="62">
                  <c:v>(n=17)</c:v>
                </c:pt>
                <c:pt idx="63">
                  <c:v>(n=17)</c:v>
                </c:pt>
                <c:pt idx="64">
                  <c:v>(n=17)</c:v>
                </c:pt>
                <c:pt idx="65">
                  <c:v>Mgmt&amp;Comm (n=17)</c:v>
                </c:pt>
                <c:pt idx="66">
                  <c:v>(n=17)</c:v>
                </c:pt>
                <c:pt idx="67">
                  <c:v>(n=17)</c:v>
                </c:pt>
                <c:pt idx="68">
                  <c:v>(n=17)</c:v>
                </c:pt>
                <c:pt idx="69">
                  <c:v>(n=17)</c:v>
                </c:pt>
                <c:pt idx="70">
                  <c:v>ForeignLang (n=14)</c:v>
                </c:pt>
                <c:pt idx="71">
                  <c:v>(n=14)</c:v>
                </c:pt>
                <c:pt idx="72">
                  <c:v>(n=13)</c:v>
                </c:pt>
                <c:pt idx="73">
                  <c:v>(n=12)</c:v>
                </c:pt>
                <c:pt idx="74">
                  <c:v>(n=13)</c:v>
                </c:pt>
                <c:pt idx="75">
                  <c:v>Psych (n=16)</c:v>
                </c:pt>
                <c:pt idx="76">
                  <c:v>(n=17)</c:v>
                </c:pt>
                <c:pt idx="77">
                  <c:v>(n=17)</c:v>
                </c:pt>
                <c:pt idx="78">
                  <c:v>(n=17)</c:v>
                </c:pt>
                <c:pt idx="79">
                  <c:v>(n=17)</c:v>
                </c:pt>
                <c:pt idx="80">
                  <c:v>OtherSoc&amp;Cult (n=17)</c:v>
                </c:pt>
                <c:pt idx="81">
                  <c:v>(n=17)</c:v>
                </c:pt>
                <c:pt idx="82">
                  <c:v>(n=17)</c:v>
                </c:pt>
                <c:pt idx="83">
                  <c:v>(n=17)</c:v>
                </c:pt>
                <c:pt idx="84">
                  <c:v>(n=17)</c:v>
                </c:pt>
                <c:pt idx="85">
                  <c:v>Comms&amp;Media (n=17)</c:v>
                </c:pt>
                <c:pt idx="86">
                  <c:v>(n=17)</c:v>
                </c:pt>
                <c:pt idx="87">
                  <c:v>(n=17)</c:v>
                </c:pt>
                <c:pt idx="88">
                  <c:v>(n=17)</c:v>
                </c:pt>
                <c:pt idx="89">
                  <c:v>(n=17)</c:v>
                </c:pt>
                <c:pt idx="90">
                  <c:v>OthCreative (n=17)</c:v>
                </c:pt>
                <c:pt idx="91">
                  <c:v>(n=17)</c:v>
                </c:pt>
                <c:pt idx="92">
                  <c:v>(n=17)</c:v>
                </c:pt>
                <c:pt idx="93">
                  <c:v>(n=17)</c:v>
                </c:pt>
                <c:pt idx="94">
                  <c:v>(n=17)</c:v>
                </c:pt>
                <c:pt idx="95">
                  <c:v>Total (n=17)</c:v>
                </c:pt>
                <c:pt idx="96">
                  <c:v>(n=17)</c:v>
                </c:pt>
                <c:pt idx="97">
                  <c:v>(n=17)</c:v>
                </c:pt>
                <c:pt idx="98">
                  <c:v>(n=17)</c:v>
                </c:pt>
                <c:pt idx="99">
                  <c:v>(n=17)</c:v>
                </c:pt>
              </c:strCache>
            </c:strRef>
          </c:cat>
          <c:val>
            <c:numRef>
              <c:f>'Comp to Prev_All FOEs (15-20)'!$DE$39:$GZ$39</c:f>
              <c:numCache>
                <c:formatCode>#,##0.00</c:formatCode>
                <c:ptCount val="100"/>
                <c:pt idx="0">
                  <c:v>0.78524972601851339</c:v>
                </c:pt>
                <c:pt idx="1">
                  <c:v>0.75868626235853376</c:v>
                </c:pt>
                <c:pt idx="2">
                  <c:v>0.79936032473895902</c:v>
                </c:pt>
                <c:pt idx="3">
                  <c:v>0.78298752993500187</c:v>
                </c:pt>
                <c:pt idx="4">
                  <c:v>0.77459225240212548</c:v>
                </c:pt>
                <c:pt idx="5">
                  <c:v>0.6560846554473807</c:v>
                </c:pt>
                <c:pt idx="6">
                  <c:v>0.63136332967270026</c:v>
                </c:pt>
                <c:pt idx="7">
                  <c:v>0.65153553056191882</c:v>
                </c:pt>
                <c:pt idx="8">
                  <c:v>0.67851832092981412</c:v>
                </c:pt>
                <c:pt idx="9">
                  <c:v>0.64435008703164787</c:v>
                </c:pt>
                <c:pt idx="10">
                  <c:v>0.76230064174357515</c:v>
                </c:pt>
                <c:pt idx="11">
                  <c:v>0.74937053807273846</c:v>
                </c:pt>
                <c:pt idx="12">
                  <c:v>0.76435055464135093</c:v>
                </c:pt>
                <c:pt idx="13">
                  <c:v>0.74820004816076324</c:v>
                </c:pt>
                <c:pt idx="14">
                  <c:v>0.71671810465913877</c:v>
                </c:pt>
                <c:pt idx="15">
                  <c:v>0.94739659420465494</c:v>
                </c:pt>
                <c:pt idx="16">
                  <c:v>0.87278901816460919</c:v>
                </c:pt>
                <c:pt idx="17">
                  <c:v>0.83157059156755264</c:v>
                </c:pt>
                <c:pt idx="18">
                  <c:v>0.85177459418907919</c:v>
                </c:pt>
                <c:pt idx="19">
                  <c:v>0.82777806949379806</c:v>
                </c:pt>
                <c:pt idx="20">
                  <c:v>0.70710497350938839</c:v>
                </c:pt>
                <c:pt idx="21">
                  <c:v>0.72911699488306658</c:v>
                </c:pt>
                <c:pt idx="22">
                  <c:v>0.73501418644294503</c:v>
                </c:pt>
                <c:pt idx="23">
                  <c:v>0.74765109608821034</c:v>
                </c:pt>
                <c:pt idx="24">
                  <c:v>0.74005997015557634</c:v>
                </c:pt>
                <c:pt idx="25">
                  <c:v>0.89674810794728299</c:v>
                </c:pt>
                <c:pt idx="26">
                  <c:v>0.88610567849094435</c:v>
                </c:pt>
                <c:pt idx="27">
                  <c:v>0.85699349864411256</c:v>
                </c:pt>
                <c:pt idx="28">
                  <c:v>0.87075830976221313</c:v>
                </c:pt>
                <c:pt idx="29">
                  <c:v>0.87760636000029113</c:v>
                </c:pt>
                <c:pt idx="30">
                  <c:v>0.70657834973750511</c:v>
                </c:pt>
                <c:pt idx="31">
                  <c:v>0.67041088740405541</c:v>
                </c:pt>
                <c:pt idx="32">
                  <c:v>0.73711316665623461</c:v>
                </c:pt>
                <c:pt idx="33">
                  <c:v>0.68310065047457602</c:v>
                </c:pt>
                <c:pt idx="34">
                  <c:v>0.65313929438116314</c:v>
                </c:pt>
                <c:pt idx="35">
                  <c:v>0.97477863746868643</c:v>
                </c:pt>
                <c:pt idx="36">
                  <c:v>0.85965545299415314</c:v>
                </c:pt>
                <c:pt idx="37">
                  <c:v>0.86777710941915454</c:v>
                </c:pt>
                <c:pt idx="38">
                  <c:v>0.83854124031017752</c:v>
                </c:pt>
                <c:pt idx="39">
                  <c:v>0.83304514400175311</c:v>
                </c:pt>
                <c:pt idx="40">
                  <c:v>1.0198762275894628</c:v>
                </c:pt>
                <c:pt idx="41">
                  <c:v>0.98257982993307047</c:v>
                </c:pt>
                <c:pt idx="42">
                  <c:v>0.95650317829051645</c:v>
                </c:pt>
                <c:pt idx="43">
                  <c:v>0.91121494293417982</c:v>
                </c:pt>
                <c:pt idx="44">
                  <c:v>0.87458617931912119</c:v>
                </c:pt>
                <c:pt idx="45">
                  <c:v>1.4345929302391494</c:v>
                </c:pt>
                <c:pt idx="46">
                  <c:v>1.1387523934120836</c:v>
                </c:pt>
                <c:pt idx="47">
                  <c:v>1.2069351026900736</c:v>
                </c:pt>
                <c:pt idx="48">
                  <c:v>1.1677877284564293</c:v>
                </c:pt>
                <c:pt idx="49">
                  <c:v>1.1756208839321456</c:v>
                </c:pt>
                <c:pt idx="50">
                  <c:v>1.5191537692072432</c:v>
                </c:pt>
                <c:pt idx="51">
                  <c:v>1.4038601822306114</c:v>
                </c:pt>
                <c:pt idx="52">
                  <c:v>1.4967609712261867</c:v>
                </c:pt>
                <c:pt idx="53">
                  <c:v>1.450720667407962</c:v>
                </c:pt>
                <c:pt idx="54">
                  <c:v>1.3814975169412238</c:v>
                </c:pt>
                <c:pt idx="55">
                  <c:v>0.85181920491427121</c:v>
                </c:pt>
                <c:pt idx="56">
                  <c:v>0.84417222614760257</c:v>
                </c:pt>
                <c:pt idx="57">
                  <c:v>0.85582998469230753</c:v>
                </c:pt>
                <c:pt idx="58">
                  <c:v>0.86930311623165846</c:v>
                </c:pt>
                <c:pt idx="59">
                  <c:v>0.87507556931029784</c:v>
                </c:pt>
                <c:pt idx="60">
                  <c:v>0.81033205722433366</c:v>
                </c:pt>
                <c:pt idx="61">
                  <c:v>0.86159935844780955</c:v>
                </c:pt>
                <c:pt idx="62">
                  <c:v>0.88274033417907816</c:v>
                </c:pt>
                <c:pt idx="63">
                  <c:v>0.85404897811580271</c:v>
                </c:pt>
                <c:pt idx="64">
                  <c:v>0.83490123788183102</c:v>
                </c:pt>
                <c:pt idx="65">
                  <c:v>1.0427241832487313</c:v>
                </c:pt>
                <c:pt idx="66">
                  <c:v>1.1437779813111999</c:v>
                </c:pt>
                <c:pt idx="67">
                  <c:v>1.1629796180451251</c:v>
                </c:pt>
                <c:pt idx="68">
                  <c:v>1.1797682646150822</c:v>
                </c:pt>
                <c:pt idx="69">
                  <c:v>1.1838814333588203</c:v>
                </c:pt>
                <c:pt idx="70">
                  <c:v>0.86321283894143797</c:v>
                </c:pt>
                <c:pt idx="71">
                  <c:v>0.94570250561583424</c:v>
                </c:pt>
                <c:pt idx="72">
                  <c:v>0.92357145833700272</c:v>
                </c:pt>
                <c:pt idx="73">
                  <c:v>0.87025005832625235</c:v>
                </c:pt>
                <c:pt idx="74">
                  <c:v>0.91944916386859254</c:v>
                </c:pt>
                <c:pt idx="75">
                  <c:v>0.78567701387351696</c:v>
                </c:pt>
                <c:pt idx="76">
                  <c:v>0.85126800594635776</c:v>
                </c:pt>
                <c:pt idx="77">
                  <c:v>0.89788602858357502</c:v>
                </c:pt>
                <c:pt idx="78">
                  <c:v>0.8806422162751979</c:v>
                </c:pt>
                <c:pt idx="79">
                  <c:v>0.84658175075507991</c:v>
                </c:pt>
                <c:pt idx="80">
                  <c:v>0.89297758617862677</c:v>
                </c:pt>
                <c:pt idx="81">
                  <c:v>0.9531393934111082</c:v>
                </c:pt>
                <c:pt idx="82">
                  <c:v>0.97593810489456778</c:v>
                </c:pt>
                <c:pt idx="83">
                  <c:v>0.96783195833492375</c:v>
                </c:pt>
                <c:pt idx="84">
                  <c:v>0.97888223531043606</c:v>
                </c:pt>
                <c:pt idx="85">
                  <c:v>0.7312777835714328</c:v>
                </c:pt>
                <c:pt idx="86">
                  <c:v>0.76174317927441182</c:v>
                </c:pt>
                <c:pt idx="87">
                  <c:v>0.8121068170081851</c:v>
                </c:pt>
                <c:pt idx="88">
                  <c:v>0.79635348771495429</c:v>
                </c:pt>
                <c:pt idx="89">
                  <c:v>0.82765376218431697</c:v>
                </c:pt>
                <c:pt idx="90">
                  <c:v>1.0451257530397109</c:v>
                </c:pt>
                <c:pt idx="91">
                  <c:v>1.083370208185273</c:v>
                </c:pt>
                <c:pt idx="92">
                  <c:v>1.0900052802250391</c:v>
                </c:pt>
                <c:pt idx="93">
                  <c:v>1.0817633437093932</c:v>
                </c:pt>
                <c:pt idx="94">
                  <c:v>1.0853420630937849</c:v>
                </c:pt>
                <c:pt idx="95">
                  <c:v>0.85283542081703545</c:v>
                </c:pt>
                <c:pt idx="96">
                  <c:v>0.86754629304802267</c:v>
                </c:pt>
                <c:pt idx="97">
                  <c:v>0.88809462876496426</c:v>
                </c:pt>
                <c:pt idx="98">
                  <c:v>0.88179922946814915</c:v>
                </c:pt>
                <c:pt idx="99">
                  <c:v>0.87532522045302441</c:v>
                </c:pt>
              </c:numCache>
            </c:numRef>
          </c:val>
          <c:smooth val="0"/>
          <c:extLst>
            <c:ext xmlns:c16="http://schemas.microsoft.com/office/drawing/2014/chart" uri="{C3380CC4-5D6E-409C-BE32-E72D297353CC}">
              <c16:uniqueId val="{00000066-820C-4E85-A211-80D02068E74C}"/>
            </c:ext>
          </c:extLst>
        </c:ser>
        <c:dLbls>
          <c:showLegendKey val="0"/>
          <c:showVal val="0"/>
          <c:showCatName val="0"/>
          <c:showSerName val="0"/>
          <c:showPercent val="0"/>
          <c:showBubbleSize val="0"/>
        </c:dLbls>
        <c:hiLowLines>
          <c:spPr>
            <a:ln w="9525" cap="flat" cmpd="sng" algn="ctr">
              <a:solidFill>
                <a:schemeClr val="accent6"/>
              </a:solidFill>
              <a:round/>
            </a:ln>
            <a:effectLst/>
          </c:spPr>
        </c:hiLowLines>
        <c:axId val="1730350287"/>
        <c:axId val="1730347791"/>
      </c:stockChart>
      <c:catAx>
        <c:axId val="1730350287"/>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wrap="square" anchor="t" anchorCtr="1"/>
          <a:lstStyle/>
          <a:p>
            <a:pPr>
              <a:defRPr sz="5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47791"/>
        <c:crosses val="autoZero"/>
        <c:auto val="1"/>
        <c:lblAlgn val="ctr"/>
        <c:lblOffset val="100"/>
        <c:tickMarkSkip val="5"/>
        <c:noMultiLvlLbl val="0"/>
      </c:catAx>
      <c:valAx>
        <c:axId val="1730347791"/>
        <c:scaling>
          <c:orientation val="minMax"/>
          <c:min val="0"/>
        </c:scaling>
        <c:delete val="0"/>
        <c:axPos val="l"/>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5028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2019</c:v>
          </c:tx>
          <c:spPr>
            <a:solidFill>
              <a:srgbClr val="00ABAB"/>
            </a:solidFill>
            <a:ln>
              <a:noFill/>
            </a:ln>
            <a:effectLst/>
          </c:spPr>
          <c:invertIfNegative val="0"/>
          <c:dPt>
            <c:idx val="11"/>
            <c:invertIfNegative val="0"/>
            <c:bubble3D val="0"/>
            <c:spPr>
              <a:solidFill>
                <a:srgbClr val="00ABAB"/>
              </a:solidFill>
              <a:ln>
                <a:noFill/>
              </a:ln>
              <a:effectLst/>
            </c:spPr>
            <c:extLst>
              <c:ext xmlns:c16="http://schemas.microsoft.com/office/drawing/2014/chart" uri="{C3380CC4-5D6E-409C-BE32-E72D297353CC}">
                <c16:uniqueId val="{00000001-B984-4845-B735-ACD190D776AF}"/>
              </c:ext>
            </c:extLst>
          </c:dPt>
          <c:dPt>
            <c:idx val="12"/>
            <c:invertIfNegative val="0"/>
            <c:bubble3D val="0"/>
            <c:spPr>
              <a:solidFill>
                <a:schemeClr val="accent3"/>
              </a:solidFill>
              <a:ln>
                <a:noFill/>
              </a:ln>
              <a:effectLst/>
            </c:spPr>
            <c:extLst>
              <c:ext xmlns:c16="http://schemas.microsoft.com/office/drawing/2014/chart" uri="{C3380CC4-5D6E-409C-BE32-E72D297353CC}">
                <c16:uniqueId val="{00000003-B984-4845-B735-ACD190D776AF}"/>
              </c:ext>
            </c:extLst>
          </c:dPt>
          <c:cat>
            <c:strRef>
              <c:f>'2.3_data_2019'!$F$495:$AB$495</c:f>
              <c:strCache>
                <c:ptCount val="23"/>
                <c:pt idx="0">
                  <c:v>Environment</c:v>
                </c:pt>
                <c:pt idx="1">
                  <c:v>MedicalSci</c:v>
                </c:pt>
                <c:pt idx="2">
                  <c:v>Eng&amp;Related</c:v>
                </c:pt>
                <c:pt idx="3">
                  <c:v>OthNat-PhysSci</c:v>
                </c:pt>
                <c:pt idx="4">
                  <c:v>Comms&amp;Media</c:v>
                </c:pt>
                <c:pt idx="5">
                  <c:v>MathSci</c:v>
                </c:pt>
                <c:pt idx="6">
                  <c:v>Nursing</c:v>
                </c:pt>
                <c:pt idx="7">
                  <c:v>InfoTech</c:v>
                </c:pt>
                <c:pt idx="8">
                  <c:v>MedicalStudies</c:v>
                </c:pt>
                <c:pt idx="9">
                  <c:v>Education</c:v>
                </c:pt>
                <c:pt idx="10">
                  <c:v>OthAg&amp;Enviro</c:v>
                </c:pt>
                <c:pt idx="11">
                  <c:v>Psych</c:v>
                </c:pt>
                <c:pt idx="12">
                  <c:v>Total</c:v>
                </c:pt>
                <c:pt idx="13">
                  <c:v>ForeignLang</c:v>
                </c:pt>
                <c:pt idx="14">
                  <c:v>Archi&amp;Build</c:v>
                </c:pt>
                <c:pt idx="15">
                  <c:v>OthHealth</c:v>
                </c:pt>
                <c:pt idx="16">
                  <c:v>OtherSoc&amp;Cult</c:v>
                </c:pt>
                <c:pt idx="17">
                  <c:v>OthCreative</c:v>
                </c:pt>
                <c:pt idx="18">
                  <c:v>Dental</c:v>
                </c:pt>
                <c:pt idx="19">
                  <c:v>MixedField</c:v>
                </c:pt>
                <c:pt idx="20">
                  <c:v>Mgmt&amp;Comm</c:v>
                </c:pt>
                <c:pt idx="21">
                  <c:v>FoodHosp&amp;Person</c:v>
                </c:pt>
                <c:pt idx="22">
                  <c:v>Veterinary</c:v>
                </c:pt>
              </c:strCache>
            </c:strRef>
          </c:cat>
          <c:val>
            <c:numRef>
              <c:f>'2.3_data_2019'!$F$496:$AB$496</c:f>
              <c:numCache>
                <c:formatCode>0.00%</c:formatCode>
                <c:ptCount val="23"/>
                <c:pt idx="0" formatCode="0%">
                  <c:v>0.68042330984346733</c:v>
                </c:pt>
                <c:pt idx="1">
                  <c:v>0.68865008262709371</c:v>
                </c:pt>
                <c:pt idx="2">
                  <c:v>0.75700030779680916</c:v>
                </c:pt>
                <c:pt idx="3">
                  <c:v>0.77995245297341009</c:v>
                </c:pt>
                <c:pt idx="4">
                  <c:v>0.81564757393669551</c:v>
                </c:pt>
                <c:pt idx="5">
                  <c:v>0.83745802367108779</c:v>
                </c:pt>
                <c:pt idx="6">
                  <c:v>0.84716983848868377</c:v>
                </c:pt>
                <c:pt idx="7">
                  <c:v>0.85950833252355585</c:v>
                </c:pt>
                <c:pt idx="8">
                  <c:v>0.87207315095533178</c:v>
                </c:pt>
                <c:pt idx="9">
                  <c:v>0.87896806947075123</c:v>
                </c:pt>
                <c:pt idx="10">
                  <c:v>0.88098345421604296</c:v>
                </c:pt>
                <c:pt idx="11">
                  <c:v>0.88476811554608104</c:v>
                </c:pt>
                <c:pt idx="12" formatCode="0%">
                  <c:v>0.89307412167421596</c:v>
                </c:pt>
                <c:pt idx="13">
                  <c:v>0.9020643103546061</c:v>
                </c:pt>
                <c:pt idx="14">
                  <c:v>0.91172641294303625</c:v>
                </c:pt>
                <c:pt idx="15">
                  <c:v>0.91995934313789451</c:v>
                </c:pt>
                <c:pt idx="16">
                  <c:v>0.98813361834611768</c:v>
                </c:pt>
                <c:pt idx="17">
                  <c:v>1.0456756297451826</c:v>
                </c:pt>
                <c:pt idx="18">
                  <c:v>1.0844464232942148</c:v>
                </c:pt>
                <c:pt idx="19">
                  <c:v>1.1051259354557057</c:v>
                </c:pt>
                <c:pt idx="20">
                  <c:v>1.1537472669142042</c:v>
                </c:pt>
                <c:pt idx="21">
                  <c:v>1.1801092081725302</c:v>
                </c:pt>
                <c:pt idx="22">
                  <c:v>1.3791405970997581</c:v>
                </c:pt>
              </c:numCache>
            </c:numRef>
          </c:val>
          <c:extLst>
            <c:ext xmlns:c16="http://schemas.microsoft.com/office/drawing/2014/chart" uri="{C3380CC4-5D6E-409C-BE32-E72D297353CC}">
              <c16:uniqueId val="{00000004-B984-4845-B735-ACD190D776AF}"/>
            </c:ext>
          </c:extLst>
        </c:ser>
        <c:ser>
          <c:idx val="2"/>
          <c:order val="2"/>
          <c:tx>
            <c:v>2020</c:v>
          </c:tx>
          <c:spPr>
            <a:solidFill>
              <a:srgbClr val="BFBFBF"/>
            </a:solidFill>
            <a:ln>
              <a:noFill/>
            </a:ln>
            <a:effectLst/>
          </c:spPr>
          <c:invertIfNegative val="0"/>
          <c:dPt>
            <c:idx val="12"/>
            <c:invertIfNegative val="0"/>
            <c:bubble3D val="0"/>
            <c:spPr>
              <a:solidFill>
                <a:schemeClr val="accent6"/>
              </a:solidFill>
              <a:ln>
                <a:noFill/>
              </a:ln>
              <a:effectLst/>
            </c:spPr>
            <c:extLst>
              <c:ext xmlns:c16="http://schemas.microsoft.com/office/drawing/2014/chart" uri="{C3380CC4-5D6E-409C-BE32-E72D297353CC}">
                <c16:uniqueId val="{00000006-B984-4845-B735-ACD190D776AF}"/>
              </c:ext>
            </c:extLst>
          </c:dPt>
          <c:cat>
            <c:strRef>
              <c:f>'2.3_data_2019'!$F$495:$AB$495</c:f>
              <c:strCache>
                <c:ptCount val="23"/>
                <c:pt idx="0">
                  <c:v>Environment</c:v>
                </c:pt>
                <c:pt idx="1">
                  <c:v>MedicalSci</c:v>
                </c:pt>
                <c:pt idx="2">
                  <c:v>Eng&amp;Related</c:v>
                </c:pt>
                <c:pt idx="3">
                  <c:v>OthNat-PhysSci</c:v>
                </c:pt>
                <c:pt idx="4">
                  <c:v>Comms&amp;Media</c:v>
                </c:pt>
                <c:pt idx="5">
                  <c:v>MathSci</c:v>
                </c:pt>
                <c:pt idx="6">
                  <c:v>Nursing</c:v>
                </c:pt>
                <c:pt idx="7">
                  <c:v>InfoTech</c:v>
                </c:pt>
                <c:pt idx="8">
                  <c:v>MedicalStudies</c:v>
                </c:pt>
                <c:pt idx="9">
                  <c:v>Education</c:v>
                </c:pt>
                <c:pt idx="10">
                  <c:v>OthAg&amp;Enviro</c:v>
                </c:pt>
                <c:pt idx="11">
                  <c:v>Psych</c:v>
                </c:pt>
                <c:pt idx="12">
                  <c:v>Total</c:v>
                </c:pt>
                <c:pt idx="13">
                  <c:v>ForeignLang</c:v>
                </c:pt>
                <c:pt idx="14">
                  <c:v>Archi&amp;Build</c:v>
                </c:pt>
                <c:pt idx="15">
                  <c:v>OthHealth</c:v>
                </c:pt>
                <c:pt idx="16">
                  <c:v>OtherSoc&amp;Cult</c:v>
                </c:pt>
                <c:pt idx="17">
                  <c:v>OthCreative</c:v>
                </c:pt>
                <c:pt idx="18">
                  <c:v>Dental</c:v>
                </c:pt>
                <c:pt idx="19">
                  <c:v>MixedField</c:v>
                </c:pt>
                <c:pt idx="20">
                  <c:v>Mgmt&amp;Comm</c:v>
                </c:pt>
                <c:pt idx="21">
                  <c:v>FoodHosp&amp;Person</c:v>
                </c:pt>
                <c:pt idx="22">
                  <c:v>Veterinary</c:v>
                </c:pt>
              </c:strCache>
            </c:strRef>
          </c:cat>
          <c:val>
            <c:numRef>
              <c:f>'2.3_data_2019'!$F$497:$AB$497</c:f>
              <c:numCache>
                <c:formatCode>0%</c:formatCode>
                <c:ptCount val="23"/>
                <c:pt idx="0">
                  <c:v>0.64785610284925832</c:v>
                </c:pt>
                <c:pt idx="1">
                  <c:v>0.64507404346188835</c:v>
                </c:pt>
                <c:pt idx="2">
                  <c:v>0.75742102407889633</c:v>
                </c:pt>
                <c:pt idx="3">
                  <c:v>0.75300884654313316</c:v>
                </c:pt>
                <c:pt idx="4">
                  <c:v>0.81279812043293709</c:v>
                </c:pt>
                <c:pt idx="5">
                  <c:v>0.83130800525427706</c:v>
                </c:pt>
                <c:pt idx="6">
                  <c:v>0.83361138274577085</c:v>
                </c:pt>
                <c:pt idx="7">
                  <c:v>0.84609267840337798</c:v>
                </c:pt>
                <c:pt idx="8">
                  <c:v>0.79930948986623707</c:v>
                </c:pt>
                <c:pt idx="9">
                  <c:v>0.85039006509190951</c:v>
                </c:pt>
                <c:pt idx="10">
                  <c:v>0.86918228382003748</c:v>
                </c:pt>
                <c:pt idx="11">
                  <c:v>0.85316286213991654</c:v>
                </c:pt>
                <c:pt idx="12">
                  <c:v>0.87875381905154737</c:v>
                </c:pt>
                <c:pt idx="13">
                  <c:v>0.93168197755896243</c:v>
                </c:pt>
                <c:pt idx="14">
                  <c:v>0.89696676946154597</c:v>
                </c:pt>
                <c:pt idx="15">
                  <c:v>0.90338168195596702</c:v>
                </c:pt>
                <c:pt idx="16">
                  <c:v>0.98304948608562148</c:v>
                </c:pt>
                <c:pt idx="17">
                  <c:v>1.0592909812923565</c:v>
                </c:pt>
                <c:pt idx="18">
                  <c:v>1.0646815462134689</c:v>
                </c:pt>
                <c:pt idx="19">
                  <c:v>1.3519953188182545</c:v>
                </c:pt>
                <c:pt idx="20">
                  <c:v>1.1550959888776777</c:v>
                </c:pt>
                <c:pt idx="21">
                  <c:v>1.0044468298420928</c:v>
                </c:pt>
                <c:pt idx="22">
                  <c:v>1.3231954167088547</c:v>
                </c:pt>
              </c:numCache>
            </c:numRef>
          </c:val>
          <c:extLst>
            <c:ext xmlns:c16="http://schemas.microsoft.com/office/drawing/2014/chart" uri="{C3380CC4-5D6E-409C-BE32-E72D297353CC}">
              <c16:uniqueId val="{00000007-B984-4845-B735-ACD190D776AF}"/>
            </c:ext>
          </c:extLst>
        </c:ser>
        <c:dLbls>
          <c:showLegendKey val="0"/>
          <c:showVal val="0"/>
          <c:showCatName val="0"/>
          <c:showSerName val="0"/>
          <c:showPercent val="0"/>
          <c:showBubbleSize val="0"/>
        </c:dLbls>
        <c:gapWidth val="150"/>
        <c:axId val="2137600463"/>
        <c:axId val="2137595471"/>
      </c:barChart>
      <c:lineChart>
        <c:grouping val="standard"/>
        <c:varyColors val="0"/>
        <c:ser>
          <c:idx val="1"/>
          <c:order val="1"/>
          <c:tx>
            <c:v>100%</c:v>
          </c:tx>
          <c:spPr>
            <a:ln w="28575" cap="rnd">
              <a:solidFill>
                <a:schemeClr val="tx2"/>
              </a:solidFill>
              <a:prstDash val="sysDash"/>
              <a:round/>
            </a:ln>
            <a:effectLst/>
          </c:spPr>
          <c:marker>
            <c:symbol val="none"/>
          </c:marker>
          <c:cat>
            <c:strRef>
              <c:f>'2.3_data_2019'!$F$495:$AB$495</c:f>
              <c:strCache>
                <c:ptCount val="23"/>
                <c:pt idx="0">
                  <c:v>Environment</c:v>
                </c:pt>
                <c:pt idx="1">
                  <c:v>MedicalSci</c:v>
                </c:pt>
                <c:pt idx="2">
                  <c:v>Eng&amp;Related</c:v>
                </c:pt>
                <c:pt idx="3">
                  <c:v>OthNat-PhysSci</c:v>
                </c:pt>
                <c:pt idx="4">
                  <c:v>Comms&amp;Media</c:v>
                </c:pt>
                <c:pt idx="5">
                  <c:v>MathSci</c:v>
                </c:pt>
                <c:pt idx="6">
                  <c:v>Nursing</c:v>
                </c:pt>
                <c:pt idx="7">
                  <c:v>InfoTech</c:v>
                </c:pt>
                <c:pt idx="8">
                  <c:v>MedicalStudies</c:v>
                </c:pt>
                <c:pt idx="9">
                  <c:v>Education</c:v>
                </c:pt>
                <c:pt idx="10">
                  <c:v>OthAg&amp;Enviro</c:v>
                </c:pt>
                <c:pt idx="11">
                  <c:v>Psych</c:v>
                </c:pt>
                <c:pt idx="12">
                  <c:v>Total</c:v>
                </c:pt>
                <c:pt idx="13">
                  <c:v>ForeignLang</c:v>
                </c:pt>
                <c:pt idx="14">
                  <c:v>Archi&amp;Build</c:v>
                </c:pt>
                <c:pt idx="15">
                  <c:v>OthHealth</c:v>
                </c:pt>
                <c:pt idx="16">
                  <c:v>OtherSoc&amp;Cult</c:v>
                </c:pt>
                <c:pt idx="17">
                  <c:v>OthCreative</c:v>
                </c:pt>
                <c:pt idx="18">
                  <c:v>Dental</c:v>
                </c:pt>
                <c:pt idx="19">
                  <c:v>MixedField</c:v>
                </c:pt>
                <c:pt idx="20">
                  <c:v>Mgmt&amp;Comm</c:v>
                </c:pt>
                <c:pt idx="21">
                  <c:v>FoodHosp&amp;Person</c:v>
                </c:pt>
                <c:pt idx="22">
                  <c:v>Veterinary</c:v>
                </c:pt>
              </c:strCache>
            </c:strRef>
          </c:cat>
          <c:val>
            <c:numRef>
              <c:f>'2.3_data_2019'!$F$498:$AB$498</c:f>
              <c:numCache>
                <c:formatCode>0%</c:formatCode>
                <c:ptCount val="2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numCache>
            </c:numRef>
          </c:val>
          <c:smooth val="0"/>
          <c:extLst>
            <c:ext xmlns:c16="http://schemas.microsoft.com/office/drawing/2014/chart" uri="{C3380CC4-5D6E-409C-BE32-E72D297353CC}">
              <c16:uniqueId val="{00000008-B984-4845-B735-ACD190D776AF}"/>
            </c:ext>
          </c:extLst>
        </c:ser>
        <c:dLbls>
          <c:showLegendKey val="0"/>
          <c:showVal val="0"/>
          <c:showCatName val="0"/>
          <c:showSerName val="0"/>
          <c:showPercent val="0"/>
          <c:showBubbleSize val="0"/>
        </c:dLbls>
        <c:marker val="1"/>
        <c:smooth val="0"/>
        <c:axId val="2137600463"/>
        <c:axId val="2137595471"/>
      </c:lineChart>
      <c:catAx>
        <c:axId val="213760046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00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595471"/>
        <c:crosses val="autoZero"/>
        <c:auto val="1"/>
        <c:lblAlgn val="ctr"/>
        <c:lblOffset val="100"/>
        <c:noMultiLvlLbl val="0"/>
      </c:catAx>
      <c:valAx>
        <c:axId val="2137595471"/>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600463"/>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98358695184845E-2"/>
          <c:y val="2.9166680883635818E-2"/>
          <c:w val="0.91784472593099775"/>
          <c:h val="0.80565275045599638"/>
        </c:manualLayout>
      </c:layout>
      <c:stockChart>
        <c:ser>
          <c:idx val="0"/>
          <c:order val="0"/>
          <c:tx>
            <c:strRef>
              <c:f>'Comp to Prev_All FOEs (15-20)'!$DD$10</c:f>
              <c:strCache>
                <c:ptCount val="1"/>
                <c:pt idx="0">
                  <c:v>Low</c:v>
                </c:pt>
              </c:strCache>
            </c:strRef>
          </c:tx>
          <c:spPr>
            <a:ln w="28575" cap="rnd">
              <a:noFill/>
              <a:round/>
            </a:ln>
            <a:effectLst/>
          </c:spPr>
          <c:marker>
            <c:symbol val="none"/>
          </c:marker>
          <c:cat>
            <c:strRef>
              <c:f>'Comp to Prev_All FOEs (15-20)'!$DE$5:$GZ$5</c:f>
              <c:strCache>
                <c:ptCount val="100"/>
                <c:pt idx="0">
                  <c:v>MathSci (n=11)</c:v>
                </c:pt>
                <c:pt idx="1">
                  <c:v>(n=12)</c:v>
                </c:pt>
                <c:pt idx="2">
                  <c:v>(n=13)</c:v>
                </c:pt>
                <c:pt idx="3">
                  <c:v>(n=11)</c:v>
                </c:pt>
                <c:pt idx="4">
                  <c:v>(n=10)</c:v>
                </c:pt>
                <c:pt idx="5">
                  <c:v>MedicalSci (n=1)</c:v>
                </c:pt>
                <c:pt idx="6">
                  <c:v>(n=0)</c:v>
                </c:pt>
                <c:pt idx="7">
                  <c:v>(n=1)</c:v>
                </c:pt>
                <c:pt idx="8">
                  <c:v>(n=1)</c:v>
                </c:pt>
                <c:pt idx="9">
                  <c:v>(n=1)</c:v>
                </c:pt>
                <c:pt idx="10">
                  <c:v>OthNat-PhysSci (n=10)</c:v>
                </c:pt>
                <c:pt idx="11">
                  <c:v>(n=9)</c:v>
                </c:pt>
                <c:pt idx="12">
                  <c:v>(n=10)</c:v>
                </c:pt>
                <c:pt idx="13">
                  <c:v>(n=10)</c:v>
                </c:pt>
                <c:pt idx="14">
                  <c:v>(n=10)</c:v>
                </c:pt>
                <c:pt idx="15">
                  <c:v>InfoTech (n=11)</c:v>
                </c:pt>
                <c:pt idx="16">
                  <c:v>(n=7)</c:v>
                </c:pt>
                <c:pt idx="17">
                  <c:v>(n=7)</c:v>
                </c:pt>
                <c:pt idx="18">
                  <c:v>(n=8)</c:v>
                </c:pt>
                <c:pt idx="19">
                  <c:v>(n=10)</c:v>
                </c:pt>
                <c:pt idx="20">
                  <c:v>Eng&amp;Related (n=5)</c:v>
                </c:pt>
                <c:pt idx="21">
                  <c:v>(n=4)</c:v>
                </c:pt>
                <c:pt idx="22">
                  <c:v>(n=5)</c:v>
                </c:pt>
                <c:pt idx="23">
                  <c:v>(n=4)</c:v>
                </c:pt>
                <c:pt idx="24">
                  <c:v>(n=5)</c:v>
                </c:pt>
                <c:pt idx="25">
                  <c:v>Archi&amp;Build (n=3)</c:v>
                </c:pt>
                <c:pt idx="26">
                  <c:v>(n=3)</c:v>
                </c:pt>
                <c:pt idx="27">
                  <c:v>(n=3)</c:v>
                </c:pt>
                <c:pt idx="28">
                  <c:v>(n=3)</c:v>
                </c:pt>
                <c:pt idx="29">
                  <c:v>(n=4)</c:v>
                </c:pt>
                <c:pt idx="30">
                  <c:v>Environment (n=6)</c:v>
                </c:pt>
                <c:pt idx="31">
                  <c:v>(n=3)</c:v>
                </c:pt>
                <c:pt idx="32">
                  <c:v>(n=3)</c:v>
                </c:pt>
                <c:pt idx="33">
                  <c:v>(n=3)</c:v>
                </c:pt>
                <c:pt idx="34">
                  <c:v>(n=3)</c:v>
                </c:pt>
                <c:pt idx="35">
                  <c:v>OthAg&amp;Enviro (n=3)</c:v>
                </c:pt>
                <c:pt idx="36">
                  <c:v>(n=1)</c:v>
                </c:pt>
                <c:pt idx="37">
                  <c:v>(n=2)</c:v>
                </c:pt>
                <c:pt idx="38">
                  <c:v>(n=2)</c:v>
                </c:pt>
                <c:pt idx="39">
                  <c:v>(n=2)</c:v>
                </c:pt>
                <c:pt idx="40">
                  <c:v>MedicalStudies (n=1)</c:v>
                </c:pt>
                <c:pt idx="41">
                  <c:v>(n=0)</c:v>
                </c:pt>
                <c:pt idx="42">
                  <c:v>(n=1)</c:v>
                </c:pt>
                <c:pt idx="43">
                  <c:v>(n=0)</c:v>
                </c:pt>
                <c:pt idx="44">
                  <c:v>(n=0)</c:v>
                </c:pt>
                <c:pt idx="45">
                  <c:v>Dental (n=0)</c:v>
                </c:pt>
                <c:pt idx="46">
                  <c:v>(n=0)</c:v>
                </c:pt>
                <c:pt idx="47">
                  <c:v>(n=0)</c:v>
                </c:pt>
                <c:pt idx="48">
                  <c:v>(n=0)</c:v>
                </c:pt>
                <c:pt idx="49">
                  <c:v>(n=0)</c:v>
                </c:pt>
                <c:pt idx="50">
                  <c:v>Veterinary (n=0)</c:v>
                </c:pt>
                <c:pt idx="51">
                  <c:v>(n=0)</c:v>
                </c:pt>
                <c:pt idx="52">
                  <c:v>(n=0)</c:v>
                </c:pt>
                <c:pt idx="53">
                  <c:v>(n=0)</c:v>
                </c:pt>
                <c:pt idx="54">
                  <c:v>(n=0)</c:v>
                </c:pt>
                <c:pt idx="55">
                  <c:v>OthHealth (n=5)</c:v>
                </c:pt>
                <c:pt idx="56">
                  <c:v>(n=7)</c:v>
                </c:pt>
                <c:pt idx="57">
                  <c:v>(n=6)</c:v>
                </c:pt>
                <c:pt idx="58">
                  <c:v>(n=7)</c:v>
                </c:pt>
                <c:pt idx="59">
                  <c:v>(n=9)</c:v>
                </c:pt>
                <c:pt idx="60">
                  <c:v>Education (n=7)</c:v>
                </c:pt>
                <c:pt idx="61">
                  <c:v>(n=8)</c:v>
                </c:pt>
                <c:pt idx="62">
                  <c:v>(n=7)</c:v>
                </c:pt>
                <c:pt idx="63">
                  <c:v>(n=7)</c:v>
                </c:pt>
                <c:pt idx="64">
                  <c:v>(n=9)</c:v>
                </c:pt>
                <c:pt idx="65">
                  <c:v>Mgmt&amp;Comm (n=11)</c:v>
                </c:pt>
                <c:pt idx="66">
                  <c:v>(n=10)</c:v>
                </c:pt>
                <c:pt idx="67">
                  <c:v>(n=12)</c:v>
                </c:pt>
                <c:pt idx="68">
                  <c:v>(n=11)</c:v>
                </c:pt>
                <c:pt idx="69">
                  <c:v>(n=11)</c:v>
                </c:pt>
                <c:pt idx="70">
                  <c:v>ForeignLang (n=8)</c:v>
                </c:pt>
                <c:pt idx="71">
                  <c:v>(n=9)</c:v>
                </c:pt>
                <c:pt idx="72">
                  <c:v>(n=11)</c:v>
                </c:pt>
                <c:pt idx="73">
                  <c:v>(n=9)</c:v>
                </c:pt>
                <c:pt idx="74">
                  <c:v>(n=9)</c:v>
                </c:pt>
                <c:pt idx="75">
                  <c:v>Psych (n=4)</c:v>
                </c:pt>
                <c:pt idx="76">
                  <c:v>(n=3)</c:v>
                </c:pt>
                <c:pt idx="77">
                  <c:v>(n=3)</c:v>
                </c:pt>
                <c:pt idx="78">
                  <c:v>(n=4)</c:v>
                </c:pt>
                <c:pt idx="79">
                  <c:v>(n=6)</c:v>
                </c:pt>
                <c:pt idx="80">
                  <c:v>OtherSoc&amp;Cult (n=12)</c:v>
                </c:pt>
                <c:pt idx="81">
                  <c:v>(n=14)</c:v>
                </c:pt>
                <c:pt idx="82">
                  <c:v>(n=14)</c:v>
                </c:pt>
                <c:pt idx="83">
                  <c:v>(n=14)</c:v>
                </c:pt>
                <c:pt idx="84">
                  <c:v>(n=14)</c:v>
                </c:pt>
                <c:pt idx="85">
                  <c:v>Comms&amp;Media (n=12)</c:v>
                </c:pt>
                <c:pt idx="86">
                  <c:v>(n=8)</c:v>
                </c:pt>
                <c:pt idx="87">
                  <c:v>(n=8)</c:v>
                </c:pt>
                <c:pt idx="88">
                  <c:v>(n=9)</c:v>
                </c:pt>
                <c:pt idx="89">
                  <c:v>(n=10)</c:v>
                </c:pt>
                <c:pt idx="90">
                  <c:v>OthCreative (n=9)</c:v>
                </c:pt>
                <c:pt idx="91">
                  <c:v>(n=7)</c:v>
                </c:pt>
                <c:pt idx="92">
                  <c:v>(n=6)</c:v>
                </c:pt>
                <c:pt idx="93">
                  <c:v>(n=6)</c:v>
                </c:pt>
                <c:pt idx="94">
                  <c:v>(n=5)</c:v>
                </c:pt>
                <c:pt idx="95">
                  <c:v>Total (n=13)</c:v>
                </c:pt>
                <c:pt idx="96">
                  <c:v>(n=15)</c:v>
                </c:pt>
                <c:pt idx="97">
                  <c:v>(n=17)</c:v>
                </c:pt>
                <c:pt idx="98">
                  <c:v>(n=16)</c:v>
                </c:pt>
                <c:pt idx="99">
                  <c:v>(n=16)</c:v>
                </c:pt>
              </c:strCache>
            </c:strRef>
          </c:cat>
          <c:val>
            <c:numRef>
              <c:f>'Comp to Prev_All FOEs (15-20)'!$DE$17:$GZ$17</c:f>
              <c:numCache>
                <c:formatCode>#,##0</c:formatCode>
                <c:ptCount val="100"/>
                <c:pt idx="0">
                  <c:v>8695.2652654912508</c:v>
                </c:pt>
                <c:pt idx="1">
                  <c:v>4153.2230937919758</c:v>
                </c:pt>
                <c:pt idx="2">
                  <c:v>9392.3645552512535</c:v>
                </c:pt>
                <c:pt idx="3">
                  <c:v>12430.738168198843</c:v>
                </c:pt>
                <c:pt idx="4">
                  <c:v>12182.671223120371</c:v>
                </c:pt>
                <c:pt idx="5">
                  <c:v>18994.649622486457</c:v>
                </c:pt>
                <c:pt idx="6">
                  <c:v>#N/A</c:v>
                </c:pt>
                <c:pt idx="7">
                  <c:v>24074.267783894684</c:v>
                </c:pt>
                <c:pt idx="8">
                  <c:v>24001.126516801822</c:v>
                </c:pt>
                <c:pt idx="9">
                  <c:v>36351.577492295852</c:v>
                </c:pt>
                <c:pt idx="10">
                  <c:v>12026.326496385696</c:v>
                </c:pt>
                <c:pt idx="11">
                  <c:v>15591.272862419366</c:v>
                </c:pt>
                <c:pt idx="12">
                  <c:v>12768.262710042318</c:v>
                </c:pt>
                <c:pt idx="13">
                  <c:v>14352.755636334718</c:v>
                </c:pt>
                <c:pt idx="14">
                  <c:v>15867.704495884826</c:v>
                </c:pt>
                <c:pt idx="15">
                  <c:v>1387.9300898377173</c:v>
                </c:pt>
                <c:pt idx="16">
                  <c:v>10340.055339682107</c:v>
                </c:pt>
                <c:pt idx="17">
                  <c:v>14827.645618003877</c:v>
                </c:pt>
                <c:pt idx="18">
                  <c:v>11551.972549484843</c:v>
                </c:pt>
                <c:pt idx="19">
                  <c:v>12683.422040281104</c:v>
                </c:pt>
                <c:pt idx="20">
                  <c:v>14348.289145772655</c:v>
                </c:pt>
                <c:pt idx="21">
                  <c:v>16405.315457051678</c:v>
                </c:pt>
                <c:pt idx="22">
                  <c:v>14693.019568835203</c:v>
                </c:pt>
                <c:pt idx="23">
                  <c:v>17742.337517389435</c:v>
                </c:pt>
                <c:pt idx="24">
                  <c:v>16007.956913428327</c:v>
                </c:pt>
                <c:pt idx="25">
                  <c:v>14093.411332212643</c:v>
                </c:pt>
                <c:pt idx="26">
                  <c:v>15439.581472506794</c:v>
                </c:pt>
                <c:pt idx="27">
                  <c:v>15060.299875494507</c:v>
                </c:pt>
                <c:pt idx="28">
                  <c:v>14187.887935529912</c:v>
                </c:pt>
                <c:pt idx="29">
                  <c:v>6702.6279723200105</c:v>
                </c:pt>
                <c:pt idx="30">
                  <c:v>8260.1902582229868</c:v>
                </c:pt>
                <c:pt idx="31">
                  <c:v>15520.217241292024</c:v>
                </c:pt>
                <c:pt idx="32">
                  <c:v>21409.86952750702</c:v>
                </c:pt>
                <c:pt idx="33">
                  <c:v>16419.526299849069</c:v>
                </c:pt>
                <c:pt idx="34">
                  <c:v>16683.512790345354</c:v>
                </c:pt>
                <c:pt idx="35">
                  <c:v>18168.488411318165</c:v>
                </c:pt>
                <c:pt idx="36">
                  <c:v>36835.832897979824</c:v>
                </c:pt>
                <c:pt idx="37">
                  <c:v>23044.833894767984</c:v>
                </c:pt>
                <c:pt idx="38">
                  <c:v>24895.689900603778</c:v>
                </c:pt>
                <c:pt idx="39">
                  <c:v>25091.719740971035</c:v>
                </c:pt>
                <c:pt idx="40">
                  <c:v>13406.441014843836</c:v>
                </c:pt>
                <c:pt idx="41">
                  <c:v>#N/A</c:v>
                </c:pt>
                <c:pt idx="42">
                  <c:v>16826.022829177462</c:v>
                </c:pt>
                <c:pt idx="43">
                  <c:v>#N/A</c:v>
                </c:pt>
                <c:pt idx="44">
                  <c:v>#N/A</c:v>
                </c:pt>
                <c:pt idx="45">
                  <c:v>#N/A</c:v>
                </c:pt>
                <c:pt idx="46">
                  <c:v>#N/A</c:v>
                </c:pt>
                <c:pt idx="47">
                  <c:v>#N/A</c:v>
                </c:pt>
                <c:pt idx="48">
                  <c:v>#N/A</c:v>
                </c:pt>
                <c:pt idx="49">
                  <c:v>#N/A</c:v>
                </c:pt>
                <c:pt idx="50">
                  <c:v>#N/A</c:v>
                </c:pt>
                <c:pt idx="51">
                  <c:v>#N/A</c:v>
                </c:pt>
                <c:pt idx="52">
                  <c:v>#N/A</c:v>
                </c:pt>
                <c:pt idx="53">
                  <c:v>#N/A</c:v>
                </c:pt>
                <c:pt idx="54">
                  <c:v>#N/A</c:v>
                </c:pt>
                <c:pt idx="55">
                  <c:v>12553.14115185564</c:v>
                </c:pt>
                <c:pt idx="56">
                  <c:v>10847.365290947169</c:v>
                </c:pt>
                <c:pt idx="57">
                  <c:v>14808.991539346194</c:v>
                </c:pt>
                <c:pt idx="58">
                  <c:v>12227.784186088864</c:v>
                </c:pt>
                <c:pt idx="59">
                  <c:v>9744.5956376285503</c:v>
                </c:pt>
                <c:pt idx="60">
                  <c:v>2323.8377385361373</c:v>
                </c:pt>
                <c:pt idx="61">
                  <c:v>3430.2489899863458</c:v>
                </c:pt>
                <c:pt idx="62">
                  <c:v>11065.457698240503</c:v>
                </c:pt>
                <c:pt idx="63">
                  <c:v>13045.360330376525</c:v>
                </c:pt>
                <c:pt idx="64">
                  <c:v>2362.4252607832777</c:v>
                </c:pt>
                <c:pt idx="65">
                  <c:v>712.54480803930983</c:v>
                </c:pt>
                <c:pt idx="66">
                  <c:v>2239.020303800336</c:v>
                </c:pt>
                <c:pt idx="67">
                  <c:v>11316.454826714342</c:v>
                </c:pt>
                <c:pt idx="68">
                  <c:v>12552.623575975063</c:v>
                </c:pt>
                <c:pt idx="69">
                  <c:v>12297.786725133174</c:v>
                </c:pt>
                <c:pt idx="70">
                  <c:v>12017.91140166178</c:v>
                </c:pt>
                <c:pt idx="71">
                  <c:v>12715.211685029728</c:v>
                </c:pt>
                <c:pt idx="72">
                  <c:v>13376.70197740113</c:v>
                </c:pt>
                <c:pt idx="73">
                  <c:v>7599.6810615312506</c:v>
                </c:pt>
                <c:pt idx="74">
                  <c:v>7736.8640050865433</c:v>
                </c:pt>
                <c:pt idx="75">
                  <c:v>7323.1769006593513</c:v>
                </c:pt>
                <c:pt idx="76">
                  <c:v>10532.078108961054</c:v>
                </c:pt>
                <c:pt idx="77">
                  <c:v>12328.599523241955</c:v>
                </c:pt>
                <c:pt idx="78">
                  <c:v>14778.586382224712</c:v>
                </c:pt>
                <c:pt idx="79">
                  <c:v>5296.8164360144638</c:v>
                </c:pt>
                <c:pt idx="80">
                  <c:v>829.77226733101895</c:v>
                </c:pt>
                <c:pt idx="81">
                  <c:v>9105.6345867230848</c:v>
                </c:pt>
                <c:pt idx="82">
                  <c:v>10995.189857741987</c:v>
                </c:pt>
                <c:pt idx="83">
                  <c:v>9116.2453870666777</c:v>
                </c:pt>
                <c:pt idx="84">
                  <c:v>5317.2091131574325</c:v>
                </c:pt>
                <c:pt idx="85">
                  <c:v>2669.0951323935501</c:v>
                </c:pt>
                <c:pt idx="86">
                  <c:v>8430.9255678908576</c:v>
                </c:pt>
                <c:pt idx="87">
                  <c:v>11631.627071823204</c:v>
                </c:pt>
                <c:pt idx="88">
                  <c:v>10708.440536091535</c:v>
                </c:pt>
                <c:pt idx="89">
                  <c:v>11377.771405211615</c:v>
                </c:pt>
                <c:pt idx="90">
                  <c:v>23.687014462846825</c:v>
                </c:pt>
                <c:pt idx="91">
                  <c:v>13038.024216353271</c:v>
                </c:pt>
                <c:pt idx="92">
                  <c:v>14826.313099747989</c:v>
                </c:pt>
                <c:pt idx="93">
                  <c:v>13845.635939839729</c:v>
                </c:pt>
                <c:pt idx="94">
                  <c:v>14689.266852435952</c:v>
                </c:pt>
                <c:pt idx="95">
                  <c:v>3210.374024409638</c:v>
                </c:pt>
                <c:pt idx="96">
                  <c:v>9017.6981607976795</c:v>
                </c:pt>
                <c:pt idx="97">
                  <c:v>11469.993519358626</c:v>
                </c:pt>
                <c:pt idx="98">
                  <c:v>#N/A</c:v>
                </c:pt>
                <c:pt idx="99">
                  <c:v>#N/A</c:v>
                </c:pt>
              </c:numCache>
            </c:numRef>
          </c:val>
          <c:smooth val="0"/>
          <c:extLst>
            <c:ext xmlns:c16="http://schemas.microsoft.com/office/drawing/2014/chart" uri="{C3380CC4-5D6E-409C-BE32-E72D297353CC}">
              <c16:uniqueId val="{00000000-6808-4BCE-828D-FA5BDCEDC8F1}"/>
            </c:ext>
          </c:extLst>
        </c:ser>
        <c:ser>
          <c:idx val="1"/>
          <c:order val="1"/>
          <c:tx>
            <c:strRef>
              <c:f>'Comp to Prev_All FOEs (15-20)'!$DD$16</c:f>
              <c:strCache>
                <c:ptCount val="1"/>
                <c:pt idx="0">
                  <c:v>High</c:v>
                </c:pt>
              </c:strCache>
            </c:strRef>
          </c:tx>
          <c:spPr>
            <a:ln w="28575" cap="rnd">
              <a:noFill/>
              <a:round/>
            </a:ln>
            <a:effectLst/>
          </c:spPr>
          <c:marker>
            <c:symbol val="none"/>
          </c:marker>
          <c:cat>
            <c:strRef>
              <c:f>'Comp to Prev_All FOEs (15-20)'!$DE$5:$GZ$5</c:f>
              <c:strCache>
                <c:ptCount val="100"/>
                <c:pt idx="0">
                  <c:v>MathSci (n=11)</c:v>
                </c:pt>
                <c:pt idx="1">
                  <c:v>(n=12)</c:v>
                </c:pt>
                <c:pt idx="2">
                  <c:v>(n=13)</c:v>
                </c:pt>
                <c:pt idx="3">
                  <c:v>(n=11)</c:v>
                </c:pt>
                <c:pt idx="4">
                  <c:v>(n=10)</c:v>
                </c:pt>
                <c:pt idx="5">
                  <c:v>MedicalSci (n=1)</c:v>
                </c:pt>
                <c:pt idx="6">
                  <c:v>(n=0)</c:v>
                </c:pt>
                <c:pt idx="7">
                  <c:v>(n=1)</c:v>
                </c:pt>
                <c:pt idx="8">
                  <c:v>(n=1)</c:v>
                </c:pt>
                <c:pt idx="9">
                  <c:v>(n=1)</c:v>
                </c:pt>
                <c:pt idx="10">
                  <c:v>OthNat-PhysSci (n=10)</c:v>
                </c:pt>
                <c:pt idx="11">
                  <c:v>(n=9)</c:v>
                </c:pt>
                <c:pt idx="12">
                  <c:v>(n=10)</c:v>
                </c:pt>
                <c:pt idx="13">
                  <c:v>(n=10)</c:v>
                </c:pt>
                <c:pt idx="14">
                  <c:v>(n=10)</c:v>
                </c:pt>
                <c:pt idx="15">
                  <c:v>InfoTech (n=11)</c:v>
                </c:pt>
                <c:pt idx="16">
                  <c:v>(n=7)</c:v>
                </c:pt>
                <c:pt idx="17">
                  <c:v>(n=7)</c:v>
                </c:pt>
                <c:pt idx="18">
                  <c:v>(n=8)</c:v>
                </c:pt>
                <c:pt idx="19">
                  <c:v>(n=10)</c:v>
                </c:pt>
                <c:pt idx="20">
                  <c:v>Eng&amp;Related (n=5)</c:v>
                </c:pt>
                <c:pt idx="21">
                  <c:v>(n=4)</c:v>
                </c:pt>
                <c:pt idx="22">
                  <c:v>(n=5)</c:v>
                </c:pt>
                <c:pt idx="23">
                  <c:v>(n=4)</c:v>
                </c:pt>
                <c:pt idx="24">
                  <c:v>(n=5)</c:v>
                </c:pt>
                <c:pt idx="25">
                  <c:v>Archi&amp;Build (n=3)</c:v>
                </c:pt>
                <c:pt idx="26">
                  <c:v>(n=3)</c:v>
                </c:pt>
                <c:pt idx="27">
                  <c:v>(n=3)</c:v>
                </c:pt>
                <c:pt idx="28">
                  <c:v>(n=3)</c:v>
                </c:pt>
                <c:pt idx="29">
                  <c:v>(n=4)</c:v>
                </c:pt>
                <c:pt idx="30">
                  <c:v>Environment (n=6)</c:v>
                </c:pt>
                <c:pt idx="31">
                  <c:v>(n=3)</c:v>
                </c:pt>
                <c:pt idx="32">
                  <c:v>(n=3)</c:v>
                </c:pt>
                <c:pt idx="33">
                  <c:v>(n=3)</c:v>
                </c:pt>
                <c:pt idx="34">
                  <c:v>(n=3)</c:v>
                </c:pt>
                <c:pt idx="35">
                  <c:v>OthAg&amp;Enviro (n=3)</c:v>
                </c:pt>
                <c:pt idx="36">
                  <c:v>(n=1)</c:v>
                </c:pt>
                <c:pt idx="37">
                  <c:v>(n=2)</c:v>
                </c:pt>
                <c:pt idx="38">
                  <c:v>(n=2)</c:v>
                </c:pt>
                <c:pt idx="39">
                  <c:v>(n=2)</c:v>
                </c:pt>
                <c:pt idx="40">
                  <c:v>MedicalStudies (n=1)</c:v>
                </c:pt>
                <c:pt idx="41">
                  <c:v>(n=0)</c:v>
                </c:pt>
                <c:pt idx="42">
                  <c:v>(n=1)</c:v>
                </c:pt>
                <c:pt idx="43">
                  <c:v>(n=0)</c:v>
                </c:pt>
                <c:pt idx="44">
                  <c:v>(n=0)</c:v>
                </c:pt>
                <c:pt idx="45">
                  <c:v>Dental (n=0)</c:v>
                </c:pt>
                <c:pt idx="46">
                  <c:v>(n=0)</c:v>
                </c:pt>
                <c:pt idx="47">
                  <c:v>(n=0)</c:v>
                </c:pt>
                <c:pt idx="48">
                  <c:v>(n=0)</c:v>
                </c:pt>
                <c:pt idx="49">
                  <c:v>(n=0)</c:v>
                </c:pt>
                <c:pt idx="50">
                  <c:v>Veterinary (n=0)</c:v>
                </c:pt>
                <c:pt idx="51">
                  <c:v>(n=0)</c:v>
                </c:pt>
                <c:pt idx="52">
                  <c:v>(n=0)</c:v>
                </c:pt>
                <c:pt idx="53">
                  <c:v>(n=0)</c:v>
                </c:pt>
                <c:pt idx="54">
                  <c:v>(n=0)</c:v>
                </c:pt>
                <c:pt idx="55">
                  <c:v>OthHealth (n=5)</c:v>
                </c:pt>
                <c:pt idx="56">
                  <c:v>(n=7)</c:v>
                </c:pt>
                <c:pt idx="57">
                  <c:v>(n=6)</c:v>
                </c:pt>
                <c:pt idx="58">
                  <c:v>(n=7)</c:v>
                </c:pt>
                <c:pt idx="59">
                  <c:v>(n=9)</c:v>
                </c:pt>
                <c:pt idx="60">
                  <c:v>Education (n=7)</c:v>
                </c:pt>
                <c:pt idx="61">
                  <c:v>(n=8)</c:v>
                </c:pt>
                <c:pt idx="62">
                  <c:v>(n=7)</c:v>
                </c:pt>
                <c:pt idx="63">
                  <c:v>(n=7)</c:v>
                </c:pt>
                <c:pt idx="64">
                  <c:v>(n=9)</c:v>
                </c:pt>
                <c:pt idx="65">
                  <c:v>Mgmt&amp;Comm (n=11)</c:v>
                </c:pt>
                <c:pt idx="66">
                  <c:v>(n=10)</c:v>
                </c:pt>
                <c:pt idx="67">
                  <c:v>(n=12)</c:v>
                </c:pt>
                <c:pt idx="68">
                  <c:v>(n=11)</c:v>
                </c:pt>
                <c:pt idx="69">
                  <c:v>(n=11)</c:v>
                </c:pt>
                <c:pt idx="70">
                  <c:v>ForeignLang (n=8)</c:v>
                </c:pt>
                <c:pt idx="71">
                  <c:v>(n=9)</c:v>
                </c:pt>
                <c:pt idx="72">
                  <c:v>(n=11)</c:v>
                </c:pt>
                <c:pt idx="73">
                  <c:v>(n=9)</c:v>
                </c:pt>
                <c:pt idx="74">
                  <c:v>(n=9)</c:v>
                </c:pt>
                <c:pt idx="75">
                  <c:v>Psych (n=4)</c:v>
                </c:pt>
                <c:pt idx="76">
                  <c:v>(n=3)</c:v>
                </c:pt>
                <c:pt idx="77">
                  <c:v>(n=3)</c:v>
                </c:pt>
                <c:pt idx="78">
                  <c:v>(n=4)</c:v>
                </c:pt>
                <c:pt idx="79">
                  <c:v>(n=6)</c:v>
                </c:pt>
                <c:pt idx="80">
                  <c:v>OtherSoc&amp;Cult (n=12)</c:v>
                </c:pt>
                <c:pt idx="81">
                  <c:v>(n=14)</c:v>
                </c:pt>
                <c:pt idx="82">
                  <c:v>(n=14)</c:v>
                </c:pt>
                <c:pt idx="83">
                  <c:v>(n=14)</c:v>
                </c:pt>
                <c:pt idx="84">
                  <c:v>(n=14)</c:v>
                </c:pt>
                <c:pt idx="85">
                  <c:v>Comms&amp;Media (n=12)</c:v>
                </c:pt>
                <c:pt idx="86">
                  <c:v>(n=8)</c:v>
                </c:pt>
                <c:pt idx="87">
                  <c:v>(n=8)</c:v>
                </c:pt>
                <c:pt idx="88">
                  <c:v>(n=9)</c:v>
                </c:pt>
                <c:pt idx="89">
                  <c:v>(n=10)</c:v>
                </c:pt>
                <c:pt idx="90">
                  <c:v>OthCreative (n=9)</c:v>
                </c:pt>
                <c:pt idx="91">
                  <c:v>(n=7)</c:v>
                </c:pt>
                <c:pt idx="92">
                  <c:v>(n=6)</c:v>
                </c:pt>
                <c:pt idx="93">
                  <c:v>(n=6)</c:v>
                </c:pt>
                <c:pt idx="94">
                  <c:v>(n=5)</c:v>
                </c:pt>
                <c:pt idx="95">
                  <c:v>Total (n=13)</c:v>
                </c:pt>
                <c:pt idx="96">
                  <c:v>(n=15)</c:v>
                </c:pt>
                <c:pt idx="97">
                  <c:v>(n=17)</c:v>
                </c:pt>
                <c:pt idx="98">
                  <c:v>(n=16)</c:v>
                </c:pt>
                <c:pt idx="99">
                  <c:v>(n=16)</c:v>
                </c:pt>
              </c:strCache>
            </c:strRef>
          </c:cat>
          <c:val>
            <c:numRef>
              <c:f>'Comp to Prev_All FOEs (15-20)'!$DE$16:$GZ$16</c:f>
              <c:numCache>
                <c:formatCode>#,##0</c:formatCode>
                <c:ptCount val="100"/>
                <c:pt idx="0">
                  <c:v>30535.113291180136</c:v>
                </c:pt>
                <c:pt idx="1">
                  <c:v>25826.72887832078</c:v>
                </c:pt>
                <c:pt idx="2">
                  <c:v>19204.125140315224</c:v>
                </c:pt>
                <c:pt idx="3">
                  <c:v>23962.997224883973</c:v>
                </c:pt>
                <c:pt idx="4">
                  <c:v>22407.05204318235</c:v>
                </c:pt>
                <c:pt idx="5">
                  <c:v>18994.649622486457</c:v>
                </c:pt>
                <c:pt idx="6">
                  <c:v>#N/A</c:v>
                </c:pt>
                <c:pt idx="7">
                  <c:v>24074.267783894684</c:v>
                </c:pt>
                <c:pt idx="8">
                  <c:v>24001.126516801822</c:v>
                </c:pt>
                <c:pt idx="9">
                  <c:v>36351.577492295852</c:v>
                </c:pt>
                <c:pt idx="10">
                  <c:v>42431.396532948129</c:v>
                </c:pt>
                <c:pt idx="11">
                  <c:v>47660.181561595018</c:v>
                </c:pt>
                <c:pt idx="12">
                  <c:v>29336.065256444304</c:v>
                </c:pt>
                <c:pt idx="13">
                  <c:v>48776.273047036993</c:v>
                </c:pt>
                <c:pt idx="14">
                  <c:v>45027.485388653717</c:v>
                </c:pt>
                <c:pt idx="15">
                  <c:v>53540.4661770085</c:v>
                </c:pt>
                <c:pt idx="16">
                  <c:v>27815.624829999782</c:v>
                </c:pt>
                <c:pt idx="17">
                  <c:v>29178.506214180969</c:v>
                </c:pt>
                <c:pt idx="18">
                  <c:v>39696.646240768823</c:v>
                </c:pt>
                <c:pt idx="19">
                  <c:v>33980.601959184962</c:v>
                </c:pt>
                <c:pt idx="20">
                  <c:v>31396.552146829181</c:v>
                </c:pt>
                <c:pt idx="21">
                  <c:v>31495.131165800165</c:v>
                </c:pt>
                <c:pt idx="22">
                  <c:v>34604.326636153099</c:v>
                </c:pt>
                <c:pt idx="23">
                  <c:v>47510.182011175144</c:v>
                </c:pt>
                <c:pt idx="24">
                  <c:v>52265.70456351641</c:v>
                </c:pt>
                <c:pt idx="25">
                  <c:v>21749.748558457755</c:v>
                </c:pt>
                <c:pt idx="26">
                  <c:v>32066.947860509506</c:v>
                </c:pt>
                <c:pt idx="27">
                  <c:v>24950.820628351667</c:v>
                </c:pt>
                <c:pt idx="28">
                  <c:v>31338.124434353133</c:v>
                </c:pt>
                <c:pt idx="29">
                  <c:v>28066.722381332373</c:v>
                </c:pt>
                <c:pt idx="30">
                  <c:v>88150.607268484295</c:v>
                </c:pt>
                <c:pt idx="31">
                  <c:v>44289.024687469326</c:v>
                </c:pt>
                <c:pt idx="32">
                  <c:v>31443.042482392306</c:v>
                </c:pt>
                <c:pt idx="33">
                  <c:v>51868.934031916528</c:v>
                </c:pt>
                <c:pt idx="34">
                  <c:v>24817.126669609603</c:v>
                </c:pt>
                <c:pt idx="35">
                  <c:v>39748.773292468672</c:v>
                </c:pt>
                <c:pt idx="36">
                  <c:v>36835.832897979824</c:v>
                </c:pt>
                <c:pt idx="37">
                  <c:v>33843.033242605263</c:v>
                </c:pt>
                <c:pt idx="38">
                  <c:v>68998.231232082471</c:v>
                </c:pt>
                <c:pt idx="39">
                  <c:v>50696.673968685944</c:v>
                </c:pt>
                <c:pt idx="40">
                  <c:v>13406.441014843836</c:v>
                </c:pt>
                <c:pt idx="41">
                  <c:v>#N/A</c:v>
                </c:pt>
                <c:pt idx="42">
                  <c:v>16826.022829177462</c:v>
                </c:pt>
                <c:pt idx="43">
                  <c:v>#N/A</c:v>
                </c:pt>
                <c:pt idx="44">
                  <c:v>#N/A</c:v>
                </c:pt>
                <c:pt idx="45">
                  <c:v>#N/A</c:v>
                </c:pt>
                <c:pt idx="46">
                  <c:v>#N/A</c:v>
                </c:pt>
                <c:pt idx="47">
                  <c:v>#N/A</c:v>
                </c:pt>
                <c:pt idx="48">
                  <c:v>#N/A</c:v>
                </c:pt>
                <c:pt idx="49">
                  <c:v>#N/A</c:v>
                </c:pt>
                <c:pt idx="50">
                  <c:v>#N/A</c:v>
                </c:pt>
                <c:pt idx="51">
                  <c:v>#N/A</c:v>
                </c:pt>
                <c:pt idx="52">
                  <c:v>#N/A</c:v>
                </c:pt>
                <c:pt idx="53">
                  <c:v>#N/A</c:v>
                </c:pt>
                <c:pt idx="54">
                  <c:v>#N/A</c:v>
                </c:pt>
                <c:pt idx="55">
                  <c:v>15131.514751715593</c:v>
                </c:pt>
                <c:pt idx="56">
                  <c:v>20867.239335829865</c:v>
                </c:pt>
                <c:pt idx="57">
                  <c:v>19973.291959644659</c:v>
                </c:pt>
                <c:pt idx="58">
                  <c:v>18385.220923816556</c:v>
                </c:pt>
                <c:pt idx="59">
                  <c:v>19558.077782431159</c:v>
                </c:pt>
                <c:pt idx="60">
                  <c:v>20132.304159371157</c:v>
                </c:pt>
                <c:pt idx="61">
                  <c:v>19016.176551604585</c:v>
                </c:pt>
                <c:pt idx="62">
                  <c:v>24954.174119010317</c:v>
                </c:pt>
                <c:pt idx="63">
                  <c:v>24610.81602803967</c:v>
                </c:pt>
                <c:pt idx="64">
                  <c:v>29141.0052231667</c:v>
                </c:pt>
                <c:pt idx="65">
                  <c:v>69315.488623235404</c:v>
                </c:pt>
                <c:pt idx="66">
                  <c:v>25920.769181932868</c:v>
                </c:pt>
                <c:pt idx="67">
                  <c:v>29121.322548224605</c:v>
                </c:pt>
                <c:pt idx="68">
                  <c:v>32996.542709610861</c:v>
                </c:pt>
                <c:pt idx="69">
                  <c:v>29920.545894899475</c:v>
                </c:pt>
                <c:pt idx="70">
                  <c:v>51892.766774137825</c:v>
                </c:pt>
                <c:pt idx="71">
                  <c:v>28416.47694714673</c:v>
                </c:pt>
                <c:pt idx="72">
                  <c:v>37121.50097742318</c:v>
                </c:pt>
                <c:pt idx="73">
                  <c:v>27636.269275055674</c:v>
                </c:pt>
                <c:pt idx="74">
                  <c:v>27145.474165047646</c:v>
                </c:pt>
                <c:pt idx="75">
                  <c:v>30396.544938776322</c:v>
                </c:pt>
                <c:pt idx="76">
                  <c:v>16899.78315702984</c:v>
                </c:pt>
                <c:pt idx="77">
                  <c:v>17497.124337036497</c:v>
                </c:pt>
                <c:pt idx="78">
                  <c:v>23301.045135688735</c:v>
                </c:pt>
                <c:pt idx="79">
                  <c:v>23952.204190500543</c:v>
                </c:pt>
                <c:pt idx="80">
                  <c:v>73535.130013465256</c:v>
                </c:pt>
                <c:pt idx="81">
                  <c:v>23058.630295323459</c:v>
                </c:pt>
                <c:pt idx="82">
                  <c:v>21169.132372969107</c:v>
                </c:pt>
                <c:pt idx="83">
                  <c:v>22677.218678258167</c:v>
                </c:pt>
                <c:pt idx="84">
                  <c:v>21202.399779619704</c:v>
                </c:pt>
                <c:pt idx="85">
                  <c:v>61847.901185677634</c:v>
                </c:pt>
                <c:pt idx="86">
                  <c:v>19236.733103132548</c:v>
                </c:pt>
                <c:pt idx="87">
                  <c:v>19800.513396560615</c:v>
                </c:pt>
                <c:pt idx="88">
                  <c:v>22540.40452748059</c:v>
                </c:pt>
                <c:pt idx="89">
                  <c:v>25316.963977945601</c:v>
                </c:pt>
                <c:pt idx="90">
                  <c:v>52626.673929684046</c:v>
                </c:pt>
                <c:pt idx="91">
                  <c:v>34200.283135216167</c:v>
                </c:pt>
                <c:pt idx="92">
                  <c:v>40946.224768133274</c:v>
                </c:pt>
                <c:pt idx="93">
                  <c:v>25902.757054045582</c:v>
                </c:pt>
                <c:pt idx="94">
                  <c:v>27698.817364239345</c:v>
                </c:pt>
                <c:pt idx="95">
                  <c:v>60493.97056384974</c:v>
                </c:pt>
                <c:pt idx="96">
                  <c:v>28200.904040650395</c:v>
                </c:pt>
                <c:pt idx="97">
                  <c:v>21948.869293755732</c:v>
                </c:pt>
                <c:pt idx="98">
                  <c:v>#N/A</c:v>
                </c:pt>
                <c:pt idx="99">
                  <c:v>#N/A</c:v>
                </c:pt>
              </c:numCache>
            </c:numRef>
          </c:val>
          <c:smooth val="0"/>
          <c:extLst>
            <c:ext xmlns:c16="http://schemas.microsoft.com/office/drawing/2014/chart" uri="{C3380CC4-5D6E-409C-BE32-E72D297353CC}">
              <c16:uniqueId val="{00000001-6808-4BCE-828D-FA5BDCEDC8F1}"/>
            </c:ext>
          </c:extLst>
        </c:ser>
        <c:ser>
          <c:idx val="2"/>
          <c:order val="2"/>
          <c:tx>
            <c:strRef>
              <c:f>'Comp to Prev_All FOEs (15-20)'!$DD$11</c:f>
              <c:strCache>
                <c:ptCount val="1"/>
                <c:pt idx="0">
                  <c:v>Mean</c:v>
                </c:pt>
              </c:strCache>
            </c:strRef>
          </c:tx>
          <c:spPr>
            <a:ln w="28575" cap="rnd">
              <a:noFill/>
              <a:round/>
            </a:ln>
            <a:effectLst/>
          </c:spPr>
          <c:marker>
            <c:symbol val="diamond"/>
            <c:size val="8"/>
            <c:spPr>
              <a:solidFill>
                <a:schemeClr val="accent2"/>
              </a:solidFill>
              <a:ln w="9525">
                <a:noFill/>
              </a:ln>
              <a:effectLst/>
            </c:spPr>
          </c:marker>
          <c:dPt>
            <c:idx val="0"/>
            <c:marker>
              <c:symbol val="diamond"/>
              <c:size val="8"/>
              <c:spPr>
                <a:solidFill>
                  <a:schemeClr val="accent2"/>
                </a:solidFill>
                <a:ln w="9525">
                  <a:noFill/>
                </a:ln>
                <a:effectLst/>
              </c:spPr>
            </c:marker>
            <c:bubble3D val="0"/>
            <c:extLst>
              <c:ext xmlns:c16="http://schemas.microsoft.com/office/drawing/2014/chart" uri="{C3380CC4-5D6E-409C-BE32-E72D297353CC}">
                <c16:uniqueId val="{00000002-6808-4BCE-828D-FA5BDCEDC8F1}"/>
              </c:ext>
            </c:extLst>
          </c:dPt>
          <c:dPt>
            <c:idx val="1"/>
            <c:marker>
              <c:symbol val="diamond"/>
              <c:size val="8"/>
              <c:spPr>
                <a:solidFill>
                  <a:srgbClr val="00ABAB"/>
                </a:solidFill>
                <a:ln w="9525">
                  <a:noFill/>
                </a:ln>
                <a:effectLst/>
              </c:spPr>
            </c:marker>
            <c:bubble3D val="0"/>
            <c:extLst>
              <c:ext xmlns:c16="http://schemas.microsoft.com/office/drawing/2014/chart" uri="{C3380CC4-5D6E-409C-BE32-E72D297353CC}">
                <c16:uniqueId val="{00000003-6808-4BCE-828D-FA5BDCEDC8F1}"/>
              </c:ext>
            </c:extLst>
          </c:dPt>
          <c:dPt>
            <c:idx val="2"/>
            <c:marker>
              <c:symbol val="diamond"/>
              <c:size val="8"/>
              <c:spPr>
                <a:solidFill>
                  <a:srgbClr val="BFBFBF"/>
                </a:solidFill>
                <a:ln w="9525">
                  <a:noFill/>
                </a:ln>
                <a:effectLst/>
              </c:spPr>
            </c:marker>
            <c:bubble3D val="0"/>
            <c:extLst>
              <c:ext xmlns:c16="http://schemas.microsoft.com/office/drawing/2014/chart" uri="{C3380CC4-5D6E-409C-BE32-E72D297353CC}">
                <c16:uniqueId val="{00000004-6808-4BCE-828D-FA5BDCEDC8F1}"/>
              </c:ext>
            </c:extLst>
          </c:dPt>
          <c:dPt>
            <c:idx val="3"/>
            <c:marker>
              <c:symbol val="diamond"/>
              <c:size val="8"/>
              <c:spPr>
                <a:solidFill>
                  <a:schemeClr val="accent4"/>
                </a:solidFill>
                <a:ln w="9525">
                  <a:noFill/>
                </a:ln>
                <a:effectLst/>
              </c:spPr>
            </c:marker>
            <c:bubble3D val="0"/>
            <c:extLst>
              <c:ext xmlns:c16="http://schemas.microsoft.com/office/drawing/2014/chart" uri="{C3380CC4-5D6E-409C-BE32-E72D297353CC}">
                <c16:uniqueId val="{00000005-6808-4BCE-828D-FA5BDCEDC8F1}"/>
              </c:ext>
            </c:extLst>
          </c:dPt>
          <c:dPt>
            <c:idx val="4"/>
            <c:marker>
              <c:symbol val="diamond"/>
              <c:size val="8"/>
              <c:spPr>
                <a:solidFill>
                  <a:srgbClr val="53565A"/>
                </a:solidFill>
                <a:ln w="9525">
                  <a:noFill/>
                </a:ln>
                <a:effectLst/>
              </c:spPr>
            </c:marker>
            <c:bubble3D val="0"/>
            <c:extLst>
              <c:ext xmlns:c16="http://schemas.microsoft.com/office/drawing/2014/chart" uri="{C3380CC4-5D6E-409C-BE32-E72D297353CC}">
                <c16:uniqueId val="{00000006-6808-4BCE-828D-FA5BDCEDC8F1}"/>
              </c:ext>
            </c:extLst>
          </c:dPt>
          <c:dPt>
            <c:idx val="5"/>
            <c:marker>
              <c:symbol val="diamond"/>
              <c:size val="8"/>
              <c:spPr>
                <a:solidFill>
                  <a:schemeClr val="accent2"/>
                </a:solidFill>
                <a:ln w="9525">
                  <a:noFill/>
                </a:ln>
                <a:effectLst/>
              </c:spPr>
            </c:marker>
            <c:bubble3D val="0"/>
            <c:extLst>
              <c:ext xmlns:c16="http://schemas.microsoft.com/office/drawing/2014/chart" uri="{C3380CC4-5D6E-409C-BE32-E72D297353CC}">
                <c16:uniqueId val="{00000007-6808-4BCE-828D-FA5BDCEDC8F1}"/>
              </c:ext>
            </c:extLst>
          </c:dPt>
          <c:dPt>
            <c:idx val="6"/>
            <c:marker>
              <c:symbol val="diamond"/>
              <c:size val="8"/>
              <c:spPr>
                <a:solidFill>
                  <a:schemeClr val="accent2"/>
                </a:solidFill>
                <a:ln w="9525">
                  <a:noFill/>
                </a:ln>
                <a:effectLst/>
              </c:spPr>
            </c:marker>
            <c:bubble3D val="0"/>
            <c:extLst>
              <c:ext xmlns:c16="http://schemas.microsoft.com/office/drawing/2014/chart" uri="{C3380CC4-5D6E-409C-BE32-E72D297353CC}">
                <c16:uniqueId val="{00000008-6808-4BCE-828D-FA5BDCEDC8F1}"/>
              </c:ext>
            </c:extLst>
          </c:dPt>
          <c:dPt>
            <c:idx val="7"/>
            <c:marker>
              <c:symbol val="diamond"/>
              <c:size val="8"/>
              <c:spPr>
                <a:solidFill>
                  <a:srgbClr val="BFBFBF"/>
                </a:solidFill>
                <a:ln w="9525">
                  <a:noFill/>
                </a:ln>
                <a:effectLst/>
              </c:spPr>
            </c:marker>
            <c:bubble3D val="0"/>
            <c:extLst>
              <c:ext xmlns:c16="http://schemas.microsoft.com/office/drawing/2014/chart" uri="{C3380CC4-5D6E-409C-BE32-E72D297353CC}">
                <c16:uniqueId val="{00000009-6808-4BCE-828D-FA5BDCEDC8F1}"/>
              </c:ext>
            </c:extLst>
          </c:dPt>
          <c:dPt>
            <c:idx val="8"/>
            <c:marker>
              <c:symbol val="diamond"/>
              <c:size val="8"/>
              <c:spPr>
                <a:solidFill>
                  <a:schemeClr val="accent4"/>
                </a:solidFill>
                <a:ln w="9525">
                  <a:noFill/>
                </a:ln>
                <a:effectLst/>
              </c:spPr>
            </c:marker>
            <c:bubble3D val="0"/>
            <c:extLst>
              <c:ext xmlns:c16="http://schemas.microsoft.com/office/drawing/2014/chart" uri="{C3380CC4-5D6E-409C-BE32-E72D297353CC}">
                <c16:uniqueId val="{0000000A-6808-4BCE-828D-FA5BDCEDC8F1}"/>
              </c:ext>
            </c:extLst>
          </c:dPt>
          <c:dPt>
            <c:idx val="9"/>
            <c:marker>
              <c:symbol val="diamond"/>
              <c:size val="8"/>
              <c:spPr>
                <a:solidFill>
                  <a:srgbClr val="53565A"/>
                </a:solidFill>
                <a:ln w="9525">
                  <a:noFill/>
                </a:ln>
                <a:effectLst/>
              </c:spPr>
            </c:marker>
            <c:bubble3D val="0"/>
            <c:extLst>
              <c:ext xmlns:c16="http://schemas.microsoft.com/office/drawing/2014/chart" uri="{C3380CC4-5D6E-409C-BE32-E72D297353CC}">
                <c16:uniqueId val="{0000000B-6808-4BCE-828D-FA5BDCEDC8F1}"/>
              </c:ext>
            </c:extLst>
          </c:dPt>
          <c:dPt>
            <c:idx val="10"/>
            <c:marker>
              <c:symbol val="diamond"/>
              <c:size val="8"/>
              <c:spPr>
                <a:solidFill>
                  <a:schemeClr val="accent2"/>
                </a:solidFill>
                <a:ln w="9525">
                  <a:noFill/>
                </a:ln>
                <a:effectLst/>
              </c:spPr>
            </c:marker>
            <c:bubble3D val="0"/>
            <c:extLst>
              <c:ext xmlns:c16="http://schemas.microsoft.com/office/drawing/2014/chart" uri="{C3380CC4-5D6E-409C-BE32-E72D297353CC}">
                <c16:uniqueId val="{0000000C-6808-4BCE-828D-FA5BDCEDC8F1}"/>
              </c:ext>
            </c:extLst>
          </c:dPt>
          <c:dPt>
            <c:idx val="11"/>
            <c:marker>
              <c:symbol val="diamond"/>
              <c:size val="8"/>
              <c:spPr>
                <a:solidFill>
                  <a:srgbClr val="00ABAB"/>
                </a:solidFill>
                <a:ln w="9525">
                  <a:noFill/>
                </a:ln>
                <a:effectLst/>
              </c:spPr>
            </c:marker>
            <c:bubble3D val="0"/>
            <c:extLst>
              <c:ext xmlns:c16="http://schemas.microsoft.com/office/drawing/2014/chart" uri="{C3380CC4-5D6E-409C-BE32-E72D297353CC}">
                <c16:uniqueId val="{0000000D-6808-4BCE-828D-FA5BDCEDC8F1}"/>
              </c:ext>
            </c:extLst>
          </c:dPt>
          <c:dPt>
            <c:idx val="12"/>
            <c:marker>
              <c:symbol val="diamond"/>
              <c:size val="8"/>
              <c:spPr>
                <a:solidFill>
                  <a:srgbClr val="BFBFBF"/>
                </a:solidFill>
                <a:ln w="9525">
                  <a:noFill/>
                </a:ln>
                <a:effectLst/>
              </c:spPr>
            </c:marker>
            <c:bubble3D val="0"/>
            <c:extLst>
              <c:ext xmlns:c16="http://schemas.microsoft.com/office/drawing/2014/chart" uri="{C3380CC4-5D6E-409C-BE32-E72D297353CC}">
                <c16:uniqueId val="{0000000E-6808-4BCE-828D-FA5BDCEDC8F1}"/>
              </c:ext>
            </c:extLst>
          </c:dPt>
          <c:dPt>
            <c:idx val="13"/>
            <c:marker>
              <c:symbol val="diamond"/>
              <c:size val="8"/>
              <c:spPr>
                <a:solidFill>
                  <a:schemeClr val="accent4"/>
                </a:solidFill>
                <a:ln w="9525">
                  <a:noFill/>
                </a:ln>
                <a:effectLst/>
              </c:spPr>
            </c:marker>
            <c:bubble3D val="0"/>
            <c:extLst>
              <c:ext xmlns:c16="http://schemas.microsoft.com/office/drawing/2014/chart" uri="{C3380CC4-5D6E-409C-BE32-E72D297353CC}">
                <c16:uniqueId val="{0000000F-6808-4BCE-828D-FA5BDCEDC8F1}"/>
              </c:ext>
            </c:extLst>
          </c:dPt>
          <c:dPt>
            <c:idx val="14"/>
            <c:marker>
              <c:symbol val="diamond"/>
              <c:size val="8"/>
              <c:spPr>
                <a:solidFill>
                  <a:srgbClr val="53565A"/>
                </a:solidFill>
                <a:ln w="9525">
                  <a:noFill/>
                </a:ln>
                <a:effectLst/>
              </c:spPr>
            </c:marker>
            <c:bubble3D val="0"/>
            <c:extLst>
              <c:ext xmlns:c16="http://schemas.microsoft.com/office/drawing/2014/chart" uri="{C3380CC4-5D6E-409C-BE32-E72D297353CC}">
                <c16:uniqueId val="{00000010-6808-4BCE-828D-FA5BDCEDC8F1}"/>
              </c:ext>
            </c:extLst>
          </c:dPt>
          <c:dPt>
            <c:idx val="15"/>
            <c:marker>
              <c:symbol val="diamond"/>
              <c:size val="8"/>
              <c:spPr>
                <a:solidFill>
                  <a:schemeClr val="accent2"/>
                </a:solidFill>
                <a:ln w="9525">
                  <a:noFill/>
                </a:ln>
                <a:effectLst/>
              </c:spPr>
            </c:marker>
            <c:bubble3D val="0"/>
            <c:extLst>
              <c:ext xmlns:c16="http://schemas.microsoft.com/office/drawing/2014/chart" uri="{C3380CC4-5D6E-409C-BE32-E72D297353CC}">
                <c16:uniqueId val="{00000011-6808-4BCE-828D-FA5BDCEDC8F1}"/>
              </c:ext>
            </c:extLst>
          </c:dPt>
          <c:dPt>
            <c:idx val="16"/>
            <c:marker>
              <c:symbol val="diamond"/>
              <c:size val="8"/>
              <c:spPr>
                <a:solidFill>
                  <a:srgbClr val="00ABAB"/>
                </a:solidFill>
                <a:ln w="9525">
                  <a:noFill/>
                </a:ln>
                <a:effectLst/>
              </c:spPr>
            </c:marker>
            <c:bubble3D val="0"/>
            <c:extLst>
              <c:ext xmlns:c16="http://schemas.microsoft.com/office/drawing/2014/chart" uri="{C3380CC4-5D6E-409C-BE32-E72D297353CC}">
                <c16:uniqueId val="{00000012-6808-4BCE-828D-FA5BDCEDC8F1}"/>
              </c:ext>
            </c:extLst>
          </c:dPt>
          <c:dPt>
            <c:idx val="17"/>
            <c:marker>
              <c:symbol val="diamond"/>
              <c:size val="8"/>
              <c:spPr>
                <a:solidFill>
                  <a:srgbClr val="BFBFBF"/>
                </a:solidFill>
                <a:ln w="9525">
                  <a:noFill/>
                </a:ln>
                <a:effectLst/>
              </c:spPr>
            </c:marker>
            <c:bubble3D val="0"/>
            <c:extLst>
              <c:ext xmlns:c16="http://schemas.microsoft.com/office/drawing/2014/chart" uri="{C3380CC4-5D6E-409C-BE32-E72D297353CC}">
                <c16:uniqueId val="{00000013-6808-4BCE-828D-FA5BDCEDC8F1}"/>
              </c:ext>
            </c:extLst>
          </c:dPt>
          <c:dPt>
            <c:idx val="18"/>
            <c:marker>
              <c:symbol val="diamond"/>
              <c:size val="8"/>
              <c:spPr>
                <a:solidFill>
                  <a:schemeClr val="accent4"/>
                </a:solidFill>
                <a:ln w="9525">
                  <a:noFill/>
                </a:ln>
                <a:effectLst/>
              </c:spPr>
            </c:marker>
            <c:bubble3D val="0"/>
            <c:extLst>
              <c:ext xmlns:c16="http://schemas.microsoft.com/office/drawing/2014/chart" uri="{C3380CC4-5D6E-409C-BE32-E72D297353CC}">
                <c16:uniqueId val="{00000014-6808-4BCE-828D-FA5BDCEDC8F1}"/>
              </c:ext>
            </c:extLst>
          </c:dPt>
          <c:dPt>
            <c:idx val="19"/>
            <c:marker>
              <c:symbol val="diamond"/>
              <c:size val="8"/>
              <c:spPr>
                <a:solidFill>
                  <a:srgbClr val="53565A"/>
                </a:solidFill>
                <a:ln w="9525">
                  <a:noFill/>
                </a:ln>
                <a:effectLst/>
              </c:spPr>
            </c:marker>
            <c:bubble3D val="0"/>
            <c:extLst>
              <c:ext xmlns:c16="http://schemas.microsoft.com/office/drawing/2014/chart" uri="{C3380CC4-5D6E-409C-BE32-E72D297353CC}">
                <c16:uniqueId val="{00000015-6808-4BCE-828D-FA5BDCEDC8F1}"/>
              </c:ext>
            </c:extLst>
          </c:dPt>
          <c:dPt>
            <c:idx val="20"/>
            <c:marker>
              <c:symbol val="diamond"/>
              <c:size val="8"/>
              <c:spPr>
                <a:solidFill>
                  <a:schemeClr val="accent2"/>
                </a:solidFill>
                <a:ln w="9525">
                  <a:noFill/>
                </a:ln>
                <a:effectLst/>
              </c:spPr>
            </c:marker>
            <c:bubble3D val="0"/>
            <c:extLst>
              <c:ext xmlns:c16="http://schemas.microsoft.com/office/drawing/2014/chart" uri="{C3380CC4-5D6E-409C-BE32-E72D297353CC}">
                <c16:uniqueId val="{00000016-6808-4BCE-828D-FA5BDCEDC8F1}"/>
              </c:ext>
            </c:extLst>
          </c:dPt>
          <c:dPt>
            <c:idx val="21"/>
            <c:marker>
              <c:symbol val="diamond"/>
              <c:size val="8"/>
              <c:spPr>
                <a:solidFill>
                  <a:srgbClr val="00ABAB"/>
                </a:solidFill>
                <a:ln w="9525">
                  <a:noFill/>
                </a:ln>
                <a:effectLst/>
              </c:spPr>
            </c:marker>
            <c:bubble3D val="0"/>
            <c:extLst>
              <c:ext xmlns:c16="http://schemas.microsoft.com/office/drawing/2014/chart" uri="{C3380CC4-5D6E-409C-BE32-E72D297353CC}">
                <c16:uniqueId val="{00000017-6808-4BCE-828D-FA5BDCEDC8F1}"/>
              </c:ext>
            </c:extLst>
          </c:dPt>
          <c:dPt>
            <c:idx val="22"/>
            <c:marker>
              <c:symbol val="diamond"/>
              <c:size val="8"/>
              <c:spPr>
                <a:solidFill>
                  <a:srgbClr val="BFBFBF"/>
                </a:solidFill>
                <a:ln w="9525">
                  <a:noFill/>
                </a:ln>
                <a:effectLst/>
              </c:spPr>
            </c:marker>
            <c:bubble3D val="0"/>
            <c:extLst>
              <c:ext xmlns:c16="http://schemas.microsoft.com/office/drawing/2014/chart" uri="{C3380CC4-5D6E-409C-BE32-E72D297353CC}">
                <c16:uniqueId val="{00000018-6808-4BCE-828D-FA5BDCEDC8F1}"/>
              </c:ext>
            </c:extLst>
          </c:dPt>
          <c:dPt>
            <c:idx val="23"/>
            <c:marker>
              <c:symbol val="diamond"/>
              <c:size val="8"/>
              <c:spPr>
                <a:solidFill>
                  <a:schemeClr val="accent4"/>
                </a:solidFill>
                <a:ln w="9525">
                  <a:noFill/>
                </a:ln>
                <a:effectLst/>
              </c:spPr>
            </c:marker>
            <c:bubble3D val="0"/>
            <c:extLst>
              <c:ext xmlns:c16="http://schemas.microsoft.com/office/drawing/2014/chart" uri="{C3380CC4-5D6E-409C-BE32-E72D297353CC}">
                <c16:uniqueId val="{00000019-6808-4BCE-828D-FA5BDCEDC8F1}"/>
              </c:ext>
            </c:extLst>
          </c:dPt>
          <c:dPt>
            <c:idx val="24"/>
            <c:marker>
              <c:symbol val="diamond"/>
              <c:size val="8"/>
              <c:spPr>
                <a:solidFill>
                  <a:srgbClr val="53565A"/>
                </a:solidFill>
                <a:ln w="9525">
                  <a:noFill/>
                </a:ln>
                <a:effectLst/>
              </c:spPr>
            </c:marker>
            <c:bubble3D val="0"/>
            <c:extLst>
              <c:ext xmlns:c16="http://schemas.microsoft.com/office/drawing/2014/chart" uri="{C3380CC4-5D6E-409C-BE32-E72D297353CC}">
                <c16:uniqueId val="{0000001A-6808-4BCE-828D-FA5BDCEDC8F1}"/>
              </c:ext>
            </c:extLst>
          </c:dPt>
          <c:dPt>
            <c:idx val="25"/>
            <c:marker>
              <c:symbol val="diamond"/>
              <c:size val="8"/>
              <c:spPr>
                <a:solidFill>
                  <a:schemeClr val="accent2"/>
                </a:solidFill>
                <a:ln w="9525">
                  <a:noFill/>
                </a:ln>
                <a:effectLst/>
              </c:spPr>
            </c:marker>
            <c:bubble3D val="0"/>
            <c:extLst>
              <c:ext xmlns:c16="http://schemas.microsoft.com/office/drawing/2014/chart" uri="{C3380CC4-5D6E-409C-BE32-E72D297353CC}">
                <c16:uniqueId val="{0000001B-6808-4BCE-828D-FA5BDCEDC8F1}"/>
              </c:ext>
            </c:extLst>
          </c:dPt>
          <c:dPt>
            <c:idx val="26"/>
            <c:marker>
              <c:symbol val="diamond"/>
              <c:size val="8"/>
              <c:spPr>
                <a:solidFill>
                  <a:srgbClr val="00ABAB"/>
                </a:solidFill>
                <a:ln w="9525">
                  <a:noFill/>
                </a:ln>
                <a:effectLst/>
              </c:spPr>
            </c:marker>
            <c:bubble3D val="0"/>
            <c:extLst>
              <c:ext xmlns:c16="http://schemas.microsoft.com/office/drawing/2014/chart" uri="{C3380CC4-5D6E-409C-BE32-E72D297353CC}">
                <c16:uniqueId val="{0000001C-6808-4BCE-828D-FA5BDCEDC8F1}"/>
              </c:ext>
            </c:extLst>
          </c:dPt>
          <c:dPt>
            <c:idx val="27"/>
            <c:marker>
              <c:symbol val="diamond"/>
              <c:size val="8"/>
              <c:spPr>
                <a:solidFill>
                  <a:srgbClr val="BFBFBF"/>
                </a:solidFill>
                <a:ln w="9525">
                  <a:noFill/>
                </a:ln>
                <a:effectLst/>
              </c:spPr>
            </c:marker>
            <c:bubble3D val="0"/>
            <c:extLst>
              <c:ext xmlns:c16="http://schemas.microsoft.com/office/drawing/2014/chart" uri="{C3380CC4-5D6E-409C-BE32-E72D297353CC}">
                <c16:uniqueId val="{0000001D-6808-4BCE-828D-FA5BDCEDC8F1}"/>
              </c:ext>
            </c:extLst>
          </c:dPt>
          <c:dPt>
            <c:idx val="28"/>
            <c:marker>
              <c:symbol val="diamond"/>
              <c:size val="8"/>
              <c:spPr>
                <a:solidFill>
                  <a:schemeClr val="accent4"/>
                </a:solidFill>
                <a:ln w="9525">
                  <a:noFill/>
                </a:ln>
                <a:effectLst/>
              </c:spPr>
            </c:marker>
            <c:bubble3D val="0"/>
            <c:extLst>
              <c:ext xmlns:c16="http://schemas.microsoft.com/office/drawing/2014/chart" uri="{C3380CC4-5D6E-409C-BE32-E72D297353CC}">
                <c16:uniqueId val="{0000001E-6808-4BCE-828D-FA5BDCEDC8F1}"/>
              </c:ext>
            </c:extLst>
          </c:dPt>
          <c:dPt>
            <c:idx val="29"/>
            <c:marker>
              <c:symbol val="diamond"/>
              <c:size val="8"/>
              <c:spPr>
                <a:solidFill>
                  <a:srgbClr val="53565A"/>
                </a:solidFill>
                <a:ln w="9525">
                  <a:noFill/>
                </a:ln>
                <a:effectLst/>
              </c:spPr>
            </c:marker>
            <c:bubble3D val="0"/>
            <c:extLst>
              <c:ext xmlns:c16="http://schemas.microsoft.com/office/drawing/2014/chart" uri="{C3380CC4-5D6E-409C-BE32-E72D297353CC}">
                <c16:uniqueId val="{0000001F-6808-4BCE-828D-FA5BDCEDC8F1}"/>
              </c:ext>
            </c:extLst>
          </c:dPt>
          <c:dPt>
            <c:idx val="30"/>
            <c:marker>
              <c:symbol val="diamond"/>
              <c:size val="8"/>
              <c:spPr>
                <a:solidFill>
                  <a:schemeClr val="accent2"/>
                </a:solidFill>
                <a:ln w="9525">
                  <a:noFill/>
                </a:ln>
                <a:effectLst/>
              </c:spPr>
            </c:marker>
            <c:bubble3D val="0"/>
            <c:extLst>
              <c:ext xmlns:c16="http://schemas.microsoft.com/office/drawing/2014/chart" uri="{C3380CC4-5D6E-409C-BE32-E72D297353CC}">
                <c16:uniqueId val="{00000020-6808-4BCE-828D-FA5BDCEDC8F1}"/>
              </c:ext>
            </c:extLst>
          </c:dPt>
          <c:dPt>
            <c:idx val="31"/>
            <c:marker>
              <c:symbol val="diamond"/>
              <c:size val="8"/>
              <c:spPr>
                <a:solidFill>
                  <a:srgbClr val="00ABAB"/>
                </a:solidFill>
                <a:ln w="9525">
                  <a:noFill/>
                </a:ln>
                <a:effectLst/>
              </c:spPr>
            </c:marker>
            <c:bubble3D val="0"/>
            <c:extLst>
              <c:ext xmlns:c16="http://schemas.microsoft.com/office/drawing/2014/chart" uri="{C3380CC4-5D6E-409C-BE32-E72D297353CC}">
                <c16:uniqueId val="{00000021-6808-4BCE-828D-FA5BDCEDC8F1}"/>
              </c:ext>
            </c:extLst>
          </c:dPt>
          <c:dPt>
            <c:idx val="32"/>
            <c:marker>
              <c:symbol val="diamond"/>
              <c:size val="8"/>
              <c:spPr>
                <a:solidFill>
                  <a:srgbClr val="BFBFBF"/>
                </a:solidFill>
                <a:ln w="9525">
                  <a:noFill/>
                </a:ln>
                <a:effectLst/>
              </c:spPr>
            </c:marker>
            <c:bubble3D val="0"/>
            <c:extLst>
              <c:ext xmlns:c16="http://schemas.microsoft.com/office/drawing/2014/chart" uri="{C3380CC4-5D6E-409C-BE32-E72D297353CC}">
                <c16:uniqueId val="{00000022-6808-4BCE-828D-FA5BDCEDC8F1}"/>
              </c:ext>
            </c:extLst>
          </c:dPt>
          <c:dPt>
            <c:idx val="33"/>
            <c:marker>
              <c:symbol val="diamond"/>
              <c:size val="8"/>
              <c:spPr>
                <a:solidFill>
                  <a:schemeClr val="accent4"/>
                </a:solidFill>
                <a:ln w="9525">
                  <a:noFill/>
                </a:ln>
                <a:effectLst/>
              </c:spPr>
            </c:marker>
            <c:bubble3D val="0"/>
            <c:extLst>
              <c:ext xmlns:c16="http://schemas.microsoft.com/office/drawing/2014/chart" uri="{C3380CC4-5D6E-409C-BE32-E72D297353CC}">
                <c16:uniqueId val="{00000023-6808-4BCE-828D-FA5BDCEDC8F1}"/>
              </c:ext>
            </c:extLst>
          </c:dPt>
          <c:dPt>
            <c:idx val="34"/>
            <c:marker>
              <c:symbol val="diamond"/>
              <c:size val="8"/>
              <c:spPr>
                <a:solidFill>
                  <a:srgbClr val="53565A"/>
                </a:solidFill>
                <a:ln w="9525">
                  <a:noFill/>
                </a:ln>
                <a:effectLst/>
              </c:spPr>
            </c:marker>
            <c:bubble3D val="0"/>
            <c:extLst>
              <c:ext xmlns:c16="http://schemas.microsoft.com/office/drawing/2014/chart" uri="{C3380CC4-5D6E-409C-BE32-E72D297353CC}">
                <c16:uniqueId val="{00000024-6808-4BCE-828D-FA5BDCEDC8F1}"/>
              </c:ext>
            </c:extLst>
          </c:dPt>
          <c:dPt>
            <c:idx val="35"/>
            <c:marker>
              <c:symbol val="diamond"/>
              <c:size val="8"/>
              <c:spPr>
                <a:solidFill>
                  <a:schemeClr val="accent2"/>
                </a:solidFill>
                <a:ln w="9525">
                  <a:noFill/>
                </a:ln>
                <a:effectLst/>
              </c:spPr>
            </c:marker>
            <c:bubble3D val="0"/>
            <c:extLst>
              <c:ext xmlns:c16="http://schemas.microsoft.com/office/drawing/2014/chart" uri="{C3380CC4-5D6E-409C-BE32-E72D297353CC}">
                <c16:uniqueId val="{00000025-6808-4BCE-828D-FA5BDCEDC8F1}"/>
              </c:ext>
            </c:extLst>
          </c:dPt>
          <c:dPt>
            <c:idx val="36"/>
            <c:marker>
              <c:symbol val="diamond"/>
              <c:size val="8"/>
              <c:spPr>
                <a:solidFill>
                  <a:srgbClr val="00ABAB"/>
                </a:solidFill>
                <a:ln w="9525">
                  <a:noFill/>
                </a:ln>
                <a:effectLst/>
              </c:spPr>
            </c:marker>
            <c:bubble3D val="0"/>
            <c:extLst>
              <c:ext xmlns:c16="http://schemas.microsoft.com/office/drawing/2014/chart" uri="{C3380CC4-5D6E-409C-BE32-E72D297353CC}">
                <c16:uniqueId val="{00000026-6808-4BCE-828D-FA5BDCEDC8F1}"/>
              </c:ext>
            </c:extLst>
          </c:dPt>
          <c:dPt>
            <c:idx val="37"/>
            <c:marker>
              <c:symbol val="diamond"/>
              <c:size val="8"/>
              <c:spPr>
                <a:solidFill>
                  <a:srgbClr val="BFBFBF"/>
                </a:solidFill>
                <a:ln w="9525">
                  <a:noFill/>
                </a:ln>
                <a:effectLst/>
              </c:spPr>
            </c:marker>
            <c:bubble3D val="0"/>
            <c:extLst>
              <c:ext xmlns:c16="http://schemas.microsoft.com/office/drawing/2014/chart" uri="{C3380CC4-5D6E-409C-BE32-E72D297353CC}">
                <c16:uniqueId val="{00000027-6808-4BCE-828D-FA5BDCEDC8F1}"/>
              </c:ext>
            </c:extLst>
          </c:dPt>
          <c:dPt>
            <c:idx val="38"/>
            <c:marker>
              <c:symbol val="diamond"/>
              <c:size val="8"/>
              <c:spPr>
                <a:solidFill>
                  <a:schemeClr val="accent4"/>
                </a:solidFill>
                <a:ln w="9525">
                  <a:noFill/>
                </a:ln>
                <a:effectLst/>
              </c:spPr>
            </c:marker>
            <c:bubble3D val="0"/>
            <c:extLst>
              <c:ext xmlns:c16="http://schemas.microsoft.com/office/drawing/2014/chart" uri="{C3380CC4-5D6E-409C-BE32-E72D297353CC}">
                <c16:uniqueId val="{00000028-6808-4BCE-828D-FA5BDCEDC8F1}"/>
              </c:ext>
            </c:extLst>
          </c:dPt>
          <c:dPt>
            <c:idx val="39"/>
            <c:marker>
              <c:symbol val="diamond"/>
              <c:size val="8"/>
              <c:spPr>
                <a:solidFill>
                  <a:srgbClr val="53565A"/>
                </a:solidFill>
                <a:ln w="9525">
                  <a:noFill/>
                </a:ln>
                <a:effectLst/>
              </c:spPr>
            </c:marker>
            <c:bubble3D val="0"/>
            <c:extLst>
              <c:ext xmlns:c16="http://schemas.microsoft.com/office/drawing/2014/chart" uri="{C3380CC4-5D6E-409C-BE32-E72D297353CC}">
                <c16:uniqueId val="{00000029-6808-4BCE-828D-FA5BDCEDC8F1}"/>
              </c:ext>
            </c:extLst>
          </c:dPt>
          <c:dPt>
            <c:idx val="40"/>
            <c:marker>
              <c:symbol val="diamond"/>
              <c:size val="8"/>
              <c:spPr>
                <a:solidFill>
                  <a:schemeClr val="accent2"/>
                </a:solidFill>
                <a:ln w="9525">
                  <a:noFill/>
                </a:ln>
                <a:effectLst/>
              </c:spPr>
            </c:marker>
            <c:bubble3D val="0"/>
            <c:extLst>
              <c:ext xmlns:c16="http://schemas.microsoft.com/office/drawing/2014/chart" uri="{C3380CC4-5D6E-409C-BE32-E72D297353CC}">
                <c16:uniqueId val="{0000002A-6808-4BCE-828D-FA5BDCEDC8F1}"/>
              </c:ext>
            </c:extLst>
          </c:dPt>
          <c:dPt>
            <c:idx val="41"/>
            <c:marker>
              <c:symbol val="diamond"/>
              <c:size val="8"/>
              <c:spPr>
                <a:solidFill>
                  <a:schemeClr val="accent2"/>
                </a:solidFill>
                <a:ln w="9525">
                  <a:noFill/>
                </a:ln>
                <a:effectLst/>
              </c:spPr>
            </c:marker>
            <c:bubble3D val="0"/>
            <c:extLst>
              <c:ext xmlns:c16="http://schemas.microsoft.com/office/drawing/2014/chart" uri="{C3380CC4-5D6E-409C-BE32-E72D297353CC}">
                <c16:uniqueId val="{0000002B-6808-4BCE-828D-FA5BDCEDC8F1}"/>
              </c:ext>
            </c:extLst>
          </c:dPt>
          <c:dPt>
            <c:idx val="42"/>
            <c:marker>
              <c:symbol val="diamond"/>
              <c:size val="8"/>
              <c:spPr>
                <a:solidFill>
                  <a:srgbClr val="BFBFBF"/>
                </a:solidFill>
                <a:ln w="9525">
                  <a:noFill/>
                </a:ln>
                <a:effectLst/>
              </c:spPr>
            </c:marker>
            <c:bubble3D val="0"/>
            <c:extLst>
              <c:ext xmlns:c16="http://schemas.microsoft.com/office/drawing/2014/chart" uri="{C3380CC4-5D6E-409C-BE32-E72D297353CC}">
                <c16:uniqueId val="{0000002C-6808-4BCE-828D-FA5BDCEDC8F1}"/>
              </c:ext>
            </c:extLst>
          </c:dPt>
          <c:dPt>
            <c:idx val="43"/>
            <c:marker>
              <c:symbol val="diamond"/>
              <c:size val="8"/>
              <c:spPr>
                <a:solidFill>
                  <a:schemeClr val="accent2"/>
                </a:solidFill>
                <a:ln w="9525">
                  <a:noFill/>
                </a:ln>
                <a:effectLst/>
              </c:spPr>
            </c:marker>
            <c:bubble3D val="0"/>
            <c:extLst>
              <c:ext xmlns:c16="http://schemas.microsoft.com/office/drawing/2014/chart" uri="{C3380CC4-5D6E-409C-BE32-E72D297353CC}">
                <c16:uniqueId val="{0000002D-6808-4BCE-828D-FA5BDCEDC8F1}"/>
              </c:ext>
            </c:extLst>
          </c:dPt>
          <c:dPt>
            <c:idx val="44"/>
            <c:marker>
              <c:symbol val="diamond"/>
              <c:size val="8"/>
              <c:spPr>
                <a:solidFill>
                  <a:schemeClr val="accent2"/>
                </a:solidFill>
                <a:ln w="9525">
                  <a:noFill/>
                </a:ln>
                <a:effectLst/>
              </c:spPr>
            </c:marker>
            <c:bubble3D val="0"/>
            <c:extLst>
              <c:ext xmlns:c16="http://schemas.microsoft.com/office/drawing/2014/chart" uri="{C3380CC4-5D6E-409C-BE32-E72D297353CC}">
                <c16:uniqueId val="{0000002E-6808-4BCE-828D-FA5BDCEDC8F1}"/>
              </c:ext>
            </c:extLst>
          </c:dPt>
          <c:dPt>
            <c:idx val="45"/>
            <c:marker>
              <c:symbol val="diamond"/>
              <c:size val="8"/>
              <c:spPr>
                <a:solidFill>
                  <a:schemeClr val="accent2"/>
                </a:solidFill>
                <a:ln w="9525">
                  <a:noFill/>
                </a:ln>
                <a:effectLst/>
              </c:spPr>
            </c:marker>
            <c:bubble3D val="0"/>
            <c:extLst>
              <c:ext xmlns:c16="http://schemas.microsoft.com/office/drawing/2014/chart" uri="{C3380CC4-5D6E-409C-BE32-E72D297353CC}">
                <c16:uniqueId val="{0000002F-6808-4BCE-828D-FA5BDCEDC8F1}"/>
              </c:ext>
            </c:extLst>
          </c:dPt>
          <c:dPt>
            <c:idx val="47"/>
            <c:marker>
              <c:symbol val="diamond"/>
              <c:size val="8"/>
              <c:spPr>
                <a:solidFill>
                  <a:schemeClr val="accent2"/>
                </a:solidFill>
                <a:ln w="9525">
                  <a:noFill/>
                </a:ln>
                <a:effectLst/>
              </c:spPr>
            </c:marker>
            <c:bubble3D val="0"/>
            <c:extLst>
              <c:ext xmlns:c16="http://schemas.microsoft.com/office/drawing/2014/chart" uri="{C3380CC4-5D6E-409C-BE32-E72D297353CC}">
                <c16:uniqueId val="{00000030-6808-4BCE-828D-FA5BDCEDC8F1}"/>
              </c:ext>
            </c:extLst>
          </c:dPt>
          <c:dPt>
            <c:idx val="48"/>
            <c:marker>
              <c:symbol val="diamond"/>
              <c:size val="8"/>
              <c:spPr>
                <a:solidFill>
                  <a:schemeClr val="accent2"/>
                </a:solidFill>
                <a:ln w="9525">
                  <a:noFill/>
                </a:ln>
                <a:effectLst/>
              </c:spPr>
            </c:marker>
            <c:bubble3D val="0"/>
            <c:extLst>
              <c:ext xmlns:c16="http://schemas.microsoft.com/office/drawing/2014/chart" uri="{C3380CC4-5D6E-409C-BE32-E72D297353CC}">
                <c16:uniqueId val="{00000031-6808-4BCE-828D-FA5BDCEDC8F1}"/>
              </c:ext>
            </c:extLst>
          </c:dPt>
          <c:dPt>
            <c:idx val="49"/>
            <c:marker>
              <c:symbol val="diamond"/>
              <c:size val="8"/>
              <c:spPr>
                <a:solidFill>
                  <a:schemeClr val="accent2"/>
                </a:solidFill>
                <a:ln w="9525">
                  <a:noFill/>
                </a:ln>
                <a:effectLst/>
              </c:spPr>
            </c:marker>
            <c:bubble3D val="0"/>
            <c:extLst>
              <c:ext xmlns:c16="http://schemas.microsoft.com/office/drawing/2014/chart" uri="{C3380CC4-5D6E-409C-BE32-E72D297353CC}">
                <c16:uniqueId val="{00000032-6808-4BCE-828D-FA5BDCEDC8F1}"/>
              </c:ext>
            </c:extLst>
          </c:dPt>
          <c:dPt>
            <c:idx val="50"/>
            <c:marker>
              <c:symbol val="diamond"/>
              <c:size val="8"/>
              <c:spPr>
                <a:solidFill>
                  <a:schemeClr val="accent2"/>
                </a:solidFill>
                <a:ln w="9525">
                  <a:noFill/>
                </a:ln>
                <a:effectLst/>
              </c:spPr>
            </c:marker>
            <c:bubble3D val="0"/>
            <c:extLst>
              <c:ext xmlns:c16="http://schemas.microsoft.com/office/drawing/2014/chart" uri="{C3380CC4-5D6E-409C-BE32-E72D297353CC}">
                <c16:uniqueId val="{00000033-6808-4BCE-828D-FA5BDCEDC8F1}"/>
              </c:ext>
            </c:extLst>
          </c:dPt>
          <c:dPt>
            <c:idx val="51"/>
            <c:marker>
              <c:symbol val="diamond"/>
              <c:size val="8"/>
              <c:spPr>
                <a:solidFill>
                  <a:schemeClr val="accent2"/>
                </a:solidFill>
                <a:ln w="9525">
                  <a:noFill/>
                </a:ln>
                <a:effectLst/>
              </c:spPr>
            </c:marker>
            <c:bubble3D val="0"/>
            <c:extLst>
              <c:ext xmlns:c16="http://schemas.microsoft.com/office/drawing/2014/chart" uri="{C3380CC4-5D6E-409C-BE32-E72D297353CC}">
                <c16:uniqueId val="{00000034-6808-4BCE-828D-FA5BDCEDC8F1}"/>
              </c:ext>
            </c:extLst>
          </c:dPt>
          <c:dPt>
            <c:idx val="52"/>
            <c:marker>
              <c:symbol val="diamond"/>
              <c:size val="8"/>
              <c:spPr>
                <a:solidFill>
                  <a:schemeClr val="accent2"/>
                </a:solidFill>
                <a:ln w="9525">
                  <a:noFill/>
                </a:ln>
                <a:effectLst/>
              </c:spPr>
            </c:marker>
            <c:bubble3D val="0"/>
            <c:extLst>
              <c:ext xmlns:c16="http://schemas.microsoft.com/office/drawing/2014/chart" uri="{C3380CC4-5D6E-409C-BE32-E72D297353CC}">
                <c16:uniqueId val="{00000035-6808-4BCE-828D-FA5BDCEDC8F1}"/>
              </c:ext>
            </c:extLst>
          </c:dPt>
          <c:dPt>
            <c:idx val="53"/>
            <c:marker>
              <c:symbol val="diamond"/>
              <c:size val="8"/>
              <c:spPr>
                <a:solidFill>
                  <a:schemeClr val="accent2"/>
                </a:solidFill>
                <a:ln w="9525">
                  <a:noFill/>
                </a:ln>
                <a:effectLst/>
              </c:spPr>
            </c:marker>
            <c:bubble3D val="0"/>
            <c:extLst>
              <c:ext xmlns:c16="http://schemas.microsoft.com/office/drawing/2014/chart" uri="{C3380CC4-5D6E-409C-BE32-E72D297353CC}">
                <c16:uniqueId val="{00000036-6808-4BCE-828D-FA5BDCEDC8F1}"/>
              </c:ext>
            </c:extLst>
          </c:dPt>
          <c:dPt>
            <c:idx val="54"/>
            <c:marker>
              <c:symbol val="diamond"/>
              <c:size val="8"/>
              <c:spPr>
                <a:solidFill>
                  <a:schemeClr val="accent2"/>
                </a:solidFill>
                <a:ln w="9525">
                  <a:noFill/>
                </a:ln>
                <a:effectLst/>
              </c:spPr>
            </c:marker>
            <c:bubble3D val="0"/>
            <c:extLst>
              <c:ext xmlns:c16="http://schemas.microsoft.com/office/drawing/2014/chart" uri="{C3380CC4-5D6E-409C-BE32-E72D297353CC}">
                <c16:uniqueId val="{00000037-6808-4BCE-828D-FA5BDCEDC8F1}"/>
              </c:ext>
            </c:extLst>
          </c:dPt>
          <c:dPt>
            <c:idx val="55"/>
            <c:marker>
              <c:symbol val="diamond"/>
              <c:size val="8"/>
              <c:spPr>
                <a:solidFill>
                  <a:schemeClr val="accent2"/>
                </a:solidFill>
                <a:ln w="9525">
                  <a:noFill/>
                </a:ln>
                <a:effectLst/>
              </c:spPr>
            </c:marker>
            <c:bubble3D val="0"/>
            <c:extLst>
              <c:ext xmlns:c16="http://schemas.microsoft.com/office/drawing/2014/chart" uri="{C3380CC4-5D6E-409C-BE32-E72D297353CC}">
                <c16:uniqueId val="{00000038-6808-4BCE-828D-FA5BDCEDC8F1}"/>
              </c:ext>
            </c:extLst>
          </c:dPt>
          <c:dPt>
            <c:idx val="56"/>
            <c:marker>
              <c:symbol val="diamond"/>
              <c:size val="8"/>
              <c:spPr>
                <a:solidFill>
                  <a:srgbClr val="00ABAB"/>
                </a:solidFill>
                <a:ln w="9525">
                  <a:noFill/>
                </a:ln>
                <a:effectLst/>
              </c:spPr>
            </c:marker>
            <c:bubble3D val="0"/>
            <c:extLst>
              <c:ext xmlns:c16="http://schemas.microsoft.com/office/drawing/2014/chart" uri="{C3380CC4-5D6E-409C-BE32-E72D297353CC}">
                <c16:uniqueId val="{00000039-6808-4BCE-828D-FA5BDCEDC8F1}"/>
              </c:ext>
            </c:extLst>
          </c:dPt>
          <c:dPt>
            <c:idx val="57"/>
            <c:marker>
              <c:symbol val="diamond"/>
              <c:size val="8"/>
              <c:spPr>
                <a:solidFill>
                  <a:srgbClr val="BFBFBF"/>
                </a:solidFill>
                <a:ln w="9525">
                  <a:noFill/>
                </a:ln>
                <a:effectLst/>
              </c:spPr>
            </c:marker>
            <c:bubble3D val="0"/>
            <c:extLst>
              <c:ext xmlns:c16="http://schemas.microsoft.com/office/drawing/2014/chart" uri="{C3380CC4-5D6E-409C-BE32-E72D297353CC}">
                <c16:uniqueId val="{0000003A-6808-4BCE-828D-FA5BDCEDC8F1}"/>
              </c:ext>
            </c:extLst>
          </c:dPt>
          <c:dPt>
            <c:idx val="58"/>
            <c:marker>
              <c:symbol val="diamond"/>
              <c:size val="8"/>
              <c:spPr>
                <a:solidFill>
                  <a:schemeClr val="accent4"/>
                </a:solidFill>
                <a:ln w="9525">
                  <a:noFill/>
                </a:ln>
                <a:effectLst/>
              </c:spPr>
            </c:marker>
            <c:bubble3D val="0"/>
            <c:extLst>
              <c:ext xmlns:c16="http://schemas.microsoft.com/office/drawing/2014/chart" uri="{C3380CC4-5D6E-409C-BE32-E72D297353CC}">
                <c16:uniqueId val="{0000003B-6808-4BCE-828D-FA5BDCEDC8F1}"/>
              </c:ext>
            </c:extLst>
          </c:dPt>
          <c:dPt>
            <c:idx val="59"/>
            <c:marker>
              <c:symbol val="diamond"/>
              <c:size val="8"/>
              <c:spPr>
                <a:solidFill>
                  <a:srgbClr val="53565A"/>
                </a:solidFill>
                <a:ln w="9525">
                  <a:noFill/>
                </a:ln>
                <a:effectLst/>
              </c:spPr>
            </c:marker>
            <c:bubble3D val="0"/>
            <c:extLst>
              <c:ext xmlns:c16="http://schemas.microsoft.com/office/drawing/2014/chart" uri="{C3380CC4-5D6E-409C-BE32-E72D297353CC}">
                <c16:uniqueId val="{0000003C-6808-4BCE-828D-FA5BDCEDC8F1}"/>
              </c:ext>
            </c:extLst>
          </c:dPt>
          <c:dPt>
            <c:idx val="60"/>
            <c:marker>
              <c:symbol val="diamond"/>
              <c:size val="8"/>
              <c:spPr>
                <a:solidFill>
                  <a:schemeClr val="accent2"/>
                </a:solidFill>
                <a:ln w="9525">
                  <a:noFill/>
                </a:ln>
                <a:effectLst/>
              </c:spPr>
            </c:marker>
            <c:bubble3D val="0"/>
            <c:extLst>
              <c:ext xmlns:c16="http://schemas.microsoft.com/office/drawing/2014/chart" uri="{C3380CC4-5D6E-409C-BE32-E72D297353CC}">
                <c16:uniqueId val="{0000003D-6808-4BCE-828D-FA5BDCEDC8F1}"/>
              </c:ext>
            </c:extLst>
          </c:dPt>
          <c:dPt>
            <c:idx val="61"/>
            <c:marker>
              <c:symbol val="diamond"/>
              <c:size val="8"/>
              <c:spPr>
                <a:solidFill>
                  <a:srgbClr val="00ABAB"/>
                </a:solidFill>
                <a:ln w="9525">
                  <a:noFill/>
                </a:ln>
                <a:effectLst/>
              </c:spPr>
            </c:marker>
            <c:bubble3D val="0"/>
            <c:extLst>
              <c:ext xmlns:c16="http://schemas.microsoft.com/office/drawing/2014/chart" uri="{C3380CC4-5D6E-409C-BE32-E72D297353CC}">
                <c16:uniqueId val="{0000003E-6808-4BCE-828D-FA5BDCEDC8F1}"/>
              </c:ext>
            </c:extLst>
          </c:dPt>
          <c:dPt>
            <c:idx val="62"/>
            <c:marker>
              <c:symbol val="diamond"/>
              <c:size val="8"/>
              <c:spPr>
                <a:solidFill>
                  <a:srgbClr val="BFBFBF"/>
                </a:solidFill>
                <a:ln w="9525">
                  <a:noFill/>
                </a:ln>
                <a:effectLst/>
              </c:spPr>
            </c:marker>
            <c:bubble3D val="0"/>
            <c:extLst>
              <c:ext xmlns:c16="http://schemas.microsoft.com/office/drawing/2014/chart" uri="{C3380CC4-5D6E-409C-BE32-E72D297353CC}">
                <c16:uniqueId val="{0000003F-6808-4BCE-828D-FA5BDCEDC8F1}"/>
              </c:ext>
            </c:extLst>
          </c:dPt>
          <c:dPt>
            <c:idx val="63"/>
            <c:marker>
              <c:symbol val="diamond"/>
              <c:size val="8"/>
              <c:spPr>
                <a:solidFill>
                  <a:schemeClr val="accent4"/>
                </a:solidFill>
                <a:ln w="9525">
                  <a:noFill/>
                </a:ln>
                <a:effectLst/>
              </c:spPr>
            </c:marker>
            <c:bubble3D val="0"/>
            <c:extLst>
              <c:ext xmlns:c16="http://schemas.microsoft.com/office/drawing/2014/chart" uri="{C3380CC4-5D6E-409C-BE32-E72D297353CC}">
                <c16:uniqueId val="{00000040-6808-4BCE-828D-FA5BDCEDC8F1}"/>
              </c:ext>
            </c:extLst>
          </c:dPt>
          <c:dPt>
            <c:idx val="64"/>
            <c:marker>
              <c:symbol val="diamond"/>
              <c:size val="8"/>
              <c:spPr>
                <a:solidFill>
                  <a:srgbClr val="53565A"/>
                </a:solidFill>
                <a:ln w="9525">
                  <a:noFill/>
                </a:ln>
                <a:effectLst/>
              </c:spPr>
            </c:marker>
            <c:bubble3D val="0"/>
            <c:extLst>
              <c:ext xmlns:c16="http://schemas.microsoft.com/office/drawing/2014/chart" uri="{C3380CC4-5D6E-409C-BE32-E72D297353CC}">
                <c16:uniqueId val="{00000041-6808-4BCE-828D-FA5BDCEDC8F1}"/>
              </c:ext>
            </c:extLst>
          </c:dPt>
          <c:dPt>
            <c:idx val="65"/>
            <c:marker>
              <c:symbol val="diamond"/>
              <c:size val="8"/>
              <c:spPr>
                <a:solidFill>
                  <a:schemeClr val="accent2"/>
                </a:solidFill>
                <a:ln w="9525">
                  <a:noFill/>
                </a:ln>
                <a:effectLst/>
              </c:spPr>
            </c:marker>
            <c:bubble3D val="0"/>
            <c:extLst>
              <c:ext xmlns:c16="http://schemas.microsoft.com/office/drawing/2014/chart" uri="{C3380CC4-5D6E-409C-BE32-E72D297353CC}">
                <c16:uniqueId val="{00000042-6808-4BCE-828D-FA5BDCEDC8F1}"/>
              </c:ext>
            </c:extLst>
          </c:dPt>
          <c:dPt>
            <c:idx val="66"/>
            <c:marker>
              <c:symbol val="diamond"/>
              <c:size val="8"/>
              <c:spPr>
                <a:solidFill>
                  <a:srgbClr val="00ABAB"/>
                </a:solidFill>
                <a:ln w="9525">
                  <a:noFill/>
                </a:ln>
                <a:effectLst/>
              </c:spPr>
            </c:marker>
            <c:bubble3D val="0"/>
            <c:extLst>
              <c:ext xmlns:c16="http://schemas.microsoft.com/office/drawing/2014/chart" uri="{C3380CC4-5D6E-409C-BE32-E72D297353CC}">
                <c16:uniqueId val="{00000043-6808-4BCE-828D-FA5BDCEDC8F1}"/>
              </c:ext>
            </c:extLst>
          </c:dPt>
          <c:dPt>
            <c:idx val="67"/>
            <c:marker>
              <c:symbol val="diamond"/>
              <c:size val="8"/>
              <c:spPr>
                <a:solidFill>
                  <a:srgbClr val="BFBFBF"/>
                </a:solidFill>
                <a:ln w="9525">
                  <a:noFill/>
                </a:ln>
                <a:effectLst/>
              </c:spPr>
            </c:marker>
            <c:bubble3D val="0"/>
            <c:extLst>
              <c:ext xmlns:c16="http://schemas.microsoft.com/office/drawing/2014/chart" uri="{C3380CC4-5D6E-409C-BE32-E72D297353CC}">
                <c16:uniqueId val="{00000044-6808-4BCE-828D-FA5BDCEDC8F1}"/>
              </c:ext>
            </c:extLst>
          </c:dPt>
          <c:dPt>
            <c:idx val="68"/>
            <c:marker>
              <c:symbol val="diamond"/>
              <c:size val="8"/>
              <c:spPr>
                <a:solidFill>
                  <a:schemeClr val="accent4"/>
                </a:solidFill>
                <a:ln w="9525">
                  <a:noFill/>
                </a:ln>
                <a:effectLst/>
              </c:spPr>
            </c:marker>
            <c:bubble3D val="0"/>
            <c:extLst>
              <c:ext xmlns:c16="http://schemas.microsoft.com/office/drawing/2014/chart" uri="{C3380CC4-5D6E-409C-BE32-E72D297353CC}">
                <c16:uniqueId val="{00000045-6808-4BCE-828D-FA5BDCEDC8F1}"/>
              </c:ext>
            </c:extLst>
          </c:dPt>
          <c:dPt>
            <c:idx val="69"/>
            <c:marker>
              <c:symbol val="diamond"/>
              <c:size val="8"/>
              <c:spPr>
                <a:solidFill>
                  <a:srgbClr val="53565A"/>
                </a:solidFill>
                <a:ln w="9525">
                  <a:noFill/>
                </a:ln>
                <a:effectLst/>
              </c:spPr>
            </c:marker>
            <c:bubble3D val="0"/>
            <c:extLst>
              <c:ext xmlns:c16="http://schemas.microsoft.com/office/drawing/2014/chart" uri="{C3380CC4-5D6E-409C-BE32-E72D297353CC}">
                <c16:uniqueId val="{00000046-6808-4BCE-828D-FA5BDCEDC8F1}"/>
              </c:ext>
            </c:extLst>
          </c:dPt>
          <c:dPt>
            <c:idx val="70"/>
            <c:marker>
              <c:symbol val="diamond"/>
              <c:size val="8"/>
              <c:spPr>
                <a:solidFill>
                  <a:schemeClr val="accent2"/>
                </a:solidFill>
                <a:ln w="9525">
                  <a:noFill/>
                </a:ln>
                <a:effectLst/>
              </c:spPr>
            </c:marker>
            <c:bubble3D val="0"/>
            <c:extLst>
              <c:ext xmlns:c16="http://schemas.microsoft.com/office/drawing/2014/chart" uri="{C3380CC4-5D6E-409C-BE32-E72D297353CC}">
                <c16:uniqueId val="{00000047-6808-4BCE-828D-FA5BDCEDC8F1}"/>
              </c:ext>
            </c:extLst>
          </c:dPt>
          <c:dPt>
            <c:idx val="71"/>
            <c:marker>
              <c:symbol val="diamond"/>
              <c:size val="8"/>
              <c:spPr>
                <a:solidFill>
                  <a:srgbClr val="00ABAB"/>
                </a:solidFill>
                <a:ln w="9525">
                  <a:noFill/>
                </a:ln>
                <a:effectLst/>
              </c:spPr>
            </c:marker>
            <c:bubble3D val="0"/>
            <c:extLst>
              <c:ext xmlns:c16="http://schemas.microsoft.com/office/drawing/2014/chart" uri="{C3380CC4-5D6E-409C-BE32-E72D297353CC}">
                <c16:uniqueId val="{00000048-6808-4BCE-828D-FA5BDCEDC8F1}"/>
              </c:ext>
            </c:extLst>
          </c:dPt>
          <c:dPt>
            <c:idx val="72"/>
            <c:marker>
              <c:symbol val="diamond"/>
              <c:size val="8"/>
              <c:spPr>
                <a:solidFill>
                  <a:srgbClr val="BFBFBF"/>
                </a:solidFill>
                <a:ln w="9525">
                  <a:noFill/>
                </a:ln>
                <a:effectLst/>
              </c:spPr>
            </c:marker>
            <c:bubble3D val="0"/>
            <c:extLst>
              <c:ext xmlns:c16="http://schemas.microsoft.com/office/drawing/2014/chart" uri="{C3380CC4-5D6E-409C-BE32-E72D297353CC}">
                <c16:uniqueId val="{00000049-6808-4BCE-828D-FA5BDCEDC8F1}"/>
              </c:ext>
            </c:extLst>
          </c:dPt>
          <c:dPt>
            <c:idx val="73"/>
            <c:marker>
              <c:symbol val="diamond"/>
              <c:size val="8"/>
              <c:spPr>
                <a:solidFill>
                  <a:schemeClr val="accent4"/>
                </a:solidFill>
                <a:ln w="9525">
                  <a:noFill/>
                </a:ln>
                <a:effectLst/>
              </c:spPr>
            </c:marker>
            <c:bubble3D val="0"/>
            <c:extLst>
              <c:ext xmlns:c16="http://schemas.microsoft.com/office/drawing/2014/chart" uri="{C3380CC4-5D6E-409C-BE32-E72D297353CC}">
                <c16:uniqueId val="{0000004A-6808-4BCE-828D-FA5BDCEDC8F1}"/>
              </c:ext>
            </c:extLst>
          </c:dPt>
          <c:dPt>
            <c:idx val="74"/>
            <c:marker>
              <c:symbol val="diamond"/>
              <c:size val="8"/>
              <c:spPr>
                <a:solidFill>
                  <a:srgbClr val="53565A"/>
                </a:solidFill>
                <a:ln w="9525">
                  <a:noFill/>
                </a:ln>
                <a:effectLst/>
              </c:spPr>
            </c:marker>
            <c:bubble3D val="0"/>
            <c:extLst>
              <c:ext xmlns:c16="http://schemas.microsoft.com/office/drawing/2014/chart" uri="{C3380CC4-5D6E-409C-BE32-E72D297353CC}">
                <c16:uniqueId val="{0000004B-6808-4BCE-828D-FA5BDCEDC8F1}"/>
              </c:ext>
            </c:extLst>
          </c:dPt>
          <c:dPt>
            <c:idx val="75"/>
            <c:marker>
              <c:symbol val="diamond"/>
              <c:size val="8"/>
              <c:spPr>
                <a:solidFill>
                  <a:schemeClr val="accent2"/>
                </a:solidFill>
                <a:ln w="9525">
                  <a:noFill/>
                </a:ln>
                <a:effectLst/>
              </c:spPr>
            </c:marker>
            <c:bubble3D val="0"/>
            <c:extLst>
              <c:ext xmlns:c16="http://schemas.microsoft.com/office/drawing/2014/chart" uri="{C3380CC4-5D6E-409C-BE32-E72D297353CC}">
                <c16:uniqueId val="{0000004C-6808-4BCE-828D-FA5BDCEDC8F1}"/>
              </c:ext>
            </c:extLst>
          </c:dPt>
          <c:dPt>
            <c:idx val="76"/>
            <c:marker>
              <c:symbol val="diamond"/>
              <c:size val="8"/>
              <c:spPr>
                <a:solidFill>
                  <a:srgbClr val="00ABAB"/>
                </a:solidFill>
                <a:ln w="9525">
                  <a:noFill/>
                </a:ln>
                <a:effectLst/>
              </c:spPr>
            </c:marker>
            <c:bubble3D val="0"/>
            <c:extLst>
              <c:ext xmlns:c16="http://schemas.microsoft.com/office/drawing/2014/chart" uri="{C3380CC4-5D6E-409C-BE32-E72D297353CC}">
                <c16:uniqueId val="{0000004D-6808-4BCE-828D-FA5BDCEDC8F1}"/>
              </c:ext>
            </c:extLst>
          </c:dPt>
          <c:dPt>
            <c:idx val="77"/>
            <c:marker>
              <c:symbol val="diamond"/>
              <c:size val="8"/>
              <c:spPr>
                <a:solidFill>
                  <a:srgbClr val="BFBFBF"/>
                </a:solidFill>
                <a:ln w="9525">
                  <a:noFill/>
                </a:ln>
                <a:effectLst/>
              </c:spPr>
            </c:marker>
            <c:bubble3D val="0"/>
            <c:extLst>
              <c:ext xmlns:c16="http://schemas.microsoft.com/office/drawing/2014/chart" uri="{C3380CC4-5D6E-409C-BE32-E72D297353CC}">
                <c16:uniqueId val="{0000004E-6808-4BCE-828D-FA5BDCEDC8F1}"/>
              </c:ext>
            </c:extLst>
          </c:dPt>
          <c:dPt>
            <c:idx val="78"/>
            <c:marker>
              <c:symbol val="diamond"/>
              <c:size val="8"/>
              <c:spPr>
                <a:solidFill>
                  <a:schemeClr val="accent4"/>
                </a:solidFill>
                <a:ln w="9525">
                  <a:noFill/>
                </a:ln>
                <a:effectLst/>
              </c:spPr>
            </c:marker>
            <c:bubble3D val="0"/>
            <c:extLst>
              <c:ext xmlns:c16="http://schemas.microsoft.com/office/drawing/2014/chart" uri="{C3380CC4-5D6E-409C-BE32-E72D297353CC}">
                <c16:uniqueId val="{0000004F-6808-4BCE-828D-FA5BDCEDC8F1}"/>
              </c:ext>
            </c:extLst>
          </c:dPt>
          <c:dPt>
            <c:idx val="79"/>
            <c:marker>
              <c:symbol val="diamond"/>
              <c:size val="8"/>
              <c:spPr>
                <a:solidFill>
                  <a:srgbClr val="53565A"/>
                </a:solidFill>
                <a:ln w="9525">
                  <a:noFill/>
                </a:ln>
                <a:effectLst/>
              </c:spPr>
            </c:marker>
            <c:bubble3D val="0"/>
            <c:extLst>
              <c:ext xmlns:c16="http://schemas.microsoft.com/office/drawing/2014/chart" uri="{C3380CC4-5D6E-409C-BE32-E72D297353CC}">
                <c16:uniqueId val="{00000050-6808-4BCE-828D-FA5BDCEDC8F1}"/>
              </c:ext>
            </c:extLst>
          </c:dPt>
          <c:dPt>
            <c:idx val="80"/>
            <c:marker>
              <c:symbol val="diamond"/>
              <c:size val="8"/>
              <c:spPr>
                <a:solidFill>
                  <a:schemeClr val="accent2"/>
                </a:solidFill>
                <a:ln w="9525">
                  <a:noFill/>
                </a:ln>
                <a:effectLst/>
              </c:spPr>
            </c:marker>
            <c:bubble3D val="0"/>
            <c:extLst>
              <c:ext xmlns:c16="http://schemas.microsoft.com/office/drawing/2014/chart" uri="{C3380CC4-5D6E-409C-BE32-E72D297353CC}">
                <c16:uniqueId val="{00000051-6808-4BCE-828D-FA5BDCEDC8F1}"/>
              </c:ext>
            </c:extLst>
          </c:dPt>
          <c:dPt>
            <c:idx val="81"/>
            <c:marker>
              <c:symbol val="diamond"/>
              <c:size val="8"/>
              <c:spPr>
                <a:solidFill>
                  <a:srgbClr val="00ABAB"/>
                </a:solidFill>
                <a:ln w="9525">
                  <a:noFill/>
                </a:ln>
                <a:effectLst/>
              </c:spPr>
            </c:marker>
            <c:bubble3D val="0"/>
            <c:extLst>
              <c:ext xmlns:c16="http://schemas.microsoft.com/office/drawing/2014/chart" uri="{C3380CC4-5D6E-409C-BE32-E72D297353CC}">
                <c16:uniqueId val="{00000052-6808-4BCE-828D-FA5BDCEDC8F1}"/>
              </c:ext>
            </c:extLst>
          </c:dPt>
          <c:dPt>
            <c:idx val="82"/>
            <c:marker>
              <c:symbol val="diamond"/>
              <c:size val="8"/>
              <c:spPr>
                <a:solidFill>
                  <a:srgbClr val="BFBFBF"/>
                </a:solidFill>
                <a:ln w="9525">
                  <a:noFill/>
                </a:ln>
                <a:effectLst/>
              </c:spPr>
            </c:marker>
            <c:bubble3D val="0"/>
            <c:extLst>
              <c:ext xmlns:c16="http://schemas.microsoft.com/office/drawing/2014/chart" uri="{C3380CC4-5D6E-409C-BE32-E72D297353CC}">
                <c16:uniqueId val="{00000053-6808-4BCE-828D-FA5BDCEDC8F1}"/>
              </c:ext>
            </c:extLst>
          </c:dPt>
          <c:dPt>
            <c:idx val="83"/>
            <c:marker>
              <c:symbol val="diamond"/>
              <c:size val="8"/>
              <c:spPr>
                <a:solidFill>
                  <a:schemeClr val="accent4"/>
                </a:solidFill>
                <a:ln w="9525">
                  <a:noFill/>
                </a:ln>
                <a:effectLst/>
              </c:spPr>
            </c:marker>
            <c:bubble3D val="0"/>
            <c:extLst>
              <c:ext xmlns:c16="http://schemas.microsoft.com/office/drawing/2014/chart" uri="{C3380CC4-5D6E-409C-BE32-E72D297353CC}">
                <c16:uniqueId val="{00000054-6808-4BCE-828D-FA5BDCEDC8F1}"/>
              </c:ext>
            </c:extLst>
          </c:dPt>
          <c:dPt>
            <c:idx val="84"/>
            <c:marker>
              <c:symbol val="diamond"/>
              <c:size val="8"/>
              <c:spPr>
                <a:solidFill>
                  <a:srgbClr val="53565A"/>
                </a:solidFill>
                <a:ln w="9525">
                  <a:noFill/>
                </a:ln>
                <a:effectLst/>
              </c:spPr>
            </c:marker>
            <c:bubble3D val="0"/>
            <c:extLst>
              <c:ext xmlns:c16="http://schemas.microsoft.com/office/drawing/2014/chart" uri="{C3380CC4-5D6E-409C-BE32-E72D297353CC}">
                <c16:uniqueId val="{00000055-6808-4BCE-828D-FA5BDCEDC8F1}"/>
              </c:ext>
            </c:extLst>
          </c:dPt>
          <c:dPt>
            <c:idx val="85"/>
            <c:marker>
              <c:symbol val="diamond"/>
              <c:size val="8"/>
              <c:spPr>
                <a:solidFill>
                  <a:schemeClr val="accent2"/>
                </a:solidFill>
                <a:ln w="9525">
                  <a:noFill/>
                </a:ln>
                <a:effectLst/>
              </c:spPr>
            </c:marker>
            <c:bubble3D val="0"/>
            <c:extLst>
              <c:ext xmlns:c16="http://schemas.microsoft.com/office/drawing/2014/chart" uri="{C3380CC4-5D6E-409C-BE32-E72D297353CC}">
                <c16:uniqueId val="{00000056-6808-4BCE-828D-FA5BDCEDC8F1}"/>
              </c:ext>
            </c:extLst>
          </c:dPt>
          <c:dPt>
            <c:idx val="86"/>
            <c:marker>
              <c:symbol val="diamond"/>
              <c:size val="8"/>
              <c:spPr>
                <a:solidFill>
                  <a:srgbClr val="00ABAB"/>
                </a:solidFill>
                <a:ln w="9525">
                  <a:noFill/>
                </a:ln>
                <a:effectLst/>
              </c:spPr>
            </c:marker>
            <c:bubble3D val="0"/>
            <c:extLst>
              <c:ext xmlns:c16="http://schemas.microsoft.com/office/drawing/2014/chart" uri="{C3380CC4-5D6E-409C-BE32-E72D297353CC}">
                <c16:uniqueId val="{00000057-6808-4BCE-828D-FA5BDCEDC8F1}"/>
              </c:ext>
            </c:extLst>
          </c:dPt>
          <c:dPt>
            <c:idx val="87"/>
            <c:marker>
              <c:symbol val="diamond"/>
              <c:size val="8"/>
              <c:spPr>
                <a:solidFill>
                  <a:srgbClr val="BFBFBF"/>
                </a:solidFill>
                <a:ln w="9525">
                  <a:noFill/>
                </a:ln>
                <a:effectLst/>
              </c:spPr>
            </c:marker>
            <c:bubble3D val="0"/>
            <c:extLst>
              <c:ext xmlns:c16="http://schemas.microsoft.com/office/drawing/2014/chart" uri="{C3380CC4-5D6E-409C-BE32-E72D297353CC}">
                <c16:uniqueId val="{00000058-6808-4BCE-828D-FA5BDCEDC8F1}"/>
              </c:ext>
            </c:extLst>
          </c:dPt>
          <c:dPt>
            <c:idx val="88"/>
            <c:marker>
              <c:symbol val="diamond"/>
              <c:size val="8"/>
              <c:spPr>
                <a:solidFill>
                  <a:schemeClr val="accent4"/>
                </a:solidFill>
                <a:ln w="9525">
                  <a:noFill/>
                </a:ln>
                <a:effectLst/>
              </c:spPr>
            </c:marker>
            <c:bubble3D val="0"/>
            <c:extLst>
              <c:ext xmlns:c16="http://schemas.microsoft.com/office/drawing/2014/chart" uri="{C3380CC4-5D6E-409C-BE32-E72D297353CC}">
                <c16:uniqueId val="{00000059-6808-4BCE-828D-FA5BDCEDC8F1}"/>
              </c:ext>
            </c:extLst>
          </c:dPt>
          <c:dPt>
            <c:idx val="89"/>
            <c:marker>
              <c:symbol val="diamond"/>
              <c:size val="8"/>
              <c:spPr>
                <a:solidFill>
                  <a:srgbClr val="53565A"/>
                </a:solidFill>
                <a:ln w="9525">
                  <a:noFill/>
                </a:ln>
                <a:effectLst/>
              </c:spPr>
            </c:marker>
            <c:bubble3D val="0"/>
            <c:extLst>
              <c:ext xmlns:c16="http://schemas.microsoft.com/office/drawing/2014/chart" uri="{C3380CC4-5D6E-409C-BE32-E72D297353CC}">
                <c16:uniqueId val="{0000005A-6808-4BCE-828D-FA5BDCEDC8F1}"/>
              </c:ext>
            </c:extLst>
          </c:dPt>
          <c:dPt>
            <c:idx val="90"/>
            <c:marker>
              <c:symbol val="diamond"/>
              <c:size val="8"/>
              <c:spPr>
                <a:solidFill>
                  <a:schemeClr val="accent2"/>
                </a:solidFill>
                <a:ln w="9525">
                  <a:noFill/>
                </a:ln>
                <a:effectLst/>
              </c:spPr>
            </c:marker>
            <c:bubble3D val="0"/>
            <c:extLst>
              <c:ext xmlns:c16="http://schemas.microsoft.com/office/drawing/2014/chart" uri="{C3380CC4-5D6E-409C-BE32-E72D297353CC}">
                <c16:uniqueId val="{0000005B-6808-4BCE-828D-FA5BDCEDC8F1}"/>
              </c:ext>
            </c:extLst>
          </c:dPt>
          <c:dPt>
            <c:idx val="91"/>
            <c:marker>
              <c:symbol val="diamond"/>
              <c:size val="8"/>
              <c:spPr>
                <a:solidFill>
                  <a:srgbClr val="00ABAB"/>
                </a:solidFill>
                <a:ln w="9525">
                  <a:noFill/>
                </a:ln>
                <a:effectLst/>
              </c:spPr>
            </c:marker>
            <c:bubble3D val="0"/>
            <c:extLst>
              <c:ext xmlns:c16="http://schemas.microsoft.com/office/drawing/2014/chart" uri="{C3380CC4-5D6E-409C-BE32-E72D297353CC}">
                <c16:uniqueId val="{0000005C-6808-4BCE-828D-FA5BDCEDC8F1}"/>
              </c:ext>
            </c:extLst>
          </c:dPt>
          <c:dPt>
            <c:idx val="92"/>
            <c:marker>
              <c:symbol val="diamond"/>
              <c:size val="8"/>
              <c:spPr>
                <a:solidFill>
                  <a:srgbClr val="BFBFBF"/>
                </a:solidFill>
                <a:ln w="9525">
                  <a:noFill/>
                </a:ln>
                <a:effectLst/>
              </c:spPr>
            </c:marker>
            <c:bubble3D val="0"/>
            <c:extLst>
              <c:ext xmlns:c16="http://schemas.microsoft.com/office/drawing/2014/chart" uri="{C3380CC4-5D6E-409C-BE32-E72D297353CC}">
                <c16:uniqueId val="{0000005D-6808-4BCE-828D-FA5BDCEDC8F1}"/>
              </c:ext>
            </c:extLst>
          </c:dPt>
          <c:dPt>
            <c:idx val="93"/>
            <c:marker>
              <c:symbol val="diamond"/>
              <c:size val="8"/>
              <c:spPr>
                <a:solidFill>
                  <a:schemeClr val="accent4"/>
                </a:solidFill>
                <a:ln w="9525">
                  <a:noFill/>
                </a:ln>
                <a:effectLst/>
              </c:spPr>
            </c:marker>
            <c:bubble3D val="0"/>
            <c:extLst>
              <c:ext xmlns:c16="http://schemas.microsoft.com/office/drawing/2014/chart" uri="{C3380CC4-5D6E-409C-BE32-E72D297353CC}">
                <c16:uniqueId val="{0000005E-6808-4BCE-828D-FA5BDCEDC8F1}"/>
              </c:ext>
            </c:extLst>
          </c:dPt>
          <c:dPt>
            <c:idx val="94"/>
            <c:marker>
              <c:symbol val="diamond"/>
              <c:size val="8"/>
              <c:spPr>
                <a:solidFill>
                  <a:srgbClr val="53565A"/>
                </a:solidFill>
                <a:ln w="9525">
                  <a:noFill/>
                </a:ln>
                <a:effectLst/>
              </c:spPr>
            </c:marker>
            <c:bubble3D val="0"/>
            <c:extLst>
              <c:ext xmlns:c16="http://schemas.microsoft.com/office/drawing/2014/chart" uri="{C3380CC4-5D6E-409C-BE32-E72D297353CC}">
                <c16:uniqueId val="{0000005F-6808-4BCE-828D-FA5BDCEDC8F1}"/>
              </c:ext>
            </c:extLst>
          </c:dPt>
          <c:dPt>
            <c:idx val="95"/>
            <c:marker>
              <c:symbol val="diamond"/>
              <c:size val="8"/>
              <c:spPr>
                <a:solidFill>
                  <a:schemeClr val="accent2"/>
                </a:solidFill>
                <a:ln w="9525">
                  <a:noFill/>
                </a:ln>
                <a:effectLst/>
              </c:spPr>
            </c:marker>
            <c:bubble3D val="0"/>
            <c:extLst>
              <c:ext xmlns:c16="http://schemas.microsoft.com/office/drawing/2014/chart" uri="{C3380CC4-5D6E-409C-BE32-E72D297353CC}">
                <c16:uniqueId val="{00000060-6808-4BCE-828D-FA5BDCEDC8F1}"/>
              </c:ext>
            </c:extLst>
          </c:dPt>
          <c:dPt>
            <c:idx val="96"/>
            <c:marker>
              <c:symbol val="diamond"/>
              <c:size val="8"/>
              <c:spPr>
                <a:solidFill>
                  <a:srgbClr val="00ABAB"/>
                </a:solidFill>
                <a:ln w="9525">
                  <a:noFill/>
                </a:ln>
                <a:effectLst/>
              </c:spPr>
            </c:marker>
            <c:bubble3D val="0"/>
            <c:extLst>
              <c:ext xmlns:c16="http://schemas.microsoft.com/office/drawing/2014/chart" uri="{C3380CC4-5D6E-409C-BE32-E72D297353CC}">
                <c16:uniqueId val="{00000061-6808-4BCE-828D-FA5BDCEDC8F1}"/>
              </c:ext>
            </c:extLst>
          </c:dPt>
          <c:dPt>
            <c:idx val="97"/>
            <c:marker>
              <c:symbol val="diamond"/>
              <c:size val="8"/>
              <c:spPr>
                <a:solidFill>
                  <a:srgbClr val="BFBFBF"/>
                </a:solidFill>
                <a:ln w="9525">
                  <a:noFill/>
                </a:ln>
                <a:effectLst/>
              </c:spPr>
            </c:marker>
            <c:bubble3D val="0"/>
            <c:extLst>
              <c:ext xmlns:c16="http://schemas.microsoft.com/office/drawing/2014/chart" uri="{C3380CC4-5D6E-409C-BE32-E72D297353CC}">
                <c16:uniqueId val="{00000062-6808-4BCE-828D-FA5BDCEDC8F1}"/>
              </c:ext>
            </c:extLst>
          </c:dPt>
          <c:dPt>
            <c:idx val="98"/>
            <c:marker>
              <c:symbol val="diamond"/>
              <c:size val="8"/>
              <c:spPr>
                <a:solidFill>
                  <a:schemeClr val="accent4"/>
                </a:solidFill>
                <a:ln w="9525">
                  <a:noFill/>
                </a:ln>
                <a:effectLst/>
              </c:spPr>
            </c:marker>
            <c:bubble3D val="0"/>
            <c:extLst>
              <c:ext xmlns:c16="http://schemas.microsoft.com/office/drawing/2014/chart" uri="{C3380CC4-5D6E-409C-BE32-E72D297353CC}">
                <c16:uniqueId val="{00000063-6808-4BCE-828D-FA5BDCEDC8F1}"/>
              </c:ext>
            </c:extLst>
          </c:dPt>
          <c:dPt>
            <c:idx val="99"/>
            <c:marker>
              <c:symbol val="diamond"/>
              <c:size val="8"/>
              <c:spPr>
                <a:solidFill>
                  <a:srgbClr val="53565A"/>
                </a:solidFill>
                <a:ln w="9525">
                  <a:noFill/>
                </a:ln>
                <a:effectLst/>
              </c:spPr>
            </c:marker>
            <c:bubble3D val="0"/>
            <c:extLst>
              <c:ext xmlns:c16="http://schemas.microsoft.com/office/drawing/2014/chart" uri="{C3380CC4-5D6E-409C-BE32-E72D297353CC}">
                <c16:uniqueId val="{00000064-6808-4BCE-828D-FA5BDCEDC8F1}"/>
              </c:ext>
            </c:extLst>
          </c:dPt>
          <c:cat>
            <c:strRef>
              <c:f>'Comp to Prev_All FOEs (15-20)'!$DE$5:$GZ$5</c:f>
              <c:strCache>
                <c:ptCount val="100"/>
                <c:pt idx="0">
                  <c:v>MathSci (n=11)</c:v>
                </c:pt>
                <c:pt idx="1">
                  <c:v>(n=12)</c:v>
                </c:pt>
                <c:pt idx="2">
                  <c:v>(n=13)</c:v>
                </c:pt>
                <c:pt idx="3">
                  <c:v>(n=11)</c:v>
                </c:pt>
                <c:pt idx="4">
                  <c:v>(n=10)</c:v>
                </c:pt>
                <c:pt idx="5">
                  <c:v>MedicalSci (n=1)</c:v>
                </c:pt>
                <c:pt idx="6">
                  <c:v>(n=0)</c:v>
                </c:pt>
                <c:pt idx="7">
                  <c:v>(n=1)</c:v>
                </c:pt>
                <c:pt idx="8">
                  <c:v>(n=1)</c:v>
                </c:pt>
                <c:pt idx="9">
                  <c:v>(n=1)</c:v>
                </c:pt>
                <c:pt idx="10">
                  <c:v>OthNat-PhysSci (n=10)</c:v>
                </c:pt>
                <c:pt idx="11">
                  <c:v>(n=9)</c:v>
                </c:pt>
                <c:pt idx="12">
                  <c:v>(n=10)</c:v>
                </c:pt>
                <c:pt idx="13">
                  <c:v>(n=10)</c:v>
                </c:pt>
                <c:pt idx="14">
                  <c:v>(n=10)</c:v>
                </c:pt>
                <c:pt idx="15">
                  <c:v>InfoTech (n=11)</c:v>
                </c:pt>
                <c:pt idx="16">
                  <c:v>(n=7)</c:v>
                </c:pt>
                <c:pt idx="17">
                  <c:v>(n=7)</c:v>
                </c:pt>
                <c:pt idx="18">
                  <c:v>(n=8)</c:v>
                </c:pt>
                <c:pt idx="19">
                  <c:v>(n=10)</c:v>
                </c:pt>
                <c:pt idx="20">
                  <c:v>Eng&amp;Related (n=5)</c:v>
                </c:pt>
                <c:pt idx="21">
                  <c:v>(n=4)</c:v>
                </c:pt>
                <c:pt idx="22">
                  <c:v>(n=5)</c:v>
                </c:pt>
                <c:pt idx="23">
                  <c:v>(n=4)</c:v>
                </c:pt>
                <c:pt idx="24">
                  <c:v>(n=5)</c:v>
                </c:pt>
                <c:pt idx="25">
                  <c:v>Archi&amp;Build (n=3)</c:v>
                </c:pt>
                <c:pt idx="26">
                  <c:v>(n=3)</c:v>
                </c:pt>
                <c:pt idx="27">
                  <c:v>(n=3)</c:v>
                </c:pt>
                <c:pt idx="28">
                  <c:v>(n=3)</c:v>
                </c:pt>
                <c:pt idx="29">
                  <c:v>(n=4)</c:v>
                </c:pt>
                <c:pt idx="30">
                  <c:v>Environment (n=6)</c:v>
                </c:pt>
                <c:pt idx="31">
                  <c:v>(n=3)</c:v>
                </c:pt>
                <c:pt idx="32">
                  <c:v>(n=3)</c:v>
                </c:pt>
                <c:pt idx="33">
                  <c:v>(n=3)</c:v>
                </c:pt>
                <c:pt idx="34">
                  <c:v>(n=3)</c:v>
                </c:pt>
                <c:pt idx="35">
                  <c:v>OthAg&amp;Enviro (n=3)</c:v>
                </c:pt>
                <c:pt idx="36">
                  <c:v>(n=1)</c:v>
                </c:pt>
                <c:pt idx="37">
                  <c:v>(n=2)</c:v>
                </c:pt>
                <c:pt idx="38">
                  <c:v>(n=2)</c:v>
                </c:pt>
                <c:pt idx="39">
                  <c:v>(n=2)</c:v>
                </c:pt>
                <c:pt idx="40">
                  <c:v>MedicalStudies (n=1)</c:v>
                </c:pt>
                <c:pt idx="41">
                  <c:v>(n=0)</c:v>
                </c:pt>
                <c:pt idx="42">
                  <c:v>(n=1)</c:v>
                </c:pt>
                <c:pt idx="43">
                  <c:v>(n=0)</c:v>
                </c:pt>
                <c:pt idx="44">
                  <c:v>(n=0)</c:v>
                </c:pt>
                <c:pt idx="45">
                  <c:v>Dental (n=0)</c:v>
                </c:pt>
                <c:pt idx="46">
                  <c:v>(n=0)</c:v>
                </c:pt>
                <c:pt idx="47">
                  <c:v>(n=0)</c:v>
                </c:pt>
                <c:pt idx="48">
                  <c:v>(n=0)</c:v>
                </c:pt>
                <c:pt idx="49">
                  <c:v>(n=0)</c:v>
                </c:pt>
                <c:pt idx="50">
                  <c:v>Veterinary (n=0)</c:v>
                </c:pt>
                <c:pt idx="51">
                  <c:v>(n=0)</c:v>
                </c:pt>
                <c:pt idx="52">
                  <c:v>(n=0)</c:v>
                </c:pt>
                <c:pt idx="53">
                  <c:v>(n=0)</c:v>
                </c:pt>
                <c:pt idx="54">
                  <c:v>(n=0)</c:v>
                </c:pt>
                <c:pt idx="55">
                  <c:v>OthHealth (n=5)</c:v>
                </c:pt>
                <c:pt idx="56">
                  <c:v>(n=7)</c:v>
                </c:pt>
                <c:pt idx="57">
                  <c:v>(n=6)</c:v>
                </c:pt>
                <c:pt idx="58">
                  <c:v>(n=7)</c:v>
                </c:pt>
                <c:pt idx="59">
                  <c:v>(n=9)</c:v>
                </c:pt>
                <c:pt idx="60">
                  <c:v>Education (n=7)</c:v>
                </c:pt>
                <c:pt idx="61">
                  <c:v>(n=8)</c:v>
                </c:pt>
                <c:pt idx="62">
                  <c:v>(n=7)</c:v>
                </c:pt>
                <c:pt idx="63">
                  <c:v>(n=7)</c:v>
                </c:pt>
                <c:pt idx="64">
                  <c:v>(n=9)</c:v>
                </c:pt>
                <c:pt idx="65">
                  <c:v>Mgmt&amp;Comm (n=11)</c:v>
                </c:pt>
                <c:pt idx="66">
                  <c:v>(n=10)</c:v>
                </c:pt>
                <c:pt idx="67">
                  <c:v>(n=12)</c:v>
                </c:pt>
                <c:pt idx="68">
                  <c:v>(n=11)</c:v>
                </c:pt>
                <c:pt idx="69">
                  <c:v>(n=11)</c:v>
                </c:pt>
                <c:pt idx="70">
                  <c:v>ForeignLang (n=8)</c:v>
                </c:pt>
                <c:pt idx="71">
                  <c:v>(n=9)</c:v>
                </c:pt>
                <c:pt idx="72">
                  <c:v>(n=11)</c:v>
                </c:pt>
                <c:pt idx="73">
                  <c:v>(n=9)</c:v>
                </c:pt>
                <c:pt idx="74">
                  <c:v>(n=9)</c:v>
                </c:pt>
                <c:pt idx="75">
                  <c:v>Psych (n=4)</c:v>
                </c:pt>
                <c:pt idx="76">
                  <c:v>(n=3)</c:v>
                </c:pt>
                <c:pt idx="77">
                  <c:v>(n=3)</c:v>
                </c:pt>
                <c:pt idx="78">
                  <c:v>(n=4)</c:v>
                </c:pt>
                <c:pt idx="79">
                  <c:v>(n=6)</c:v>
                </c:pt>
                <c:pt idx="80">
                  <c:v>OtherSoc&amp;Cult (n=12)</c:v>
                </c:pt>
                <c:pt idx="81">
                  <c:v>(n=14)</c:v>
                </c:pt>
                <c:pt idx="82">
                  <c:v>(n=14)</c:v>
                </c:pt>
                <c:pt idx="83">
                  <c:v>(n=14)</c:v>
                </c:pt>
                <c:pt idx="84">
                  <c:v>(n=14)</c:v>
                </c:pt>
                <c:pt idx="85">
                  <c:v>Comms&amp;Media (n=12)</c:v>
                </c:pt>
                <c:pt idx="86">
                  <c:v>(n=8)</c:v>
                </c:pt>
                <c:pt idx="87">
                  <c:v>(n=8)</c:v>
                </c:pt>
                <c:pt idx="88">
                  <c:v>(n=9)</c:v>
                </c:pt>
                <c:pt idx="89">
                  <c:v>(n=10)</c:v>
                </c:pt>
                <c:pt idx="90">
                  <c:v>OthCreative (n=9)</c:v>
                </c:pt>
                <c:pt idx="91">
                  <c:v>(n=7)</c:v>
                </c:pt>
                <c:pt idx="92">
                  <c:v>(n=6)</c:v>
                </c:pt>
                <c:pt idx="93">
                  <c:v>(n=6)</c:v>
                </c:pt>
                <c:pt idx="94">
                  <c:v>(n=5)</c:v>
                </c:pt>
                <c:pt idx="95">
                  <c:v>Total (n=13)</c:v>
                </c:pt>
                <c:pt idx="96">
                  <c:v>(n=15)</c:v>
                </c:pt>
                <c:pt idx="97">
                  <c:v>(n=17)</c:v>
                </c:pt>
                <c:pt idx="98">
                  <c:v>(n=16)</c:v>
                </c:pt>
                <c:pt idx="99">
                  <c:v>(n=16)</c:v>
                </c:pt>
              </c:strCache>
            </c:strRef>
          </c:cat>
          <c:val>
            <c:numRef>
              <c:f>'Comp to Prev_All FOEs (15-20)'!$DE$18:$GZ$18</c:f>
              <c:numCache>
                <c:formatCode>#,##0</c:formatCode>
                <c:ptCount val="100"/>
                <c:pt idx="0">
                  <c:v>12376.119067014688</c:v>
                </c:pt>
                <c:pt idx="1">
                  <c:v>15797.092389268233</c:v>
                </c:pt>
                <c:pt idx="2">
                  <c:v>16536.909846734758</c:v>
                </c:pt>
                <c:pt idx="3">
                  <c:v>18659.677081701833</c:v>
                </c:pt>
                <c:pt idx="4">
                  <c:v>18251.223620491921</c:v>
                </c:pt>
                <c:pt idx="5">
                  <c:v>25441.342476684287</c:v>
                </c:pt>
                <c:pt idx="6">
                  <c:v>#N/A</c:v>
                </c:pt>
                <c:pt idx="7">
                  <c:v>24074.267783894684</c:v>
                </c:pt>
                <c:pt idx="8">
                  <c:v>24001.126516801822</c:v>
                </c:pt>
                <c:pt idx="9">
                  <c:v>36351.577492295852</c:v>
                </c:pt>
                <c:pt idx="10">
                  <c:v>17598.033267723589</c:v>
                </c:pt>
                <c:pt idx="11">
                  <c:v>20601.471033700636</c:v>
                </c:pt>
                <c:pt idx="12">
                  <c:v>19110.079516178666</c:v>
                </c:pt>
                <c:pt idx="13">
                  <c:v>20704.448343437267</c:v>
                </c:pt>
                <c:pt idx="14">
                  <c:v>21522.459234789436</c:v>
                </c:pt>
                <c:pt idx="15">
                  <c:v>18557.644807553392</c:v>
                </c:pt>
                <c:pt idx="16">
                  <c:v>19894.246222121816</c:v>
                </c:pt>
                <c:pt idx="17">
                  <c:v>19862.909012283879</c:v>
                </c:pt>
                <c:pt idx="18">
                  <c:v>22758.439102567689</c:v>
                </c:pt>
                <c:pt idx="19">
                  <c:v>19953.398440634024</c:v>
                </c:pt>
                <c:pt idx="20">
                  <c:v>16822.96229827511</c:v>
                </c:pt>
                <c:pt idx="21">
                  <c:v>19897.615314172264</c:v>
                </c:pt>
                <c:pt idx="22">
                  <c:v>21777.676725668211</c:v>
                </c:pt>
                <c:pt idx="23">
                  <c:v>25493.110767014296</c:v>
                </c:pt>
                <c:pt idx="24">
                  <c:v>24821.92149819644</c:v>
                </c:pt>
                <c:pt idx="25">
                  <c:v>13621.26125597608</c:v>
                </c:pt>
                <c:pt idx="26">
                  <c:v>20328.998393201604</c:v>
                </c:pt>
                <c:pt idx="27">
                  <c:v>18070.986422641294</c:v>
                </c:pt>
                <c:pt idx="28">
                  <c:v>18453.783870633386</c:v>
                </c:pt>
                <c:pt idx="29">
                  <c:v>16096.078853635801</c:v>
                </c:pt>
                <c:pt idx="30">
                  <c:v>31122.480410789369</c:v>
                </c:pt>
                <c:pt idx="31">
                  <c:v>22321.417275915588</c:v>
                </c:pt>
                <c:pt idx="32">
                  <c:v>24526.840981291807</c:v>
                </c:pt>
                <c:pt idx="33">
                  <c:v>21973.74317982317</c:v>
                </c:pt>
                <c:pt idx="34">
                  <c:v>19109.005471407632</c:v>
                </c:pt>
                <c:pt idx="35">
                  <c:v>21261.539353161861</c:v>
                </c:pt>
                <c:pt idx="36">
                  <c:v>36835.832897979824</c:v>
                </c:pt>
                <c:pt idx="37">
                  <c:v>24103.480889653991</c:v>
                </c:pt>
                <c:pt idx="38">
                  <c:v>59197.666491753873</c:v>
                </c:pt>
                <c:pt idx="39">
                  <c:v>39392.35907027989</c:v>
                </c:pt>
                <c:pt idx="40">
                  <c:v>25318.369422704829</c:v>
                </c:pt>
                <c:pt idx="41">
                  <c:v>#N/A</c:v>
                </c:pt>
                <c:pt idx="42">
                  <c:v>16826.022829177462</c:v>
                </c:pt>
                <c:pt idx="43">
                  <c:v>#N/A</c:v>
                </c:pt>
                <c:pt idx="44">
                  <c:v>#N/A</c:v>
                </c:pt>
                <c:pt idx="45">
                  <c:v>#N/A</c:v>
                </c:pt>
                <c:pt idx="46">
                  <c:v>#N/A</c:v>
                </c:pt>
                <c:pt idx="47">
                  <c:v>#N/A</c:v>
                </c:pt>
                <c:pt idx="48">
                  <c:v>#N/A</c:v>
                </c:pt>
                <c:pt idx="49">
                  <c:v>#N/A</c:v>
                </c:pt>
                <c:pt idx="50">
                  <c:v>#N/A</c:v>
                </c:pt>
                <c:pt idx="51">
                  <c:v>#N/A</c:v>
                </c:pt>
                <c:pt idx="52">
                  <c:v>#N/A</c:v>
                </c:pt>
                <c:pt idx="53">
                  <c:v>#N/A</c:v>
                </c:pt>
                <c:pt idx="54">
                  <c:v>#N/A</c:v>
                </c:pt>
                <c:pt idx="55">
                  <c:v>18728.82755190794</c:v>
                </c:pt>
                <c:pt idx="56">
                  <c:v>16240.922789660508</c:v>
                </c:pt>
                <c:pt idx="57">
                  <c:v>15725.149944694875</c:v>
                </c:pt>
                <c:pt idx="58">
                  <c:v>16017.674620587597</c:v>
                </c:pt>
                <c:pt idx="59">
                  <c:v>15855.292035204089</c:v>
                </c:pt>
                <c:pt idx="60">
                  <c:v>9006.7390742832267</c:v>
                </c:pt>
                <c:pt idx="61">
                  <c:v>11828.519921837473</c:v>
                </c:pt>
                <c:pt idx="62">
                  <c:v>15949.414211141135</c:v>
                </c:pt>
                <c:pt idx="63">
                  <c:v>17733.399464037826</c:v>
                </c:pt>
                <c:pt idx="64">
                  <c:v>13895.818255606326</c:v>
                </c:pt>
                <c:pt idx="65">
                  <c:v>18814.171163702969</c:v>
                </c:pt>
                <c:pt idx="66">
                  <c:v>14716.851011267679</c:v>
                </c:pt>
                <c:pt idx="67">
                  <c:v>16011.979523983744</c:v>
                </c:pt>
                <c:pt idx="68">
                  <c:v>18207.307675820655</c:v>
                </c:pt>
                <c:pt idx="69">
                  <c:v>18947.37174963436</c:v>
                </c:pt>
                <c:pt idx="70">
                  <c:v>16986.671810515676</c:v>
                </c:pt>
                <c:pt idx="71">
                  <c:v>19651.392557277675</c:v>
                </c:pt>
                <c:pt idx="72">
                  <c:v>17894.186752595491</c:v>
                </c:pt>
                <c:pt idx="73">
                  <c:v>18775.46861351647</c:v>
                </c:pt>
                <c:pt idx="74">
                  <c:v>19314.483578492502</c:v>
                </c:pt>
                <c:pt idx="75">
                  <c:v>14909.527597636898</c:v>
                </c:pt>
                <c:pt idx="76">
                  <c:v>12818.21362910401</c:v>
                </c:pt>
                <c:pt idx="77">
                  <c:v>14139.699203728786</c:v>
                </c:pt>
                <c:pt idx="78">
                  <c:v>17606.117557019177</c:v>
                </c:pt>
                <c:pt idx="79">
                  <c:v>14327.982616908268</c:v>
                </c:pt>
                <c:pt idx="80">
                  <c:v>11781.933092998572</c:v>
                </c:pt>
                <c:pt idx="81">
                  <c:v>11160.542142706228</c:v>
                </c:pt>
                <c:pt idx="82">
                  <c:v>12379.086270412885</c:v>
                </c:pt>
                <c:pt idx="83">
                  <c:v>11685.35041496522</c:v>
                </c:pt>
                <c:pt idx="84">
                  <c:v>8290.512858651904</c:v>
                </c:pt>
                <c:pt idx="85">
                  <c:v>10922.258135899034</c:v>
                </c:pt>
                <c:pt idx="86">
                  <c:v>15355.171308855346</c:v>
                </c:pt>
                <c:pt idx="87">
                  <c:v>15839.077272711458</c:v>
                </c:pt>
                <c:pt idx="88">
                  <c:v>16429.889034180243</c:v>
                </c:pt>
                <c:pt idx="89">
                  <c:v>16835.773804337667</c:v>
                </c:pt>
                <c:pt idx="90">
                  <c:v>17770.581338711738</c:v>
                </c:pt>
                <c:pt idx="91">
                  <c:v>21819.701469208958</c:v>
                </c:pt>
                <c:pt idx="92">
                  <c:v>22384.729613512318</c:v>
                </c:pt>
                <c:pt idx="93">
                  <c:v>19623.931387070537</c:v>
                </c:pt>
                <c:pt idx="94">
                  <c:v>18440.149682917021</c:v>
                </c:pt>
                <c:pt idx="95">
                  <c:v>14056.767812300626</c:v>
                </c:pt>
                <c:pt idx="96">
                  <c:v>15136.859753806379</c:v>
                </c:pt>
                <c:pt idx="97">
                  <c:v>15737.011437601284</c:v>
                </c:pt>
                <c:pt idx="98">
                  <c:v>16420.155985859532</c:v>
                </c:pt>
                <c:pt idx="99">
                  <c:v>14006.866016471604</c:v>
                </c:pt>
              </c:numCache>
            </c:numRef>
          </c:val>
          <c:smooth val="0"/>
          <c:extLst>
            <c:ext xmlns:c16="http://schemas.microsoft.com/office/drawing/2014/chart" uri="{C3380CC4-5D6E-409C-BE32-E72D297353CC}">
              <c16:uniqueId val="{00000065-6808-4BCE-828D-FA5BDCEDC8F1}"/>
            </c:ext>
          </c:extLst>
        </c:ser>
        <c:dLbls>
          <c:showLegendKey val="0"/>
          <c:showVal val="0"/>
          <c:showCatName val="0"/>
          <c:showSerName val="0"/>
          <c:showPercent val="0"/>
          <c:showBubbleSize val="0"/>
        </c:dLbls>
        <c:hiLowLines>
          <c:spPr>
            <a:ln w="9525" cap="flat" cmpd="sng" algn="ctr">
              <a:solidFill>
                <a:schemeClr val="accent6"/>
              </a:solidFill>
              <a:round/>
            </a:ln>
            <a:effectLst/>
          </c:spPr>
        </c:hiLowLines>
        <c:axId val="1730350287"/>
        <c:axId val="1730347791"/>
      </c:stockChart>
      <c:catAx>
        <c:axId val="1730350287"/>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wrap="square" anchor="t" anchorCtr="1"/>
          <a:lstStyle/>
          <a:p>
            <a:pPr>
              <a:defRPr sz="5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47791"/>
        <c:crosses val="autoZero"/>
        <c:auto val="1"/>
        <c:lblAlgn val="ctr"/>
        <c:lblOffset val="100"/>
        <c:tickMarkSkip val="5"/>
        <c:noMultiLvlLbl val="0"/>
      </c:catAx>
      <c:valAx>
        <c:axId val="1730347791"/>
        <c:scaling>
          <c:orientation val="minMax"/>
          <c:min val="0"/>
        </c:scaling>
        <c:delete val="0"/>
        <c:axPos val="l"/>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5028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503430233131544E-2"/>
          <c:y val="2.9166680883635818E-2"/>
          <c:w val="0.91299739706449734"/>
          <c:h val="0.77850468487911195"/>
        </c:manualLayout>
      </c:layout>
      <c:stockChart>
        <c:ser>
          <c:idx val="0"/>
          <c:order val="0"/>
          <c:spPr>
            <a:ln w="28575" cap="rnd">
              <a:noFill/>
              <a:round/>
            </a:ln>
            <a:effectLst/>
          </c:spPr>
          <c:marker>
            <c:symbol val="none"/>
          </c:marker>
          <c:val>
            <c:numRef>
              <c:f>'Comp to Prev_All FOEs (15-20)'!$DE$24:$GZ$24</c:f>
              <c:numCache>
                <c:formatCode>#,##0</c:formatCode>
                <c:ptCount val="100"/>
                <c:pt idx="0">
                  <c:v>9038.3124154075394</c:v>
                </c:pt>
                <c:pt idx="1">
                  <c:v>11952.176179227434</c:v>
                </c:pt>
                <c:pt idx="2">
                  <c:v>12018.901638128807</c:v>
                </c:pt>
                <c:pt idx="3">
                  <c:v>10780.908731603375</c:v>
                </c:pt>
                <c:pt idx="4">
                  <c:v>10853.516193023668</c:v>
                </c:pt>
                <c:pt idx="5">
                  <c:v>17501.355555555558</c:v>
                </c:pt>
                <c:pt idx="6">
                  <c:v>17002.231635947352</c:v>
                </c:pt>
                <c:pt idx="7">
                  <c:v>17015.954620727203</c:v>
                </c:pt>
                <c:pt idx="8">
                  <c:v>8913.1475129386581</c:v>
                </c:pt>
                <c:pt idx="9">
                  <c:v>9361.3338643970383</c:v>
                </c:pt>
                <c:pt idx="10">
                  <c:v>10494.064588450463</c:v>
                </c:pt>
                <c:pt idx="11">
                  <c:v>15648.137347077345</c:v>
                </c:pt>
                <c:pt idx="12">
                  <c:v>15236.941206807633</c:v>
                </c:pt>
                <c:pt idx="13">
                  <c:v>14354.802229181763</c:v>
                </c:pt>
                <c:pt idx="14">
                  <c:v>15867.704495884826</c:v>
                </c:pt>
                <c:pt idx="15">
                  <c:v>9085.2168264672619</c:v>
                </c:pt>
                <c:pt idx="16">
                  <c:v>9066.6059160201112</c:v>
                </c:pt>
                <c:pt idx="17">
                  <c:v>5483.4199113577652</c:v>
                </c:pt>
                <c:pt idx="18">
                  <c:v>4816.046717016181</c:v>
                </c:pt>
                <c:pt idx="19">
                  <c:v>5715.2536559990231</c:v>
                </c:pt>
                <c:pt idx="20">
                  <c:v>12303.173314601312</c:v>
                </c:pt>
                <c:pt idx="21">
                  <c:v>14913.252841768443</c:v>
                </c:pt>
                <c:pt idx="22">
                  <c:v>15783.626840696115</c:v>
                </c:pt>
                <c:pt idx="23">
                  <c:v>17742.337517389431</c:v>
                </c:pt>
                <c:pt idx="24">
                  <c:v>16007.956913428328</c:v>
                </c:pt>
                <c:pt idx="25">
                  <c:v>11215.652919138764</c:v>
                </c:pt>
                <c:pt idx="26">
                  <c:v>14951.490737650545</c:v>
                </c:pt>
                <c:pt idx="27">
                  <c:v>14579.290013355083</c:v>
                </c:pt>
                <c:pt idx="28">
                  <c:v>14476.795832381664</c:v>
                </c:pt>
                <c:pt idx="29">
                  <c:v>12114.270833388815</c:v>
                </c:pt>
                <c:pt idx="30">
                  <c:v>9192.810864569492</c:v>
                </c:pt>
                <c:pt idx="31">
                  <c:v>16668.526289487447</c:v>
                </c:pt>
                <c:pt idx="32">
                  <c:v>13649.479108939018</c:v>
                </c:pt>
                <c:pt idx="33">
                  <c:v>10727.185907704241</c:v>
                </c:pt>
                <c:pt idx="34">
                  <c:v>16063.946174717201</c:v>
                </c:pt>
                <c:pt idx="35">
                  <c:v>19023.41811948262</c:v>
                </c:pt>
                <c:pt idx="36">
                  <c:v>19048.244504630064</c:v>
                </c:pt>
                <c:pt idx="37">
                  <c:v>17557.09632499078</c:v>
                </c:pt>
                <c:pt idx="38">
                  <c:v>25843.90390918119</c:v>
                </c:pt>
                <c:pt idx="39">
                  <c:v>24608.280977701736</c:v>
                </c:pt>
                <c:pt idx="40">
                  <c:v>11376.970712197755</c:v>
                </c:pt>
                <c:pt idx="41">
                  <c:v>16431.805222383697</c:v>
                </c:pt>
                <c:pt idx="42">
                  <c:v>16383.783056950779</c:v>
                </c:pt>
                <c:pt idx="43">
                  <c:v>19112.761050970235</c:v>
                </c:pt>
                <c:pt idx="44">
                  <c:v>15590.223909753102</c:v>
                </c:pt>
                <c:pt idx="45">
                  <c:v>23770.991960320072</c:v>
                </c:pt>
                <c:pt idx="46">
                  <c:v>25042.444340990602</c:v>
                </c:pt>
                <c:pt idx="47">
                  <c:v>26379.194972171332</c:v>
                </c:pt>
                <c:pt idx="48">
                  <c:v>29520.191616766468</c:v>
                </c:pt>
                <c:pt idx="49">
                  <c:v>31899.883239899478</c:v>
                </c:pt>
                <c:pt idx="50">
                  <c:v>32630.403754118292</c:v>
                </c:pt>
                <c:pt idx="51">
                  <c:v>28502.762502846399</c:v>
                </c:pt>
                <c:pt idx="52">
                  <c:v>21765.211287355185</c:v>
                </c:pt>
                <c:pt idx="53">
                  <c:v>34785.620059484398</c:v>
                </c:pt>
                <c:pt idx="54">
                  <c:v>36647.81959689733</c:v>
                </c:pt>
                <c:pt idx="55">
                  <c:v>12699.811929763087</c:v>
                </c:pt>
                <c:pt idx="56">
                  <c:v>13093.812906785906</c:v>
                </c:pt>
                <c:pt idx="57">
                  <c:v>13770.279328076174</c:v>
                </c:pt>
                <c:pt idx="58">
                  <c:v>14195.319414181557</c:v>
                </c:pt>
                <c:pt idx="59">
                  <c:v>14887.470104047725</c:v>
                </c:pt>
                <c:pt idx="60">
                  <c:v>7843.0741964992221</c:v>
                </c:pt>
                <c:pt idx="61">
                  <c:v>10317.436437389664</c:v>
                </c:pt>
                <c:pt idx="62">
                  <c:v>11977.264544358028</c:v>
                </c:pt>
                <c:pt idx="63">
                  <c:v>11745.240156478721</c:v>
                </c:pt>
                <c:pt idx="64">
                  <c:v>11340.234838146478</c:v>
                </c:pt>
                <c:pt idx="65">
                  <c:v>6430.7144391850898</c:v>
                </c:pt>
                <c:pt idx="66">
                  <c:v>10763.651449994775</c:v>
                </c:pt>
                <c:pt idx="67">
                  <c:v>10516.458522587633</c:v>
                </c:pt>
                <c:pt idx="68">
                  <c:v>11893.478973895944</c:v>
                </c:pt>
                <c:pt idx="69">
                  <c:v>11453.553141895154</c:v>
                </c:pt>
                <c:pt idx="70">
                  <c:v>10287.676177757856</c:v>
                </c:pt>
                <c:pt idx="71">
                  <c:v>12794.734075423263</c:v>
                </c:pt>
                <c:pt idx="72">
                  <c:v>12588.057170694814</c:v>
                </c:pt>
                <c:pt idx="73">
                  <c:v>14180.831201248051</c:v>
                </c:pt>
                <c:pt idx="74">
                  <c:v>7728.0934860918051</c:v>
                </c:pt>
                <c:pt idx="75">
                  <c:v>5808.6462306015692</c:v>
                </c:pt>
                <c:pt idx="76">
                  <c:v>11089.195183094236</c:v>
                </c:pt>
                <c:pt idx="77">
                  <c:v>12102.751345755898</c:v>
                </c:pt>
                <c:pt idx="78">
                  <c:v>9855.2565075586353</c:v>
                </c:pt>
                <c:pt idx="79">
                  <c:v>9356.7335820847384</c:v>
                </c:pt>
                <c:pt idx="80">
                  <c:v>7091.3145221557152</c:v>
                </c:pt>
                <c:pt idx="81">
                  <c:v>10711.654304597569</c:v>
                </c:pt>
                <c:pt idx="82">
                  <c:v>11375.159305223106</c:v>
                </c:pt>
                <c:pt idx="83">
                  <c:v>10793.329088845192</c:v>
                </c:pt>
                <c:pt idx="84">
                  <c:v>10207.21915636939</c:v>
                </c:pt>
                <c:pt idx="85">
                  <c:v>9230.3202512208936</c:v>
                </c:pt>
                <c:pt idx="86">
                  <c:v>10257.212627056251</c:v>
                </c:pt>
                <c:pt idx="87">
                  <c:v>11631.627071823204</c:v>
                </c:pt>
                <c:pt idx="88">
                  <c:v>10736.866559312935</c:v>
                </c:pt>
                <c:pt idx="89">
                  <c:v>11401.735767384494</c:v>
                </c:pt>
                <c:pt idx="90">
                  <c:v>13429.566811594872</c:v>
                </c:pt>
                <c:pt idx="91">
                  <c:v>14572.90736539231</c:v>
                </c:pt>
                <c:pt idx="92">
                  <c:v>14804.477998967208</c:v>
                </c:pt>
                <c:pt idx="93">
                  <c:v>13128.664079072989</c:v>
                </c:pt>
                <c:pt idx="94">
                  <c:v>12748.486891556373</c:v>
                </c:pt>
                <c:pt idx="95">
                  <c:v>11836.161289948293</c:v>
                </c:pt>
                <c:pt idx="96">
                  <c:v>13804.229188371248</c:v>
                </c:pt>
                <c:pt idx="97">
                  <c:v>13871.791533988457</c:v>
                </c:pt>
                <c:pt idx="98">
                  <c:v>12814.530156902363</c:v>
                </c:pt>
                <c:pt idx="99">
                  <c:v>12831.921189840901</c:v>
                </c:pt>
              </c:numCache>
            </c:numRef>
          </c:val>
          <c:smooth val="0"/>
          <c:extLst>
            <c:ext xmlns:c15="http://schemas.microsoft.com/office/drawing/2012/chart" uri="{02D57815-91ED-43cb-92C2-25804820EDAC}">
              <c15:filteredSeriesTitle>
                <c15:tx>
                  <c:strRef>
                    <c:extLst>
                      <c:ext uri="{02D57815-91ED-43cb-92C2-25804820EDAC}">
                        <c15:formulaRef>
                          <c15:sqref>'Comp to Prev_All FOEs (15-20)'!$DD$10</c15:sqref>
                        </c15:formulaRef>
                      </c:ext>
                    </c:extLst>
                    <c:strCache>
                      <c:ptCount val="1"/>
                      <c:pt idx="0">
                        <c:v>Low</c:v>
                      </c:pt>
                    </c:strCache>
                  </c:strRef>
                </c15:tx>
              </c15:filteredSeriesTitle>
            </c:ext>
            <c:ext xmlns:c15="http://schemas.microsoft.com/office/drawing/2012/chart" uri="{02D57815-91ED-43cb-92C2-25804820EDAC}">
              <c15:filteredCategoryTitle>
                <c15:cat>
                  <c:strRef>
                    <c:extLst>
                      <c:ext uri="{02D57815-91ED-43cb-92C2-25804820EDAC}">
                        <c15:formulaRef>
                          <c15:sqref>'Comp to Prev_All FOEs (15-20)'!$DE$6:$GZ$6</c15:sqref>
                        </c15:formulaRef>
                      </c:ext>
                    </c:extLst>
                    <c:strCache>
                      <c:ptCount val="100"/>
                      <c:pt idx="0">
                        <c:v>MathSci (n=17)</c:v>
                      </c:pt>
                      <c:pt idx="1">
                        <c:v>(n=17)</c:v>
                      </c:pt>
                      <c:pt idx="2">
                        <c:v>(n=17)</c:v>
                      </c:pt>
                      <c:pt idx="3">
                        <c:v>(n=17)</c:v>
                      </c:pt>
                      <c:pt idx="4">
                        <c:v>(n=17)</c:v>
                      </c:pt>
                      <c:pt idx="5">
                        <c:v>MedicalSci (n=12)</c:v>
                      </c:pt>
                      <c:pt idx="6">
                        <c:v>(n=14)</c:v>
                      </c:pt>
                      <c:pt idx="7">
                        <c:v>(n=14)</c:v>
                      </c:pt>
                      <c:pt idx="8">
                        <c:v>(n=13)</c:v>
                      </c:pt>
                      <c:pt idx="9">
                        <c:v>(n=13)</c:v>
                      </c:pt>
                      <c:pt idx="10">
                        <c:v>OthNat-PhysSci (n=17)</c:v>
                      </c:pt>
                      <c:pt idx="11">
                        <c:v>(n=17)</c:v>
                      </c:pt>
                      <c:pt idx="12">
                        <c:v>(n=17)</c:v>
                      </c:pt>
                      <c:pt idx="13">
                        <c:v>(n=17)</c:v>
                      </c:pt>
                      <c:pt idx="14">
                        <c:v>(n=17)</c:v>
                      </c:pt>
                      <c:pt idx="15">
                        <c:v>InfoTech (n=17)</c:v>
                      </c:pt>
                      <c:pt idx="16">
                        <c:v>(n=17)</c:v>
                      </c:pt>
                      <c:pt idx="17">
                        <c:v>(n=17)</c:v>
                      </c:pt>
                      <c:pt idx="18">
                        <c:v>(n=17)</c:v>
                      </c:pt>
                      <c:pt idx="19">
                        <c:v>(n=17)</c:v>
                      </c:pt>
                      <c:pt idx="20">
                        <c:v>Eng&amp;Related (n=17)</c:v>
                      </c:pt>
                      <c:pt idx="21">
                        <c:v>(n=17)</c:v>
                      </c:pt>
                      <c:pt idx="22">
                        <c:v>(n=17)</c:v>
                      </c:pt>
                      <c:pt idx="23">
                        <c:v>(n=17)</c:v>
                      </c:pt>
                      <c:pt idx="24">
                        <c:v>(n=17)</c:v>
                      </c:pt>
                      <c:pt idx="25">
                        <c:v>Archi&amp;Build (n=14)</c:v>
                      </c:pt>
                      <c:pt idx="26">
                        <c:v>(n=14)</c:v>
                      </c:pt>
                      <c:pt idx="27">
                        <c:v>(n=14)</c:v>
                      </c:pt>
                      <c:pt idx="28">
                        <c:v>(n=14)</c:v>
                      </c:pt>
                      <c:pt idx="29">
                        <c:v>(n=14)</c:v>
                      </c:pt>
                      <c:pt idx="30">
                        <c:v>Environment (n=17)</c:v>
                      </c:pt>
                      <c:pt idx="31">
                        <c:v>(n=17)</c:v>
                      </c:pt>
                      <c:pt idx="32">
                        <c:v>(n=17)</c:v>
                      </c:pt>
                      <c:pt idx="33">
                        <c:v>(n=17)</c:v>
                      </c:pt>
                      <c:pt idx="34">
                        <c:v>(n=17)</c:v>
                      </c:pt>
                      <c:pt idx="35">
                        <c:v>OthAg&amp;Enviro (n=12)</c:v>
                      </c:pt>
                      <c:pt idx="36">
                        <c:v>(n=11)</c:v>
                      </c:pt>
                      <c:pt idx="37">
                        <c:v>(n=11)</c:v>
                      </c:pt>
                      <c:pt idx="38">
                        <c:v>(n=11)</c:v>
                      </c:pt>
                      <c:pt idx="39">
                        <c:v>(n=10)</c:v>
                      </c:pt>
                      <c:pt idx="40">
                        <c:v>MedicalStudies (n=14)</c:v>
                      </c:pt>
                      <c:pt idx="41">
                        <c:v>(n=14)</c:v>
                      </c:pt>
                      <c:pt idx="42">
                        <c:v>(n=13)</c:v>
                      </c:pt>
                      <c:pt idx="43">
                        <c:v>(n=13)</c:v>
                      </c:pt>
                      <c:pt idx="44">
                        <c:v>(n=12)</c:v>
                      </c:pt>
                      <c:pt idx="45">
                        <c:v>Dental (n=7)</c:v>
                      </c:pt>
                      <c:pt idx="46">
                        <c:v>(n=7)</c:v>
                      </c:pt>
                      <c:pt idx="47">
                        <c:v>(n=7)</c:v>
                      </c:pt>
                      <c:pt idx="48">
                        <c:v>(n=7)</c:v>
                      </c:pt>
                      <c:pt idx="49">
                        <c:v>(n=7)</c:v>
                      </c:pt>
                      <c:pt idx="50">
                        <c:v>Veterinary (n=5)</c:v>
                      </c:pt>
                      <c:pt idx="51">
                        <c:v>(n=5)</c:v>
                      </c:pt>
                      <c:pt idx="52">
                        <c:v>(n=5)</c:v>
                      </c:pt>
                      <c:pt idx="53">
                        <c:v>(n=5)</c:v>
                      </c:pt>
                      <c:pt idx="54">
                        <c:v>(n=5)</c:v>
                      </c:pt>
                      <c:pt idx="55">
                        <c:v>OthHealth (n=17)</c:v>
                      </c:pt>
                      <c:pt idx="56">
                        <c:v>(n=17)</c:v>
                      </c:pt>
                      <c:pt idx="57">
                        <c:v>(n=17)</c:v>
                      </c:pt>
                      <c:pt idx="58">
                        <c:v>(n=17)</c:v>
                      </c:pt>
                      <c:pt idx="59">
                        <c:v>(n=17)</c:v>
                      </c:pt>
                      <c:pt idx="60">
                        <c:v>Education (n=17)</c:v>
                      </c:pt>
                      <c:pt idx="61">
                        <c:v>(n=17)</c:v>
                      </c:pt>
                      <c:pt idx="62">
                        <c:v>(n=17)</c:v>
                      </c:pt>
                      <c:pt idx="63">
                        <c:v>(n=17)</c:v>
                      </c:pt>
                      <c:pt idx="64">
                        <c:v>(n=17)</c:v>
                      </c:pt>
                      <c:pt idx="65">
                        <c:v>Mgmt&amp;Comm (n=17)</c:v>
                      </c:pt>
                      <c:pt idx="66">
                        <c:v>(n=17)</c:v>
                      </c:pt>
                      <c:pt idx="67">
                        <c:v>(n=17)</c:v>
                      </c:pt>
                      <c:pt idx="68">
                        <c:v>(n=17)</c:v>
                      </c:pt>
                      <c:pt idx="69">
                        <c:v>(n=17)</c:v>
                      </c:pt>
                      <c:pt idx="70">
                        <c:v>ForeignLang (n=14)</c:v>
                      </c:pt>
                      <c:pt idx="71">
                        <c:v>(n=14)</c:v>
                      </c:pt>
                      <c:pt idx="72">
                        <c:v>(n=13)</c:v>
                      </c:pt>
                      <c:pt idx="73">
                        <c:v>(n=12)</c:v>
                      </c:pt>
                      <c:pt idx="74">
                        <c:v>(n=13)</c:v>
                      </c:pt>
                      <c:pt idx="75">
                        <c:v>Psych (n=16)</c:v>
                      </c:pt>
                      <c:pt idx="76">
                        <c:v>(n=17)</c:v>
                      </c:pt>
                      <c:pt idx="77">
                        <c:v>(n=17)</c:v>
                      </c:pt>
                      <c:pt idx="78">
                        <c:v>(n=17)</c:v>
                      </c:pt>
                      <c:pt idx="79">
                        <c:v>(n=17)</c:v>
                      </c:pt>
                      <c:pt idx="80">
                        <c:v>OtherSoc&amp;Cult (n=17)</c:v>
                      </c:pt>
                      <c:pt idx="81">
                        <c:v>(n=17)</c:v>
                      </c:pt>
                      <c:pt idx="82">
                        <c:v>(n=17)</c:v>
                      </c:pt>
                      <c:pt idx="83">
                        <c:v>(n=17)</c:v>
                      </c:pt>
                      <c:pt idx="84">
                        <c:v>(n=17)</c:v>
                      </c:pt>
                      <c:pt idx="85">
                        <c:v>Comms&amp;Media (n=17)</c:v>
                      </c:pt>
                      <c:pt idx="86">
                        <c:v>(n=17)</c:v>
                      </c:pt>
                      <c:pt idx="87">
                        <c:v>(n=17)</c:v>
                      </c:pt>
                      <c:pt idx="88">
                        <c:v>(n=17)</c:v>
                      </c:pt>
                      <c:pt idx="89">
                        <c:v>(n=17)</c:v>
                      </c:pt>
                      <c:pt idx="90">
                        <c:v>OthCreative (n=17)</c:v>
                      </c:pt>
                      <c:pt idx="91">
                        <c:v>(n=17)</c:v>
                      </c:pt>
                      <c:pt idx="92">
                        <c:v>(n=17)</c:v>
                      </c:pt>
                      <c:pt idx="93">
                        <c:v>(n=17)</c:v>
                      </c:pt>
                      <c:pt idx="94">
                        <c:v>(n=17)</c:v>
                      </c:pt>
                      <c:pt idx="95">
                        <c:v>Total (n=17)</c:v>
                      </c:pt>
                      <c:pt idx="96">
                        <c:v>(n=17)</c:v>
                      </c:pt>
                      <c:pt idx="97">
                        <c:v>(n=17)</c:v>
                      </c:pt>
                      <c:pt idx="98">
                        <c:v>(n=17)</c:v>
                      </c:pt>
                      <c:pt idx="99">
                        <c:v>(n=17)</c:v>
                      </c:pt>
                    </c:strCache>
                  </c:strRef>
                </c15:cat>
              </c15:filteredCategoryTitle>
            </c:ext>
            <c:ext xmlns:c16="http://schemas.microsoft.com/office/drawing/2014/chart" uri="{C3380CC4-5D6E-409C-BE32-E72D297353CC}">
              <c16:uniqueId val="{00000000-7F18-4421-9D76-FC7C4833D4D7}"/>
            </c:ext>
          </c:extLst>
        </c:ser>
        <c:ser>
          <c:idx val="1"/>
          <c:order val="1"/>
          <c:spPr>
            <a:ln w="28575" cap="rnd">
              <a:noFill/>
              <a:round/>
            </a:ln>
            <a:effectLst/>
          </c:spPr>
          <c:marker>
            <c:symbol val="none"/>
          </c:marker>
          <c:val>
            <c:numRef>
              <c:f>'Comp to Prev_All FOEs (15-20)'!$DE$23:$GZ$23</c:f>
              <c:numCache>
                <c:formatCode>#,##0</c:formatCode>
                <c:ptCount val="100"/>
                <c:pt idx="0">
                  <c:v>20007.207567046924</c:v>
                </c:pt>
                <c:pt idx="1">
                  <c:v>18118.252795564127</c:v>
                </c:pt>
                <c:pt idx="2">
                  <c:v>21308.485653580639</c:v>
                </c:pt>
                <c:pt idx="3">
                  <c:v>20915.16862462596</c:v>
                </c:pt>
                <c:pt idx="4">
                  <c:v>19221.50899831569</c:v>
                </c:pt>
                <c:pt idx="5">
                  <c:v>32949.385749534398</c:v>
                </c:pt>
                <c:pt idx="6">
                  <c:v>35609.783141918102</c:v>
                </c:pt>
                <c:pt idx="7">
                  <c:v>40180.884760197718</c:v>
                </c:pt>
                <c:pt idx="8">
                  <c:v>30892.14140764753</c:v>
                </c:pt>
                <c:pt idx="9">
                  <c:v>32732.062107146045</c:v>
                </c:pt>
                <c:pt idx="10">
                  <c:v>28518.218655302495</c:v>
                </c:pt>
                <c:pt idx="11">
                  <c:v>26434.115280541642</c:v>
                </c:pt>
                <c:pt idx="12">
                  <c:v>26978.080501521032</c:v>
                </c:pt>
                <c:pt idx="13">
                  <c:v>27642.401336665109</c:v>
                </c:pt>
                <c:pt idx="14">
                  <c:v>25047.896206749712</c:v>
                </c:pt>
                <c:pt idx="15">
                  <c:v>24438.273381506195</c:v>
                </c:pt>
                <c:pt idx="16">
                  <c:v>32021.091668676327</c:v>
                </c:pt>
                <c:pt idx="17">
                  <c:v>23065.343484665958</c:v>
                </c:pt>
                <c:pt idx="18">
                  <c:v>28445.604629978563</c:v>
                </c:pt>
                <c:pt idx="19">
                  <c:v>31439.467904342768</c:v>
                </c:pt>
                <c:pt idx="20">
                  <c:v>41878.865929300373</c:v>
                </c:pt>
                <c:pt idx="21">
                  <c:v>45627.271336618644</c:v>
                </c:pt>
                <c:pt idx="22">
                  <c:v>51975.472779784912</c:v>
                </c:pt>
                <c:pt idx="23">
                  <c:v>37684.349301943352</c:v>
                </c:pt>
                <c:pt idx="24">
                  <c:v>36502.255470943528</c:v>
                </c:pt>
                <c:pt idx="25">
                  <c:v>21790.800225845436</c:v>
                </c:pt>
                <c:pt idx="26">
                  <c:v>31625.256426983298</c:v>
                </c:pt>
                <c:pt idx="27">
                  <c:v>27324.327402126764</c:v>
                </c:pt>
                <c:pt idx="28">
                  <c:v>27977.808136859057</c:v>
                </c:pt>
                <c:pt idx="29">
                  <c:v>28758.014533072877</c:v>
                </c:pt>
                <c:pt idx="30">
                  <c:v>32570.841952200801</c:v>
                </c:pt>
                <c:pt idx="31">
                  <c:v>34133.931994081875</c:v>
                </c:pt>
                <c:pt idx="32">
                  <c:v>47457.613436522362</c:v>
                </c:pt>
                <c:pt idx="33">
                  <c:v>33757.669210530519</c:v>
                </c:pt>
                <c:pt idx="34">
                  <c:v>39483.21410698213</c:v>
                </c:pt>
                <c:pt idx="35">
                  <c:v>48597.857213542717</c:v>
                </c:pt>
                <c:pt idx="36">
                  <c:v>41220.691457383982</c:v>
                </c:pt>
                <c:pt idx="37">
                  <c:v>40018.56082118427</c:v>
                </c:pt>
                <c:pt idx="38">
                  <c:v>40819.237397116493</c:v>
                </c:pt>
                <c:pt idx="39">
                  <c:v>43676.353704066059</c:v>
                </c:pt>
                <c:pt idx="40">
                  <c:v>60606.32890392367</c:v>
                </c:pt>
                <c:pt idx="41">
                  <c:v>42874.716957975594</c:v>
                </c:pt>
                <c:pt idx="42">
                  <c:v>44999.261473233943</c:v>
                </c:pt>
                <c:pt idx="43">
                  <c:v>41566.91189808528</c:v>
                </c:pt>
                <c:pt idx="44">
                  <c:v>34085.623833046957</c:v>
                </c:pt>
                <c:pt idx="45">
                  <c:v>60663.423539465017</c:v>
                </c:pt>
                <c:pt idx="46">
                  <c:v>57069.855505098152</c:v>
                </c:pt>
                <c:pt idx="47">
                  <c:v>62368.233115944684</c:v>
                </c:pt>
                <c:pt idx="48">
                  <c:v>55953.497364255985</c:v>
                </c:pt>
                <c:pt idx="49">
                  <c:v>57419.876064550641</c:v>
                </c:pt>
                <c:pt idx="50">
                  <c:v>78791.334347961892</c:v>
                </c:pt>
                <c:pt idx="51">
                  <c:v>75234.913812411367</c:v>
                </c:pt>
                <c:pt idx="52">
                  <c:v>64802.035391180652</c:v>
                </c:pt>
                <c:pt idx="53">
                  <c:v>56701.561365286856</c:v>
                </c:pt>
                <c:pt idx="54">
                  <c:v>64300.169383529188</c:v>
                </c:pt>
                <c:pt idx="55">
                  <c:v>33271.647814215321</c:v>
                </c:pt>
                <c:pt idx="56">
                  <c:v>49260.303581000066</c:v>
                </c:pt>
                <c:pt idx="57">
                  <c:v>34527.751493498778</c:v>
                </c:pt>
                <c:pt idx="58">
                  <c:v>25096.461558704221</c:v>
                </c:pt>
                <c:pt idx="59">
                  <c:v>23957.66395143011</c:v>
                </c:pt>
                <c:pt idx="60">
                  <c:v>22510.182019246815</c:v>
                </c:pt>
                <c:pt idx="61">
                  <c:v>23844.634854046177</c:v>
                </c:pt>
                <c:pt idx="62">
                  <c:v>23135.17834445705</c:v>
                </c:pt>
                <c:pt idx="63">
                  <c:v>21817.033477267094</c:v>
                </c:pt>
                <c:pt idx="64">
                  <c:v>19870.232776920304</c:v>
                </c:pt>
                <c:pt idx="65">
                  <c:v>23626.72996116287</c:v>
                </c:pt>
                <c:pt idx="66">
                  <c:v>30886.805225928943</c:v>
                </c:pt>
                <c:pt idx="67">
                  <c:v>22054.596745000566</c:v>
                </c:pt>
                <c:pt idx="68">
                  <c:v>23627.931647305908</c:v>
                </c:pt>
                <c:pt idx="69">
                  <c:v>24460.594003791051</c:v>
                </c:pt>
                <c:pt idx="70">
                  <c:v>31796.280217407013</c:v>
                </c:pt>
                <c:pt idx="71">
                  <c:v>32021.237086359124</c:v>
                </c:pt>
                <c:pt idx="72">
                  <c:v>36689.849296110006</c:v>
                </c:pt>
                <c:pt idx="73">
                  <c:v>31965.769453507335</c:v>
                </c:pt>
                <c:pt idx="74">
                  <c:v>26186.238738244247</c:v>
                </c:pt>
                <c:pt idx="75">
                  <c:v>18414.350264501903</c:v>
                </c:pt>
                <c:pt idx="76">
                  <c:v>22103.356418261275</c:v>
                </c:pt>
                <c:pt idx="77">
                  <c:v>22757.277169689241</c:v>
                </c:pt>
                <c:pt idx="78">
                  <c:v>22897.933526009929</c:v>
                </c:pt>
                <c:pt idx="79">
                  <c:v>24029.576331402026</c:v>
                </c:pt>
                <c:pt idx="80">
                  <c:v>18669.495428431808</c:v>
                </c:pt>
                <c:pt idx="81">
                  <c:v>17918.494983471133</c:v>
                </c:pt>
                <c:pt idx="82">
                  <c:v>19071.059356880349</c:v>
                </c:pt>
                <c:pt idx="83">
                  <c:v>19850.645294049555</c:v>
                </c:pt>
                <c:pt idx="84">
                  <c:v>19680.065165849006</c:v>
                </c:pt>
                <c:pt idx="85">
                  <c:v>17887.988356040503</c:v>
                </c:pt>
                <c:pt idx="86">
                  <c:v>21311.502220020186</c:v>
                </c:pt>
                <c:pt idx="87">
                  <c:v>21847.344447668853</c:v>
                </c:pt>
                <c:pt idx="88">
                  <c:v>24109.02754017858</c:v>
                </c:pt>
                <c:pt idx="89">
                  <c:v>23208.20576096086</c:v>
                </c:pt>
                <c:pt idx="90">
                  <c:v>43986.756145579253</c:v>
                </c:pt>
                <c:pt idx="91">
                  <c:v>32854.888344148021</c:v>
                </c:pt>
                <c:pt idx="92">
                  <c:v>26570.913015757455</c:v>
                </c:pt>
                <c:pt idx="93">
                  <c:v>28385.64814408794</c:v>
                </c:pt>
                <c:pt idx="94">
                  <c:v>34923.43986112321</c:v>
                </c:pt>
                <c:pt idx="95">
                  <c:v>21244.384540786894</c:v>
                </c:pt>
                <c:pt idx="96">
                  <c:v>22733.488837431516</c:v>
                </c:pt>
                <c:pt idx="97">
                  <c:v>23282.212269651485</c:v>
                </c:pt>
                <c:pt idx="98">
                  <c:v>24368.560271898536</c:v>
                </c:pt>
                <c:pt idx="99">
                  <c:v>25682.678111644484</c:v>
                </c:pt>
              </c:numCache>
            </c:numRef>
          </c:val>
          <c:smooth val="0"/>
          <c:extLst>
            <c:ext xmlns:c15="http://schemas.microsoft.com/office/drawing/2012/chart" uri="{02D57815-91ED-43cb-92C2-25804820EDAC}">
              <c15:filteredSeriesTitle>
                <c15:tx>
                  <c:strRef>
                    <c:extLst>
                      <c:ext uri="{02D57815-91ED-43cb-92C2-25804820EDAC}">
                        <c15:formulaRef>
                          <c15:sqref>'Comp to Prev_All FOEs (15-20)'!$DD$16</c15:sqref>
                        </c15:formulaRef>
                      </c:ext>
                    </c:extLst>
                    <c:strCache>
                      <c:ptCount val="1"/>
                      <c:pt idx="0">
                        <c:v>High</c:v>
                      </c:pt>
                    </c:strCache>
                  </c:strRef>
                </c15:tx>
              </c15:filteredSeriesTitle>
            </c:ext>
            <c:ext xmlns:c15="http://schemas.microsoft.com/office/drawing/2012/chart" uri="{02D57815-91ED-43cb-92C2-25804820EDAC}">
              <c15:filteredCategoryTitle>
                <c15:cat>
                  <c:strRef>
                    <c:extLst>
                      <c:ext uri="{02D57815-91ED-43cb-92C2-25804820EDAC}">
                        <c15:formulaRef>
                          <c15:sqref>'Comp to Prev_All FOEs (15-20)'!$DE$6:$GZ$6</c15:sqref>
                        </c15:formulaRef>
                      </c:ext>
                    </c:extLst>
                    <c:strCache>
                      <c:ptCount val="100"/>
                      <c:pt idx="0">
                        <c:v>MathSci (n=17)</c:v>
                      </c:pt>
                      <c:pt idx="1">
                        <c:v>(n=17)</c:v>
                      </c:pt>
                      <c:pt idx="2">
                        <c:v>(n=17)</c:v>
                      </c:pt>
                      <c:pt idx="3">
                        <c:v>(n=17)</c:v>
                      </c:pt>
                      <c:pt idx="4">
                        <c:v>(n=17)</c:v>
                      </c:pt>
                      <c:pt idx="5">
                        <c:v>MedicalSci (n=12)</c:v>
                      </c:pt>
                      <c:pt idx="6">
                        <c:v>(n=14)</c:v>
                      </c:pt>
                      <c:pt idx="7">
                        <c:v>(n=14)</c:v>
                      </c:pt>
                      <c:pt idx="8">
                        <c:v>(n=13)</c:v>
                      </c:pt>
                      <c:pt idx="9">
                        <c:v>(n=13)</c:v>
                      </c:pt>
                      <c:pt idx="10">
                        <c:v>OthNat-PhysSci (n=17)</c:v>
                      </c:pt>
                      <c:pt idx="11">
                        <c:v>(n=17)</c:v>
                      </c:pt>
                      <c:pt idx="12">
                        <c:v>(n=17)</c:v>
                      </c:pt>
                      <c:pt idx="13">
                        <c:v>(n=17)</c:v>
                      </c:pt>
                      <c:pt idx="14">
                        <c:v>(n=17)</c:v>
                      </c:pt>
                      <c:pt idx="15">
                        <c:v>InfoTech (n=17)</c:v>
                      </c:pt>
                      <c:pt idx="16">
                        <c:v>(n=17)</c:v>
                      </c:pt>
                      <c:pt idx="17">
                        <c:v>(n=17)</c:v>
                      </c:pt>
                      <c:pt idx="18">
                        <c:v>(n=17)</c:v>
                      </c:pt>
                      <c:pt idx="19">
                        <c:v>(n=17)</c:v>
                      </c:pt>
                      <c:pt idx="20">
                        <c:v>Eng&amp;Related (n=17)</c:v>
                      </c:pt>
                      <c:pt idx="21">
                        <c:v>(n=17)</c:v>
                      </c:pt>
                      <c:pt idx="22">
                        <c:v>(n=17)</c:v>
                      </c:pt>
                      <c:pt idx="23">
                        <c:v>(n=17)</c:v>
                      </c:pt>
                      <c:pt idx="24">
                        <c:v>(n=17)</c:v>
                      </c:pt>
                      <c:pt idx="25">
                        <c:v>Archi&amp;Build (n=14)</c:v>
                      </c:pt>
                      <c:pt idx="26">
                        <c:v>(n=14)</c:v>
                      </c:pt>
                      <c:pt idx="27">
                        <c:v>(n=14)</c:v>
                      </c:pt>
                      <c:pt idx="28">
                        <c:v>(n=14)</c:v>
                      </c:pt>
                      <c:pt idx="29">
                        <c:v>(n=14)</c:v>
                      </c:pt>
                      <c:pt idx="30">
                        <c:v>Environment (n=17)</c:v>
                      </c:pt>
                      <c:pt idx="31">
                        <c:v>(n=17)</c:v>
                      </c:pt>
                      <c:pt idx="32">
                        <c:v>(n=17)</c:v>
                      </c:pt>
                      <c:pt idx="33">
                        <c:v>(n=17)</c:v>
                      </c:pt>
                      <c:pt idx="34">
                        <c:v>(n=17)</c:v>
                      </c:pt>
                      <c:pt idx="35">
                        <c:v>OthAg&amp;Enviro (n=12)</c:v>
                      </c:pt>
                      <c:pt idx="36">
                        <c:v>(n=11)</c:v>
                      </c:pt>
                      <c:pt idx="37">
                        <c:v>(n=11)</c:v>
                      </c:pt>
                      <c:pt idx="38">
                        <c:v>(n=11)</c:v>
                      </c:pt>
                      <c:pt idx="39">
                        <c:v>(n=10)</c:v>
                      </c:pt>
                      <c:pt idx="40">
                        <c:v>MedicalStudies (n=14)</c:v>
                      </c:pt>
                      <c:pt idx="41">
                        <c:v>(n=14)</c:v>
                      </c:pt>
                      <c:pt idx="42">
                        <c:v>(n=13)</c:v>
                      </c:pt>
                      <c:pt idx="43">
                        <c:v>(n=13)</c:v>
                      </c:pt>
                      <c:pt idx="44">
                        <c:v>(n=12)</c:v>
                      </c:pt>
                      <c:pt idx="45">
                        <c:v>Dental (n=7)</c:v>
                      </c:pt>
                      <c:pt idx="46">
                        <c:v>(n=7)</c:v>
                      </c:pt>
                      <c:pt idx="47">
                        <c:v>(n=7)</c:v>
                      </c:pt>
                      <c:pt idx="48">
                        <c:v>(n=7)</c:v>
                      </c:pt>
                      <c:pt idx="49">
                        <c:v>(n=7)</c:v>
                      </c:pt>
                      <c:pt idx="50">
                        <c:v>Veterinary (n=5)</c:v>
                      </c:pt>
                      <c:pt idx="51">
                        <c:v>(n=5)</c:v>
                      </c:pt>
                      <c:pt idx="52">
                        <c:v>(n=5)</c:v>
                      </c:pt>
                      <c:pt idx="53">
                        <c:v>(n=5)</c:v>
                      </c:pt>
                      <c:pt idx="54">
                        <c:v>(n=5)</c:v>
                      </c:pt>
                      <c:pt idx="55">
                        <c:v>OthHealth (n=17)</c:v>
                      </c:pt>
                      <c:pt idx="56">
                        <c:v>(n=17)</c:v>
                      </c:pt>
                      <c:pt idx="57">
                        <c:v>(n=17)</c:v>
                      </c:pt>
                      <c:pt idx="58">
                        <c:v>(n=17)</c:v>
                      </c:pt>
                      <c:pt idx="59">
                        <c:v>(n=17)</c:v>
                      </c:pt>
                      <c:pt idx="60">
                        <c:v>Education (n=17)</c:v>
                      </c:pt>
                      <c:pt idx="61">
                        <c:v>(n=17)</c:v>
                      </c:pt>
                      <c:pt idx="62">
                        <c:v>(n=17)</c:v>
                      </c:pt>
                      <c:pt idx="63">
                        <c:v>(n=17)</c:v>
                      </c:pt>
                      <c:pt idx="64">
                        <c:v>(n=17)</c:v>
                      </c:pt>
                      <c:pt idx="65">
                        <c:v>Mgmt&amp;Comm (n=17)</c:v>
                      </c:pt>
                      <c:pt idx="66">
                        <c:v>(n=17)</c:v>
                      </c:pt>
                      <c:pt idx="67">
                        <c:v>(n=17)</c:v>
                      </c:pt>
                      <c:pt idx="68">
                        <c:v>(n=17)</c:v>
                      </c:pt>
                      <c:pt idx="69">
                        <c:v>(n=17)</c:v>
                      </c:pt>
                      <c:pt idx="70">
                        <c:v>ForeignLang (n=14)</c:v>
                      </c:pt>
                      <c:pt idx="71">
                        <c:v>(n=14)</c:v>
                      </c:pt>
                      <c:pt idx="72">
                        <c:v>(n=13)</c:v>
                      </c:pt>
                      <c:pt idx="73">
                        <c:v>(n=12)</c:v>
                      </c:pt>
                      <c:pt idx="74">
                        <c:v>(n=13)</c:v>
                      </c:pt>
                      <c:pt idx="75">
                        <c:v>Psych (n=16)</c:v>
                      </c:pt>
                      <c:pt idx="76">
                        <c:v>(n=17)</c:v>
                      </c:pt>
                      <c:pt idx="77">
                        <c:v>(n=17)</c:v>
                      </c:pt>
                      <c:pt idx="78">
                        <c:v>(n=17)</c:v>
                      </c:pt>
                      <c:pt idx="79">
                        <c:v>(n=17)</c:v>
                      </c:pt>
                      <c:pt idx="80">
                        <c:v>OtherSoc&amp;Cult (n=17)</c:v>
                      </c:pt>
                      <c:pt idx="81">
                        <c:v>(n=17)</c:v>
                      </c:pt>
                      <c:pt idx="82">
                        <c:v>(n=17)</c:v>
                      </c:pt>
                      <c:pt idx="83">
                        <c:v>(n=17)</c:v>
                      </c:pt>
                      <c:pt idx="84">
                        <c:v>(n=17)</c:v>
                      </c:pt>
                      <c:pt idx="85">
                        <c:v>Comms&amp;Media (n=17)</c:v>
                      </c:pt>
                      <c:pt idx="86">
                        <c:v>(n=17)</c:v>
                      </c:pt>
                      <c:pt idx="87">
                        <c:v>(n=17)</c:v>
                      </c:pt>
                      <c:pt idx="88">
                        <c:v>(n=17)</c:v>
                      </c:pt>
                      <c:pt idx="89">
                        <c:v>(n=17)</c:v>
                      </c:pt>
                      <c:pt idx="90">
                        <c:v>OthCreative (n=17)</c:v>
                      </c:pt>
                      <c:pt idx="91">
                        <c:v>(n=17)</c:v>
                      </c:pt>
                      <c:pt idx="92">
                        <c:v>(n=17)</c:v>
                      </c:pt>
                      <c:pt idx="93">
                        <c:v>(n=17)</c:v>
                      </c:pt>
                      <c:pt idx="94">
                        <c:v>(n=17)</c:v>
                      </c:pt>
                      <c:pt idx="95">
                        <c:v>Total (n=17)</c:v>
                      </c:pt>
                      <c:pt idx="96">
                        <c:v>(n=17)</c:v>
                      </c:pt>
                      <c:pt idx="97">
                        <c:v>(n=17)</c:v>
                      </c:pt>
                      <c:pt idx="98">
                        <c:v>(n=17)</c:v>
                      </c:pt>
                      <c:pt idx="99">
                        <c:v>(n=17)</c:v>
                      </c:pt>
                    </c:strCache>
                  </c:strRef>
                </c15:cat>
              </c15:filteredCategoryTitle>
            </c:ext>
            <c:ext xmlns:c16="http://schemas.microsoft.com/office/drawing/2014/chart" uri="{C3380CC4-5D6E-409C-BE32-E72D297353CC}">
              <c16:uniqueId val="{00000001-7F18-4421-9D76-FC7C4833D4D7}"/>
            </c:ext>
          </c:extLst>
        </c:ser>
        <c:ser>
          <c:idx val="2"/>
          <c:order val="2"/>
          <c:spPr>
            <a:ln w="28575" cap="rnd">
              <a:noFill/>
              <a:round/>
            </a:ln>
            <a:effectLst/>
          </c:spPr>
          <c:marker>
            <c:symbol val="diamond"/>
            <c:size val="8"/>
            <c:spPr>
              <a:solidFill>
                <a:schemeClr val="accent2"/>
              </a:solidFill>
              <a:ln w="9525">
                <a:noFill/>
              </a:ln>
              <a:effectLst/>
            </c:spPr>
          </c:marker>
          <c:dPt>
            <c:idx val="0"/>
            <c:bubble3D val="0"/>
            <c:extLst>
              <c:ext xmlns:c16="http://schemas.microsoft.com/office/drawing/2014/chart" uri="{C3380CC4-5D6E-409C-BE32-E72D297353CC}">
                <c16:uniqueId val="{00000002-7F18-4421-9D76-FC7C4833D4D7}"/>
              </c:ext>
            </c:extLst>
          </c:dPt>
          <c:dPt>
            <c:idx val="1"/>
            <c:marker>
              <c:spPr>
                <a:solidFill>
                  <a:srgbClr val="00ABAB"/>
                </a:solidFill>
                <a:ln w="9525">
                  <a:noFill/>
                </a:ln>
                <a:effectLst/>
              </c:spPr>
            </c:marker>
            <c:bubble3D val="0"/>
            <c:extLst>
              <c:ext xmlns:c16="http://schemas.microsoft.com/office/drawing/2014/chart" uri="{C3380CC4-5D6E-409C-BE32-E72D297353CC}">
                <c16:uniqueId val="{00000003-7F18-4421-9D76-FC7C4833D4D7}"/>
              </c:ext>
            </c:extLst>
          </c:dPt>
          <c:dPt>
            <c:idx val="2"/>
            <c:marker>
              <c:spPr>
                <a:solidFill>
                  <a:srgbClr val="BFBFBF"/>
                </a:solidFill>
                <a:ln w="9525">
                  <a:noFill/>
                </a:ln>
                <a:effectLst/>
              </c:spPr>
            </c:marker>
            <c:bubble3D val="0"/>
            <c:extLst>
              <c:ext xmlns:c16="http://schemas.microsoft.com/office/drawing/2014/chart" uri="{C3380CC4-5D6E-409C-BE32-E72D297353CC}">
                <c16:uniqueId val="{00000004-7F18-4421-9D76-FC7C4833D4D7}"/>
              </c:ext>
            </c:extLst>
          </c:dPt>
          <c:dPt>
            <c:idx val="3"/>
            <c:marker>
              <c:spPr>
                <a:solidFill>
                  <a:schemeClr val="accent4"/>
                </a:solidFill>
                <a:ln w="9525">
                  <a:noFill/>
                </a:ln>
                <a:effectLst/>
              </c:spPr>
            </c:marker>
            <c:bubble3D val="0"/>
            <c:extLst>
              <c:ext xmlns:c16="http://schemas.microsoft.com/office/drawing/2014/chart" uri="{C3380CC4-5D6E-409C-BE32-E72D297353CC}">
                <c16:uniqueId val="{00000005-7F18-4421-9D76-FC7C4833D4D7}"/>
              </c:ext>
            </c:extLst>
          </c:dPt>
          <c:dPt>
            <c:idx val="4"/>
            <c:marker>
              <c:spPr>
                <a:solidFill>
                  <a:srgbClr val="53565A"/>
                </a:solidFill>
                <a:ln w="9525">
                  <a:noFill/>
                </a:ln>
                <a:effectLst/>
              </c:spPr>
            </c:marker>
            <c:bubble3D val="0"/>
            <c:extLst>
              <c:ext xmlns:c16="http://schemas.microsoft.com/office/drawing/2014/chart" uri="{C3380CC4-5D6E-409C-BE32-E72D297353CC}">
                <c16:uniqueId val="{00000006-7F18-4421-9D76-FC7C4833D4D7}"/>
              </c:ext>
            </c:extLst>
          </c:dPt>
          <c:dPt>
            <c:idx val="5"/>
            <c:bubble3D val="0"/>
            <c:extLst>
              <c:ext xmlns:c16="http://schemas.microsoft.com/office/drawing/2014/chart" uri="{C3380CC4-5D6E-409C-BE32-E72D297353CC}">
                <c16:uniqueId val="{00000007-7F18-4421-9D76-FC7C4833D4D7}"/>
              </c:ext>
            </c:extLst>
          </c:dPt>
          <c:dPt>
            <c:idx val="6"/>
            <c:marker>
              <c:spPr>
                <a:solidFill>
                  <a:srgbClr val="00ABAB"/>
                </a:solidFill>
                <a:ln w="9525">
                  <a:noFill/>
                </a:ln>
                <a:effectLst/>
              </c:spPr>
            </c:marker>
            <c:bubble3D val="0"/>
            <c:extLst>
              <c:ext xmlns:c16="http://schemas.microsoft.com/office/drawing/2014/chart" uri="{C3380CC4-5D6E-409C-BE32-E72D297353CC}">
                <c16:uniqueId val="{00000008-7F18-4421-9D76-FC7C4833D4D7}"/>
              </c:ext>
            </c:extLst>
          </c:dPt>
          <c:dPt>
            <c:idx val="7"/>
            <c:marker>
              <c:spPr>
                <a:solidFill>
                  <a:srgbClr val="BFBFBF"/>
                </a:solidFill>
                <a:ln w="9525">
                  <a:noFill/>
                </a:ln>
                <a:effectLst/>
              </c:spPr>
            </c:marker>
            <c:bubble3D val="0"/>
            <c:extLst>
              <c:ext xmlns:c16="http://schemas.microsoft.com/office/drawing/2014/chart" uri="{C3380CC4-5D6E-409C-BE32-E72D297353CC}">
                <c16:uniqueId val="{00000009-7F18-4421-9D76-FC7C4833D4D7}"/>
              </c:ext>
            </c:extLst>
          </c:dPt>
          <c:dPt>
            <c:idx val="8"/>
            <c:marker>
              <c:spPr>
                <a:solidFill>
                  <a:schemeClr val="accent4"/>
                </a:solidFill>
                <a:ln w="9525">
                  <a:noFill/>
                </a:ln>
                <a:effectLst/>
              </c:spPr>
            </c:marker>
            <c:bubble3D val="0"/>
            <c:extLst>
              <c:ext xmlns:c16="http://schemas.microsoft.com/office/drawing/2014/chart" uri="{C3380CC4-5D6E-409C-BE32-E72D297353CC}">
                <c16:uniqueId val="{0000000A-7F18-4421-9D76-FC7C4833D4D7}"/>
              </c:ext>
            </c:extLst>
          </c:dPt>
          <c:dPt>
            <c:idx val="9"/>
            <c:marker>
              <c:spPr>
                <a:solidFill>
                  <a:srgbClr val="53565A"/>
                </a:solidFill>
                <a:ln w="9525">
                  <a:noFill/>
                </a:ln>
                <a:effectLst/>
              </c:spPr>
            </c:marker>
            <c:bubble3D val="0"/>
            <c:extLst>
              <c:ext xmlns:c16="http://schemas.microsoft.com/office/drawing/2014/chart" uri="{C3380CC4-5D6E-409C-BE32-E72D297353CC}">
                <c16:uniqueId val="{0000000B-7F18-4421-9D76-FC7C4833D4D7}"/>
              </c:ext>
            </c:extLst>
          </c:dPt>
          <c:dPt>
            <c:idx val="10"/>
            <c:bubble3D val="0"/>
            <c:extLst>
              <c:ext xmlns:c16="http://schemas.microsoft.com/office/drawing/2014/chart" uri="{C3380CC4-5D6E-409C-BE32-E72D297353CC}">
                <c16:uniqueId val="{0000000C-7F18-4421-9D76-FC7C4833D4D7}"/>
              </c:ext>
            </c:extLst>
          </c:dPt>
          <c:dPt>
            <c:idx val="11"/>
            <c:marker>
              <c:spPr>
                <a:solidFill>
                  <a:srgbClr val="00ABAB"/>
                </a:solidFill>
                <a:ln w="9525">
                  <a:noFill/>
                </a:ln>
                <a:effectLst/>
              </c:spPr>
            </c:marker>
            <c:bubble3D val="0"/>
            <c:extLst>
              <c:ext xmlns:c16="http://schemas.microsoft.com/office/drawing/2014/chart" uri="{C3380CC4-5D6E-409C-BE32-E72D297353CC}">
                <c16:uniqueId val="{0000000D-7F18-4421-9D76-FC7C4833D4D7}"/>
              </c:ext>
            </c:extLst>
          </c:dPt>
          <c:dPt>
            <c:idx val="12"/>
            <c:marker>
              <c:spPr>
                <a:solidFill>
                  <a:srgbClr val="BFBFBF"/>
                </a:solidFill>
                <a:ln w="9525">
                  <a:noFill/>
                </a:ln>
                <a:effectLst/>
              </c:spPr>
            </c:marker>
            <c:bubble3D val="0"/>
            <c:extLst>
              <c:ext xmlns:c16="http://schemas.microsoft.com/office/drawing/2014/chart" uri="{C3380CC4-5D6E-409C-BE32-E72D297353CC}">
                <c16:uniqueId val="{0000000E-7F18-4421-9D76-FC7C4833D4D7}"/>
              </c:ext>
            </c:extLst>
          </c:dPt>
          <c:dPt>
            <c:idx val="13"/>
            <c:marker>
              <c:spPr>
                <a:solidFill>
                  <a:schemeClr val="accent4"/>
                </a:solidFill>
                <a:ln w="9525">
                  <a:noFill/>
                </a:ln>
                <a:effectLst/>
              </c:spPr>
            </c:marker>
            <c:bubble3D val="0"/>
            <c:extLst>
              <c:ext xmlns:c16="http://schemas.microsoft.com/office/drawing/2014/chart" uri="{C3380CC4-5D6E-409C-BE32-E72D297353CC}">
                <c16:uniqueId val="{0000000F-7F18-4421-9D76-FC7C4833D4D7}"/>
              </c:ext>
            </c:extLst>
          </c:dPt>
          <c:dPt>
            <c:idx val="14"/>
            <c:marker>
              <c:spPr>
                <a:solidFill>
                  <a:srgbClr val="53565A"/>
                </a:solidFill>
                <a:ln w="9525">
                  <a:noFill/>
                </a:ln>
                <a:effectLst/>
              </c:spPr>
            </c:marker>
            <c:bubble3D val="0"/>
            <c:extLst>
              <c:ext xmlns:c16="http://schemas.microsoft.com/office/drawing/2014/chart" uri="{C3380CC4-5D6E-409C-BE32-E72D297353CC}">
                <c16:uniqueId val="{00000010-7F18-4421-9D76-FC7C4833D4D7}"/>
              </c:ext>
            </c:extLst>
          </c:dPt>
          <c:dPt>
            <c:idx val="15"/>
            <c:bubble3D val="0"/>
            <c:extLst>
              <c:ext xmlns:c16="http://schemas.microsoft.com/office/drawing/2014/chart" uri="{C3380CC4-5D6E-409C-BE32-E72D297353CC}">
                <c16:uniqueId val="{00000011-7F18-4421-9D76-FC7C4833D4D7}"/>
              </c:ext>
            </c:extLst>
          </c:dPt>
          <c:dPt>
            <c:idx val="16"/>
            <c:marker>
              <c:spPr>
                <a:solidFill>
                  <a:srgbClr val="00ABAB"/>
                </a:solidFill>
                <a:ln w="9525">
                  <a:noFill/>
                </a:ln>
                <a:effectLst/>
              </c:spPr>
            </c:marker>
            <c:bubble3D val="0"/>
            <c:extLst>
              <c:ext xmlns:c16="http://schemas.microsoft.com/office/drawing/2014/chart" uri="{C3380CC4-5D6E-409C-BE32-E72D297353CC}">
                <c16:uniqueId val="{00000012-7F18-4421-9D76-FC7C4833D4D7}"/>
              </c:ext>
            </c:extLst>
          </c:dPt>
          <c:dPt>
            <c:idx val="17"/>
            <c:marker>
              <c:spPr>
                <a:solidFill>
                  <a:srgbClr val="BFBFBF"/>
                </a:solidFill>
                <a:ln w="9525">
                  <a:noFill/>
                </a:ln>
                <a:effectLst/>
              </c:spPr>
            </c:marker>
            <c:bubble3D val="0"/>
            <c:extLst>
              <c:ext xmlns:c16="http://schemas.microsoft.com/office/drawing/2014/chart" uri="{C3380CC4-5D6E-409C-BE32-E72D297353CC}">
                <c16:uniqueId val="{00000013-7F18-4421-9D76-FC7C4833D4D7}"/>
              </c:ext>
            </c:extLst>
          </c:dPt>
          <c:dPt>
            <c:idx val="18"/>
            <c:marker>
              <c:spPr>
                <a:solidFill>
                  <a:schemeClr val="accent4"/>
                </a:solidFill>
                <a:ln w="9525">
                  <a:noFill/>
                </a:ln>
                <a:effectLst/>
              </c:spPr>
            </c:marker>
            <c:bubble3D val="0"/>
            <c:extLst>
              <c:ext xmlns:c16="http://schemas.microsoft.com/office/drawing/2014/chart" uri="{C3380CC4-5D6E-409C-BE32-E72D297353CC}">
                <c16:uniqueId val="{00000014-7F18-4421-9D76-FC7C4833D4D7}"/>
              </c:ext>
            </c:extLst>
          </c:dPt>
          <c:dPt>
            <c:idx val="19"/>
            <c:marker>
              <c:spPr>
                <a:solidFill>
                  <a:srgbClr val="53565A"/>
                </a:solidFill>
                <a:ln w="9525">
                  <a:noFill/>
                </a:ln>
                <a:effectLst/>
              </c:spPr>
            </c:marker>
            <c:bubble3D val="0"/>
            <c:extLst>
              <c:ext xmlns:c16="http://schemas.microsoft.com/office/drawing/2014/chart" uri="{C3380CC4-5D6E-409C-BE32-E72D297353CC}">
                <c16:uniqueId val="{00000015-7F18-4421-9D76-FC7C4833D4D7}"/>
              </c:ext>
            </c:extLst>
          </c:dPt>
          <c:dPt>
            <c:idx val="20"/>
            <c:bubble3D val="0"/>
            <c:extLst>
              <c:ext xmlns:c16="http://schemas.microsoft.com/office/drawing/2014/chart" uri="{C3380CC4-5D6E-409C-BE32-E72D297353CC}">
                <c16:uniqueId val="{00000016-7F18-4421-9D76-FC7C4833D4D7}"/>
              </c:ext>
            </c:extLst>
          </c:dPt>
          <c:dPt>
            <c:idx val="21"/>
            <c:marker>
              <c:spPr>
                <a:solidFill>
                  <a:srgbClr val="00ABAB"/>
                </a:solidFill>
                <a:ln w="9525">
                  <a:noFill/>
                </a:ln>
                <a:effectLst/>
              </c:spPr>
            </c:marker>
            <c:bubble3D val="0"/>
            <c:extLst>
              <c:ext xmlns:c16="http://schemas.microsoft.com/office/drawing/2014/chart" uri="{C3380CC4-5D6E-409C-BE32-E72D297353CC}">
                <c16:uniqueId val="{00000017-7F18-4421-9D76-FC7C4833D4D7}"/>
              </c:ext>
            </c:extLst>
          </c:dPt>
          <c:dPt>
            <c:idx val="22"/>
            <c:marker>
              <c:spPr>
                <a:solidFill>
                  <a:srgbClr val="BFBFBF"/>
                </a:solidFill>
                <a:ln w="9525">
                  <a:noFill/>
                </a:ln>
                <a:effectLst/>
              </c:spPr>
            </c:marker>
            <c:bubble3D val="0"/>
            <c:extLst>
              <c:ext xmlns:c16="http://schemas.microsoft.com/office/drawing/2014/chart" uri="{C3380CC4-5D6E-409C-BE32-E72D297353CC}">
                <c16:uniqueId val="{00000018-7F18-4421-9D76-FC7C4833D4D7}"/>
              </c:ext>
            </c:extLst>
          </c:dPt>
          <c:dPt>
            <c:idx val="23"/>
            <c:marker>
              <c:spPr>
                <a:solidFill>
                  <a:schemeClr val="accent4"/>
                </a:solidFill>
                <a:ln w="9525">
                  <a:noFill/>
                </a:ln>
                <a:effectLst/>
              </c:spPr>
            </c:marker>
            <c:bubble3D val="0"/>
            <c:extLst>
              <c:ext xmlns:c16="http://schemas.microsoft.com/office/drawing/2014/chart" uri="{C3380CC4-5D6E-409C-BE32-E72D297353CC}">
                <c16:uniqueId val="{00000019-7F18-4421-9D76-FC7C4833D4D7}"/>
              </c:ext>
            </c:extLst>
          </c:dPt>
          <c:dPt>
            <c:idx val="24"/>
            <c:marker>
              <c:spPr>
                <a:solidFill>
                  <a:srgbClr val="53565A"/>
                </a:solidFill>
                <a:ln w="9525">
                  <a:noFill/>
                </a:ln>
                <a:effectLst/>
              </c:spPr>
            </c:marker>
            <c:bubble3D val="0"/>
            <c:extLst>
              <c:ext xmlns:c16="http://schemas.microsoft.com/office/drawing/2014/chart" uri="{C3380CC4-5D6E-409C-BE32-E72D297353CC}">
                <c16:uniqueId val="{0000001A-7F18-4421-9D76-FC7C4833D4D7}"/>
              </c:ext>
            </c:extLst>
          </c:dPt>
          <c:dPt>
            <c:idx val="25"/>
            <c:bubble3D val="0"/>
            <c:extLst>
              <c:ext xmlns:c16="http://schemas.microsoft.com/office/drawing/2014/chart" uri="{C3380CC4-5D6E-409C-BE32-E72D297353CC}">
                <c16:uniqueId val="{0000001B-7F18-4421-9D76-FC7C4833D4D7}"/>
              </c:ext>
            </c:extLst>
          </c:dPt>
          <c:dPt>
            <c:idx val="26"/>
            <c:marker>
              <c:spPr>
                <a:solidFill>
                  <a:srgbClr val="00ABAB"/>
                </a:solidFill>
                <a:ln w="9525">
                  <a:noFill/>
                </a:ln>
                <a:effectLst/>
              </c:spPr>
            </c:marker>
            <c:bubble3D val="0"/>
            <c:extLst>
              <c:ext xmlns:c16="http://schemas.microsoft.com/office/drawing/2014/chart" uri="{C3380CC4-5D6E-409C-BE32-E72D297353CC}">
                <c16:uniqueId val="{0000001C-7F18-4421-9D76-FC7C4833D4D7}"/>
              </c:ext>
            </c:extLst>
          </c:dPt>
          <c:dPt>
            <c:idx val="27"/>
            <c:marker>
              <c:spPr>
                <a:solidFill>
                  <a:srgbClr val="BFBFBF"/>
                </a:solidFill>
                <a:ln w="9525">
                  <a:noFill/>
                </a:ln>
                <a:effectLst/>
              </c:spPr>
            </c:marker>
            <c:bubble3D val="0"/>
            <c:extLst>
              <c:ext xmlns:c16="http://schemas.microsoft.com/office/drawing/2014/chart" uri="{C3380CC4-5D6E-409C-BE32-E72D297353CC}">
                <c16:uniqueId val="{0000001D-7F18-4421-9D76-FC7C4833D4D7}"/>
              </c:ext>
            </c:extLst>
          </c:dPt>
          <c:dPt>
            <c:idx val="28"/>
            <c:marker>
              <c:spPr>
                <a:solidFill>
                  <a:schemeClr val="accent4"/>
                </a:solidFill>
                <a:ln w="9525">
                  <a:noFill/>
                </a:ln>
                <a:effectLst/>
              </c:spPr>
            </c:marker>
            <c:bubble3D val="0"/>
            <c:extLst>
              <c:ext xmlns:c16="http://schemas.microsoft.com/office/drawing/2014/chart" uri="{C3380CC4-5D6E-409C-BE32-E72D297353CC}">
                <c16:uniqueId val="{0000001E-7F18-4421-9D76-FC7C4833D4D7}"/>
              </c:ext>
            </c:extLst>
          </c:dPt>
          <c:dPt>
            <c:idx val="29"/>
            <c:marker>
              <c:spPr>
                <a:solidFill>
                  <a:srgbClr val="53565A"/>
                </a:solidFill>
                <a:ln w="9525">
                  <a:noFill/>
                </a:ln>
                <a:effectLst/>
              </c:spPr>
            </c:marker>
            <c:bubble3D val="0"/>
            <c:extLst>
              <c:ext xmlns:c16="http://schemas.microsoft.com/office/drawing/2014/chart" uri="{C3380CC4-5D6E-409C-BE32-E72D297353CC}">
                <c16:uniqueId val="{0000001F-7F18-4421-9D76-FC7C4833D4D7}"/>
              </c:ext>
            </c:extLst>
          </c:dPt>
          <c:dPt>
            <c:idx val="30"/>
            <c:bubble3D val="0"/>
            <c:extLst>
              <c:ext xmlns:c16="http://schemas.microsoft.com/office/drawing/2014/chart" uri="{C3380CC4-5D6E-409C-BE32-E72D297353CC}">
                <c16:uniqueId val="{00000020-7F18-4421-9D76-FC7C4833D4D7}"/>
              </c:ext>
            </c:extLst>
          </c:dPt>
          <c:dPt>
            <c:idx val="31"/>
            <c:marker>
              <c:spPr>
                <a:solidFill>
                  <a:srgbClr val="00ABAB"/>
                </a:solidFill>
                <a:ln w="9525">
                  <a:noFill/>
                </a:ln>
                <a:effectLst/>
              </c:spPr>
            </c:marker>
            <c:bubble3D val="0"/>
            <c:extLst>
              <c:ext xmlns:c16="http://schemas.microsoft.com/office/drawing/2014/chart" uri="{C3380CC4-5D6E-409C-BE32-E72D297353CC}">
                <c16:uniqueId val="{00000021-7F18-4421-9D76-FC7C4833D4D7}"/>
              </c:ext>
            </c:extLst>
          </c:dPt>
          <c:dPt>
            <c:idx val="32"/>
            <c:marker>
              <c:spPr>
                <a:solidFill>
                  <a:srgbClr val="BFBFBF"/>
                </a:solidFill>
                <a:ln w="9525">
                  <a:noFill/>
                </a:ln>
                <a:effectLst/>
              </c:spPr>
            </c:marker>
            <c:bubble3D val="0"/>
            <c:extLst>
              <c:ext xmlns:c16="http://schemas.microsoft.com/office/drawing/2014/chart" uri="{C3380CC4-5D6E-409C-BE32-E72D297353CC}">
                <c16:uniqueId val="{00000022-7F18-4421-9D76-FC7C4833D4D7}"/>
              </c:ext>
            </c:extLst>
          </c:dPt>
          <c:dPt>
            <c:idx val="33"/>
            <c:marker>
              <c:spPr>
                <a:solidFill>
                  <a:schemeClr val="accent4"/>
                </a:solidFill>
                <a:ln w="9525">
                  <a:noFill/>
                </a:ln>
                <a:effectLst/>
              </c:spPr>
            </c:marker>
            <c:bubble3D val="0"/>
            <c:extLst>
              <c:ext xmlns:c16="http://schemas.microsoft.com/office/drawing/2014/chart" uri="{C3380CC4-5D6E-409C-BE32-E72D297353CC}">
                <c16:uniqueId val="{00000023-7F18-4421-9D76-FC7C4833D4D7}"/>
              </c:ext>
            </c:extLst>
          </c:dPt>
          <c:dPt>
            <c:idx val="34"/>
            <c:marker>
              <c:spPr>
                <a:solidFill>
                  <a:srgbClr val="53565A"/>
                </a:solidFill>
                <a:ln w="9525">
                  <a:noFill/>
                </a:ln>
                <a:effectLst/>
              </c:spPr>
            </c:marker>
            <c:bubble3D val="0"/>
            <c:extLst>
              <c:ext xmlns:c16="http://schemas.microsoft.com/office/drawing/2014/chart" uri="{C3380CC4-5D6E-409C-BE32-E72D297353CC}">
                <c16:uniqueId val="{00000024-7F18-4421-9D76-FC7C4833D4D7}"/>
              </c:ext>
            </c:extLst>
          </c:dPt>
          <c:dPt>
            <c:idx val="35"/>
            <c:bubble3D val="0"/>
            <c:extLst>
              <c:ext xmlns:c16="http://schemas.microsoft.com/office/drawing/2014/chart" uri="{C3380CC4-5D6E-409C-BE32-E72D297353CC}">
                <c16:uniqueId val="{00000025-7F18-4421-9D76-FC7C4833D4D7}"/>
              </c:ext>
            </c:extLst>
          </c:dPt>
          <c:dPt>
            <c:idx val="36"/>
            <c:marker>
              <c:spPr>
                <a:solidFill>
                  <a:srgbClr val="00ABAB"/>
                </a:solidFill>
                <a:ln w="9525">
                  <a:noFill/>
                </a:ln>
                <a:effectLst/>
              </c:spPr>
            </c:marker>
            <c:bubble3D val="0"/>
            <c:extLst>
              <c:ext xmlns:c16="http://schemas.microsoft.com/office/drawing/2014/chart" uri="{C3380CC4-5D6E-409C-BE32-E72D297353CC}">
                <c16:uniqueId val="{00000026-7F18-4421-9D76-FC7C4833D4D7}"/>
              </c:ext>
            </c:extLst>
          </c:dPt>
          <c:dPt>
            <c:idx val="37"/>
            <c:marker>
              <c:spPr>
                <a:solidFill>
                  <a:srgbClr val="BFBFBF"/>
                </a:solidFill>
                <a:ln w="9525">
                  <a:noFill/>
                </a:ln>
                <a:effectLst/>
              </c:spPr>
            </c:marker>
            <c:bubble3D val="0"/>
            <c:extLst>
              <c:ext xmlns:c16="http://schemas.microsoft.com/office/drawing/2014/chart" uri="{C3380CC4-5D6E-409C-BE32-E72D297353CC}">
                <c16:uniqueId val="{00000027-7F18-4421-9D76-FC7C4833D4D7}"/>
              </c:ext>
            </c:extLst>
          </c:dPt>
          <c:dPt>
            <c:idx val="38"/>
            <c:marker>
              <c:spPr>
                <a:solidFill>
                  <a:schemeClr val="accent4"/>
                </a:solidFill>
                <a:ln w="9525">
                  <a:noFill/>
                </a:ln>
                <a:effectLst/>
              </c:spPr>
            </c:marker>
            <c:bubble3D val="0"/>
            <c:extLst>
              <c:ext xmlns:c16="http://schemas.microsoft.com/office/drawing/2014/chart" uri="{C3380CC4-5D6E-409C-BE32-E72D297353CC}">
                <c16:uniqueId val="{00000028-7F18-4421-9D76-FC7C4833D4D7}"/>
              </c:ext>
            </c:extLst>
          </c:dPt>
          <c:dPt>
            <c:idx val="39"/>
            <c:marker>
              <c:spPr>
                <a:solidFill>
                  <a:srgbClr val="53565A"/>
                </a:solidFill>
                <a:ln w="9525">
                  <a:noFill/>
                </a:ln>
                <a:effectLst/>
              </c:spPr>
            </c:marker>
            <c:bubble3D val="0"/>
            <c:extLst>
              <c:ext xmlns:c16="http://schemas.microsoft.com/office/drawing/2014/chart" uri="{C3380CC4-5D6E-409C-BE32-E72D297353CC}">
                <c16:uniqueId val="{00000029-7F18-4421-9D76-FC7C4833D4D7}"/>
              </c:ext>
            </c:extLst>
          </c:dPt>
          <c:dPt>
            <c:idx val="40"/>
            <c:bubble3D val="0"/>
            <c:extLst>
              <c:ext xmlns:c16="http://schemas.microsoft.com/office/drawing/2014/chart" uri="{C3380CC4-5D6E-409C-BE32-E72D297353CC}">
                <c16:uniqueId val="{0000002A-7F18-4421-9D76-FC7C4833D4D7}"/>
              </c:ext>
            </c:extLst>
          </c:dPt>
          <c:dPt>
            <c:idx val="41"/>
            <c:marker>
              <c:spPr>
                <a:solidFill>
                  <a:srgbClr val="00ABAB"/>
                </a:solidFill>
                <a:ln w="9525">
                  <a:noFill/>
                </a:ln>
                <a:effectLst/>
              </c:spPr>
            </c:marker>
            <c:bubble3D val="0"/>
            <c:extLst>
              <c:ext xmlns:c16="http://schemas.microsoft.com/office/drawing/2014/chart" uri="{C3380CC4-5D6E-409C-BE32-E72D297353CC}">
                <c16:uniqueId val="{0000002B-7F18-4421-9D76-FC7C4833D4D7}"/>
              </c:ext>
            </c:extLst>
          </c:dPt>
          <c:dPt>
            <c:idx val="42"/>
            <c:marker>
              <c:spPr>
                <a:solidFill>
                  <a:srgbClr val="BFBFBF"/>
                </a:solidFill>
                <a:ln w="9525">
                  <a:noFill/>
                </a:ln>
                <a:effectLst/>
              </c:spPr>
            </c:marker>
            <c:bubble3D val="0"/>
            <c:extLst>
              <c:ext xmlns:c16="http://schemas.microsoft.com/office/drawing/2014/chart" uri="{C3380CC4-5D6E-409C-BE32-E72D297353CC}">
                <c16:uniqueId val="{0000002C-7F18-4421-9D76-FC7C4833D4D7}"/>
              </c:ext>
            </c:extLst>
          </c:dPt>
          <c:dPt>
            <c:idx val="43"/>
            <c:marker>
              <c:spPr>
                <a:solidFill>
                  <a:schemeClr val="accent4"/>
                </a:solidFill>
                <a:ln w="9525">
                  <a:noFill/>
                </a:ln>
                <a:effectLst/>
              </c:spPr>
            </c:marker>
            <c:bubble3D val="0"/>
            <c:extLst>
              <c:ext xmlns:c16="http://schemas.microsoft.com/office/drawing/2014/chart" uri="{C3380CC4-5D6E-409C-BE32-E72D297353CC}">
                <c16:uniqueId val="{0000002D-7F18-4421-9D76-FC7C4833D4D7}"/>
              </c:ext>
            </c:extLst>
          </c:dPt>
          <c:dPt>
            <c:idx val="44"/>
            <c:marker>
              <c:spPr>
                <a:solidFill>
                  <a:srgbClr val="53565A"/>
                </a:solidFill>
                <a:ln w="9525">
                  <a:noFill/>
                </a:ln>
                <a:effectLst/>
              </c:spPr>
            </c:marker>
            <c:bubble3D val="0"/>
            <c:extLst>
              <c:ext xmlns:c16="http://schemas.microsoft.com/office/drawing/2014/chart" uri="{C3380CC4-5D6E-409C-BE32-E72D297353CC}">
                <c16:uniqueId val="{0000002E-7F18-4421-9D76-FC7C4833D4D7}"/>
              </c:ext>
            </c:extLst>
          </c:dPt>
          <c:dPt>
            <c:idx val="45"/>
            <c:bubble3D val="0"/>
            <c:extLst>
              <c:ext xmlns:c16="http://schemas.microsoft.com/office/drawing/2014/chart" uri="{C3380CC4-5D6E-409C-BE32-E72D297353CC}">
                <c16:uniqueId val="{0000002F-7F18-4421-9D76-FC7C4833D4D7}"/>
              </c:ext>
            </c:extLst>
          </c:dPt>
          <c:dPt>
            <c:idx val="46"/>
            <c:marker>
              <c:spPr>
                <a:solidFill>
                  <a:srgbClr val="00ABAB"/>
                </a:solidFill>
                <a:ln w="9525">
                  <a:noFill/>
                </a:ln>
                <a:effectLst/>
              </c:spPr>
            </c:marker>
            <c:bubble3D val="0"/>
            <c:extLst>
              <c:ext xmlns:c16="http://schemas.microsoft.com/office/drawing/2014/chart" uri="{C3380CC4-5D6E-409C-BE32-E72D297353CC}">
                <c16:uniqueId val="{00000030-7F18-4421-9D76-FC7C4833D4D7}"/>
              </c:ext>
            </c:extLst>
          </c:dPt>
          <c:dPt>
            <c:idx val="47"/>
            <c:marker>
              <c:spPr>
                <a:solidFill>
                  <a:srgbClr val="BFBFBF"/>
                </a:solidFill>
                <a:ln w="9525">
                  <a:noFill/>
                </a:ln>
                <a:effectLst/>
              </c:spPr>
            </c:marker>
            <c:bubble3D val="0"/>
            <c:extLst>
              <c:ext xmlns:c16="http://schemas.microsoft.com/office/drawing/2014/chart" uri="{C3380CC4-5D6E-409C-BE32-E72D297353CC}">
                <c16:uniqueId val="{00000031-7F18-4421-9D76-FC7C4833D4D7}"/>
              </c:ext>
            </c:extLst>
          </c:dPt>
          <c:dPt>
            <c:idx val="48"/>
            <c:marker>
              <c:spPr>
                <a:solidFill>
                  <a:schemeClr val="accent4"/>
                </a:solidFill>
                <a:ln w="9525">
                  <a:noFill/>
                </a:ln>
                <a:effectLst/>
              </c:spPr>
            </c:marker>
            <c:bubble3D val="0"/>
            <c:extLst>
              <c:ext xmlns:c16="http://schemas.microsoft.com/office/drawing/2014/chart" uri="{C3380CC4-5D6E-409C-BE32-E72D297353CC}">
                <c16:uniqueId val="{00000032-7F18-4421-9D76-FC7C4833D4D7}"/>
              </c:ext>
            </c:extLst>
          </c:dPt>
          <c:dPt>
            <c:idx val="49"/>
            <c:marker>
              <c:spPr>
                <a:solidFill>
                  <a:srgbClr val="53565A"/>
                </a:solidFill>
                <a:ln w="9525">
                  <a:noFill/>
                </a:ln>
                <a:effectLst/>
              </c:spPr>
            </c:marker>
            <c:bubble3D val="0"/>
            <c:extLst>
              <c:ext xmlns:c16="http://schemas.microsoft.com/office/drawing/2014/chart" uri="{C3380CC4-5D6E-409C-BE32-E72D297353CC}">
                <c16:uniqueId val="{00000033-7F18-4421-9D76-FC7C4833D4D7}"/>
              </c:ext>
            </c:extLst>
          </c:dPt>
          <c:dPt>
            <c:idx val="50"/>
            <c:bubble3D val="0"/>
            <c:extLst>
              <c:ext xmlns:c16="http://schemas.microsoft.com/office/drawing/2014/chart" uri="{C3380CC4-5D6E-409C-BE32-E72D297353CC}">
                <c16:uniqueId val="{00000034-7F18-4421-9D76-FC7C4833D4D7}"/>
              </c:ext>
            </c:extLst>
          </c:dPt>
          <c:dPt>
            <c:idx val="51"/>
            <c:marker>
              <c:spPr>
                <a:solidFill>
                  <a:srgbClr val="00ABAB"/>
                </a:solidFill>
                <a:ln w="9525">
                  <a:noFill/>
                </a:ln>
                <a:effectLst/>
              </c:spPr>
            </c:marker>
            <c:bubble3D val="0"/>
            <c:extLst>
              <c:ext xmlns:c16="http://schemas.microsoft.com/office/drawing/2014/chart" uri="{C3380CC4-5D6E-409C-BE32-E72D297353CC}">
                <c16:uniqueId val="{00000035-7F18-4421-9D76-FC7C4833D4D7}"/>
              </c:ext>
            </c:extLst>
          </c:dPt>
          <c:dPt>
            <c:idx val="52"/>
            <c:marker>
              <c:spPr>
                <a:solidFill>
                  <a:srgbClr val="BFBFBF"/>
                </a:solidFill>
                <a:ln w="9525">
                  <a:noFill/>
                </a:ln>
                <a:effectLst/>
              </c:spPr>
            </c:marker>
            <c:bubble3D val="0"/>
            <c:extLst>
              <c:ext xmlns:c16="http://schemas.microsoft.com/office/drawing/2014/chart" uri="{C3380CC4-5D6E-409C-BE32-E72D297353CC}">
                <c16:uniqueId val="{00000036-7F18-4421-9D76-FC7C4833D4D7}"/>
              </c:ext>
            </c:extLst>
          </c:dPt>
          <c:dPt>
            <c:idx val="53"/>
            <c:marker>
              <c:spPr>
                <a:solidFill>
                  <a:schemeClr val="accent4"/>
                </a:solidFill>
                <a:ln w="9525">
                  <a:noFill/>
                </a:ln>
                <a:effectLst/>
              </c:spPr>
            </c:marker>
            <c:bubble3D val="0"/>
            <c:extLst>
              <c:ext xmlns:c16="http://schemas.microsoft.com/office/drawing/2014/chart" uri="{C3380CC4-5D6E-409C-BE32-E72D297353CC}">
                <c16:uniqueId val="{00000037-7F18-4421-9D76-FC7C4833D4D7}"/>
              </c:ext>
            </c:extLst>
          </c:dPt>
          <c:dPt>
            <c:idx val="54"/>
            <c:marker>
              <c:spPr>
                <a:solidFill>
                  <a:srgbClr val="53565A"/>
                </a:solidFill>
                <a:ln w="9525">
                  <a:noFill/>
                </a:ln>
                <a:effectLst/>
              </c:spPr>
            </c:marker>
            <c:bubble3D val="0"/>
            <c:extLst>
              <c:ext xmlns:c16="http://schemas.microsoft.com/office/drawing/2014/chart" uri="{C3380CC4-5D6E-409C-BE32-E72D297353CC}">
                <c16:uniqueId val="{00000038-7F18-4421-9D76-FC7C4833D4D7}"/>
              </c:ext>
            </c:extLst>
          </c:dPt>
          <c:dPt>
            <c:idx val="55"/>
            <c:bubble3D val="0"/>
            <c:extLst>
              <c:ext xmlns:c16="http://schemas.microsoft.com/office/drawing/2014/chart" uri="{C3380CC4-5D6E-409C-BE32-E72D297353CC}">
                <c16:uniqueId val="{00000039-7F18-4421-9D76-FC7C4833D4D7}"/>
              </c:ext>
            </c:extLst>
          </c:dPt>
          <c:dPt>
            <c:idx val="56"/>
            <c:marker>
              <c:spPr>
                <a:solidFill>
                  <a:srgbClr val="00ABAB"/>
                </a:solidFill>
                <a:ln w="9525">
                  <a:noFill/>
                </a:ln>
                <a:effectLst/>
              </c:spPr>
            </c:marker>
            <c:bubble3D val="0"/>
            <c:extLst>
              <c:ext xmlns:c16="http://schemas.microsoft.com/office/drawing/2014/chart" uri="{C3380CC4-5D6E-409C-BE32-E72D297353CC}">
                <c16:uniqueId val="{0000003A-7F18-4421-9D76-FC7C4833D4D7}"/>
              </c:ext>
            </c:extLst>
          </c:dPt>
          <c:dPt>
            <c:idx val="57"/>
            <c:marker>
              <c:spPr>
                <a:solidFill>
                  <a:srgbClr val="BFBFBF"/>
                </a:solidFill>
                <a:ln w="9525">
                  <a:noFill/>
                </a:ln>
                <a:effectLst/>
              </c:spPr>
            </c:marker>
            <c:bubble3D val="0"/>
            <c:extLst>
              <c:ext xmlns:c16="http://schemas.microsoft.com/office/drawing/2014/chart" uri="{C3380CC4-5D6E-409C-BE32-E72D297353CC}">
                <c16:uniqueId val="{0000003B-7F18-4421-9D76-FC7C4833D4D7}"/>
              </c:ext>
            </c:extLst>
          </c:dPt>
          <c:dPt>
            <c:idx val="58"/>
            <c:marker>
              <c:spPr>
                <a:solidFill>
                  <a:schemeClr val="accent4"/>
                </a:solidFill>
                <a:ln w="9525">
                  <a:noFill/>
                </a:ln>
                <a:effectLst/>
              </c:spPr>
            </c:marker>
            <c:bubble3D val="0"/>
            <c:extLst>
              <c:ext xmlns:c16="http://schemas.microsoft.com/office/drawing/2014/chart" uri="{C3380CC4-5D6E-409C-BE32-E72D297353CC}">
                <c16:uniqueId val="{0000003C-7F18-4421-9D76-FC7C4833D4D7}"/>
              </c:ext>
            </c:extLst>
          </c:dPt>
          <c:dPt>
            <c:idx val="59"/>
            <c:marker>
              <c:spPr>
                <a:solidFill>
                  <a:srgbClr val="53565A"/>
                </a:solidFill>
                <a:ln w="9525">
                  <a:noFill/>
                </a:ln>
                <a:effectLst/>
              </c:spPr>
            </c:marker>
            <c:bubble3D val="0"/>
            <c:extLst>
              <c:ext xmlns:c16="http://schemas.microsoft.com/office/drawing/2014/chart" uri="{C3380CC4-5D6E-409C-BE32-E72D297353CC}">
                <c16:uniqueId val="{0000003D-7F18-4421-9D76-FC7C4833D4D7}"/>
              </c:ext>
            </c:extLst>
          </c:dPt>
          <c:dPt>
            <c:idx val="60"/>
            <c:bubble3D val="0"/>
            <c:extLst>
              <c:ext xmlns:c16="http://schemas.microsoft.com/office/drawing/2014/chart" uri="{C3380CC4-5D6E-409C-BE32-E72D297353CC}">
                <c16:uniqueId val="{0000003E-7F18-4421-9D76-FC7C4833D4D7}"/>
              </c:ext>
            </c:extLst>
          </c:dPt>
          <c:dPt>
            <c:idx val="61"/>
            <c:marker>
              <c:spPr>
                <a:solidFill>
                  <a:srgbClr val="00ABAB"/>
                </a:solidFill>
                <a:ln w="9525">
                  <a:noFill/>
                </a:ln>
                <a:effectLst/>
              </c:spPr>
            </c:marker>
            <c:bubble3D val="0"/>
            <c:extLst>
              <c:ext xmlns:c16="http://schemas.microsoft.com/office/drawing/2014/chart" uri="{C3380CC4-5D6E-409C-BE32-E72D297353CC}">
                <c16:uniqueId val="{0000003F-7F18-4421-9D76-FC7C4833D4D7}"/>
              </c:ext>
            </c:extLst>
          </c:dPt>
          <c:dPt>
            <c:idx val="62"/>
            <c:marker>
              <c:spPr>
                <a:solidFill>
                  <a:srgbClr val="BFBFBF"/>
                </a:solidFill>
                <a:ln w="9525">
                  <a:noFill/>
                </a:ln>
                <a:effectLst/>
              </c:spPr>
            </c:marker>
            <c:bubble3D val="0"/>
            <c:extLst>
              <c:ext xmlns:c16="http://schemas.microsoft.com/office/drawing/2014/chart" uri="{C3380CC4-5D6E-409C-BE32-E72D297353CC}">
                <c16:uniqueId val="{00000040-7F18-4421-9D76-FC7C4833D4D7}"/>
              </c:ext>
            </c:extLst>
          </c:dPt>
          <c:dPt>
            <c:idx val="63"/>
            <c:marker>
              <c:spPr>
                <a:solidFill>
                  <a:schemeClr val="accent4"/>
                </a:solidFill>
                <a:ln w="9525">
                  <a:noFill/>
                </a:ln>
                <a:effectLst/>
              </c:spPr>
            </c:marker>
            <c:bubble3D val="0"/>
            <c:extLst>
              <c:ext xmlns:c16="http://schemas.microsoft.com/office/drawing/2014/chart" uri="{C3380CC4-5D6E-409C-BE32-E72D297353CC}">
                <c16:uniqueId val="{00000041-7F18-4421-9D76-FC7C4833D4D7}"/>
              </c:ext>
            </c:extLst>
          </c:dPt>
          <c:dPt>
            <c:idx val="64"/>
            <c:marker>
              <c:spPr>
                <a:solidFill>
                  <a:srgbClr val="53565A"/>
                </a:solidFill>
                <a:ln w="9525">
                  <a:noFill/>
                </a:ln>
                <a:effectLst/>
              </c:spPr>
            </c:marker>
            <c:bubble3D val="0"/>
            <c:extLst>
              <c:ext xmlns:c16="http://schemas.microsoft.com/office/drawing/2014/chart" uri="{C3380CC4-5D6E-409C-BE32-E72D297353CC}">
                <c16:uniqueId val="{00000042-7F18-4421-9D76-FC7C4833D4D7}"/>
              </c:ext>
            </c:extLst>
          </c:dPt>
          <c:dPt>
            <c:idx val="65"/>
            <c:bubble3D val="0"/>
            <c:extLst>
              <c:ext xmlns:c16="http://schemas.microsoft.com/office/drawing/2014/chart" uri="{C3380CC4-5D6E-409C-BE32-E72D297353CC}">
                <c16:uniqueId val="{00000043-7F18-4421-9D76-FC7C4833D4D7}"/>
              </c:ext>
            </c:extLst>
          </c:dPt>
          <c:dPt>
            <c:idx val="66"/>
            <c:marker>
              <c:spPr>
                <a:solidFill>
                  <a:srgbClr val="00ABAB"/>
                </a:solidFill>
                <a:ln w="9525">
                  <a:noFill/>
                </a:ln>
                <a:effectLst/>
              </c:spPr>
            </c:marker>
            <c:bubble3D val="0"/>
            <c:extLst>
              <c:ext xmlns:c16="http://schemas.microsoft.com/office/drawing/2014/chart" uri="{C3380CC4-5D6E-409C-BE32-E72D297353CC}">
                <c16:uniqueId val="{00000044-7F18-4421-9D76-FC7C4833D4D7}"/>
              </c:ext>
            </c:extLst>
          </c:dPt>
          <c:dPt>
            <c:idx val="67"/>
            <c:marker>
              <c:spPr>
                <a:solidFill>
                  <a:srgbClr val="BFBFBF"/>
                </a:solidFill>
                <a:ln w="9525">
                  <a:noFill/>
                </a:ln>
                <a:effectLst/>
              </c:spPr>
            </c:marker>
            <c:bubble3D val="0"/>
            <c:extLst>
              <c:ext xmlns:c16="http://schemas.microsoft.com/office/drawing/2014/chart" uri="{C3380CC4-5D6E-409C-BE32-E72D297353CC}">
                <c16:uniqueId val="{00000045-7F18-4421-9D76-FC7C4833D4D7}"/>
              </c:ext>
            </c:extLst>
          </c:dPt>
          <c:dPt>
            <c:idx val="68"/>
            <c:marker>
              <c:spPr>
                <a:solidFill>
                  <a:schemeClr val="accent4"/>
                </a:solidFill>
                <a:ln w="9525">
                  <a:noFill/>
                </a:ln>
                <a:effectLst/>
              </c:spPr>
            </c:marker>
            <c:bubble3D val="0"/>
            <c:extLst>
              <c:ext xmlns:c16="http://schemas.microsoft.com/office/drawing/2014/chart" uri="{C3380CC4-5D6E-409C-BE32-E72D297353CC}">
                <c16:uniqueId val="{00000046-7F18-4421-9D76-FC7C4833D4D7}"/>
              </c:ext>
            </c:extLst>
          </c:dPt>
          <c:dPt>
            <c:idx val="69"/>
            <c:marker>
              <c:spPr>
                <a:solidFill>
                  <a:srgbClr val="53565A"/>
                </a:solidFill>
                <a:ln w="9525">
                  <a:noFill/>
                </a:ln>
                <a:effectLst/>
              </c:spPr>
            </c:marker>
            <c:bubble3D val="0"/>
            <c:extLst>
              <c:ext xmlns:c16="http://schemas.microsoft.com/office/drawing/2014/chart" uri="{C3380CC4-5D6E-409C-BE32-E72D297353CC}">
                <c16:uniqueId val="{00000047-7F18-4421-9D76-FC7C4833D4D7}"/>
              </c:ext>
            </c:extLst>
          </c:dPt>
          <c:dPt>
            <c:idx val="70"/>
            <c:bubble3D val="0"/>
            <c:extLst>
              <c:ext xmlns:c16="http://schemas.microsoft.com/office/drawing/2014/chart" uri="{C3380CC4-5D6E-409C-BE32-E72D297353CC}">
                <c16:uniqueId val="{00000048-7F18-4421-9D76-FC7C4833D4D7}"/>
              </c:ext>
            </c:extLst>
          </c:dPt>
          <c:dPt>
            <c:idx val="71"/>
            <c:marker>
              <c:spPr>
                <a:solidFill>
                  <a:srgbClr val="00ABAB"/>
                </a:solidFill>
                <a:ln w="9525">
                  <a:noFill/>
                </a:ln>
                <a:effectLst/>
              </c:spPr>
            </c:marker>
            <c:bubble3D val="0"/>
            <c:extLst>
              <c:ext xmlns:c16="http://schemas.microsoft.com/office/drawing/2014/chart" uri="{C3380CC4-5D6E-409C-BE32-E72D297353CC}">
                <c16:uniqueId val="{00000049-7F18-4421-9D76-FC7C4833D4D7}"/>
              </c:ext>
            </c:extLst>
          </c:dPt>
          <c:dPt>
            <c:idx val="72"/>
            <c:marker>
              <c:spPr>
                <a:solidFill>
                  <a:srgbClr val="BFBFBF"/>
                </a:solidFill>
                <a:ln w="9525">
                  <a:noFill/>
                </a:ln>
                <a:effectLst/>
              </c:spPr>
            </c:marker>
            <c:bubble3D val="0"/>
            <c:extLst>
              <c:ext xmlns:c16="http://schemas.microsoft.com/office/drawing/2014/chart" uri="{C3380CC4-5D6E-409C-BE32-E72D297353CC}">
                <c16:uniqueId val="{0000004A-7F18-4421-9D76-FC7C4833D4D7}"/>
              </c:ext>
            </c:extLst>
          </c:dPt>
          <c:dPt>
            <c:idx val="73"/>
            <c:marker>
              <c:spPr>
                <a:solidFill>
                  <a:schemeClr val="accent4"/>
                </a:solidFill>
                <a:ln w="9525">
                  <a:noFill/>
                </a:ln>
                <a:effectLst/>
              </c:spPr>
            </c:marker>
            <c:bubble3D val="0"/>
            <c:extLst>
              <c:ext xmlns:c16="http://schemas.microsoft.com/office/drawing/2014/chart" uri="{C3380CC4-5D6E-409C-BE32-E72D297353CC}">
                <c16:uniqueId val="{0000004B-7F18-4421-9D76-FC7C4833D4D7}"/>
              </c:ext>
            </c:extLst>
          </c:dPt>
          <c:dPt>
            <c:idx val="74"/>
            <c:marker>
              <c:spPr>
                <a:solidFill>
                  <a:srgbClr val="53565A"/>
                </a:solidFill>
                <a:ln w="9525">
                  <a:noFill/>
                </a:ln>
                <a:effectLst/>
              </c:spPr>
            </c:marker>
            <c:bubble3D val="0"/>
            <c:extLst>
              <c:ext xmlns:c16="http://schemas.microsoft.com/office/drawing/2014/chart" uri="{C3380CC4-5D6E-409C-BE32-E72D297353CC}">
                <c16:uniqueId val="{0000004C-7F18-4421-9D76-FC7C4833D4D7}"/>
              </c:ext>
            </c:extLst>
          </c:dPt>
          <c:dPt>
            <c:idx val="75"/>
            <c:bubble3D val="0"/>
            <c:extLst>
              <c:ext xmlns:c16="http://schemas.microsoft.com/office/drawing/2014/chart" uri="{C3380CC4-5D6E-409C-BE32-E72D297353CC}">
                <c16:uniqueId val="{0000004D-7F18-4421-9D76-FC7C4833D4D7}"/>
              </c:ext>
            </c:extLst>
          </c:dPt>
          <c:dPt>
            <c:idx val="76"/>
            <c:marker>
              <c:spPr>
                <a:solidFill>
                  <a:srgbClr val="00ABAB"/>
                </a:solidFill>
                <a:ln w="9525">
                  <a:noFill/>
                </a:ln>
                <a:effectLst/>
              </c:spPr>
            </c:marker>
            <c:bubble3D val="0"/>
            <c:extLst>
              <c:ext xmlns:c16="http://schemas.microsoft.com/office/drawing/2014/chart" uri="{C3380CC4-5D6E-409C-BE32-E72D297353CC}">
                <c16:uniqueId val="{0000004E-7F18-4421-9D76-FC7C4833D4D7}"/>
              </c:ext>
            </c:extLst>
          </c:dPt>
          <c:dPt>
            <c:idx val="77"/>
            <c:marker>
              <c:spPr>
                <a:solidFill>
                  <a:srgbClr val="BFBFBF"/>
                </a:solidFill>
                <a:ln w="9525">
                  <a:noFill/>
                </a:ln>
                <a:effectLst/>
              </c:spPr>
            </c:marker>
            <c:bubble3D val="0"/>
            <c:extLst>
              <c:ext xmlns:c16="http://schemas.microsoft.com/office/drawing/2014/chart" uri="{C3380CC4-5D6E-409C-BE32-E72D297353CC}">
                <c16:uniqueId val="{0000004F-7F18-4421-9D76-FC7C4833D4D7}"/>
              </c:ext>
            </c:extLst>
          </c:dPt>
          <c:dPt>
            <c:idx val="78"/>
            <c:marker>
              <c:spPr>
                <a:solidFill>
                  <a:schemeClr val="accent4"/>
                </a:solidFill>
                <a:ln w="9525">
                  <a:noFill/>
                </a:ln>
                <a:effectLst/>
              </c:spPr>
            </c:marker>
            <c:bubble3D val="0"/>
            <c:extLst>
              <c:ext xmlns:c16="http://schemas.microsoft.com/office/drawing/2014/chart" uri="{C3380CC4-5D6E-409C-BE32-E72D297353CC}">
                <c16:uniqueId val="{00000050-7F18-4421-9D76-FC7C4833D4D7}"/>
              </c:ext>
            </c:extLst>
          </c:dPt>
          <c:dPt>
            <c:idx val="79"/>
            <c:marker>
              <c:spPr>
                <a:solidFill>
                  <a:srgbClr val="53565A"/>
                </a:solidFill>
                <a:ln w="9525">
                  <a:noFill/>
                </a:ln>
                <a:effectLst/>
              </c:spPr>
            </c:marker>
            <c:bubble3D val="0"/>
            <c:extLst>
              <c:ext xmlns:c16="http://schemas.microsoft.com/office/drawing/2014/chart" uri="{C3380CC4-5D6E-409C-BE32-E72D297353CC}">
                <c16:uniqueId val="{00000051-7F18-4421-9D76-FC7C4833D4D7}"/>
              </c:ext>
            </c:extLst>
          </c:dPt>
          <c:dPt>
            <c:idx val="80"/>
            <c:bubble3D val="0"/>
            <c:extLst>
              <c:ext xmlns:c16="http://schemas.microsoft.com/office/drawing/2014/chart" uri="{C3380CC4-5D6E-409C-BE32-E72D297353CC}">
                <c16:uniqueId val="{00000052-7F18-4421-9D76-FC7C4833D4D7}"/>
              </c:ext>
            </c:extLst>
          </c:dPt>
          <c:dPt>
            <c:idx val="81"/>
            <c:marker>
              <c:spPr>
                <a:solidFill>
                  <a:srgbClr val="00ABAB"/>
                </a:solidFill>
                <a:ln w="9525">
                  <a:noFill/>
                </a:ln>
                <a:effectLst/>
              </c:spPr>
            </c:marker>
            <c:bubble3D val="0"/>
            <c:extLst>
              <c:ext xmlns:c16="http://schemas.microsoft.com/office/drawing/2014/chart" uri="{C3380CC4-5D6E-409C-BE32-E72D297353CC}">
                <c16:uniqueId val="{00000053-7F18-4421-9D76-FC7C4833D4D7}"/>
              </c:ext>
            </c:extLst>
          </c:dPt>
          <c:dPt>
            <c:idx val="82"/>
            <c:marker>
              <c:spPr>
                <a:solidFill>
                  <a:srgbClr val="BFBFBF"/>
                </a:solidFill>
                <a:ln w="9525">
                  <a:noFill/>
                </a:ln>
                <a:effectLst/>
              </c:spPr>
            </c:marker>
            <c:bubble3D val="0"/>
            <c:extLst>
              <c:ext xmlns:c16="http://schemas.microsoft.com/office/drawing/2014/chart" uri="{C3380CC4-5D6E-409C-BE32-E72D297353CC}">
                <c16:uniqueId val="{00000054-7F18-4421-9D76-FC7C4833D4D7}"/>
              </c:ext>
            </c:extLst>
          </c:dPt>
          <c:dPt>
            <c:idx val="83"/>
            <c:marker>
              <c:spPr>
                <a:solidFill>
                  <a:schemeClr val="accent4"/>
                </a:solidFill>
                <a:ln w="9525">
                  <a:noFill/>
                </a:ln>
                <a:effectLst/>
              </c:spPr>
            </c:marker>
            <c:bubble3D val="0"/>
            <c:extLst>
              <c:ext xmlns:c16="http://schemas.microsoft.com/office/drawing/2014/chart" uri="{C3380CC4-5D6E-409C-BE32-E72D297353CC}">
                <c16:uniqueId val="{00000055-7F18-4421-9D76-FC7C4833D4D7}"/>
              </c:ext>
            </c:extLst>
          </c:dPt>
          <c:dPt>
            <c:idx val="84"/>
            <c:marker>
              <c:spPr>
                <a:solidFill>
                  <a:srgbClr val="53565A"/>
                </a:solidFill>
                <a:ln w="9525">
                  <a:noFill/>
                </a:ln>
                <a:effectLst/>
              </c:spPr>
            </c:marker>
            <c:bubble3D val="0"/>
            <c:extLst>
              <c:ext xmlns:c16="http://schemas.microsoft.com/office/drawing/2014/chart" uri="{C3380CC4-5D6E-409C-BE32-E72D297353CC}">
                <c16:uniqueId val="{00000056-7F18-4421-9D76-FC7C4833D4D7}"/>
              </c:ext>
            </c:extLst>
          </c:dPt>
          <c:dPt>
            <c:idx val="85"/>
            <c:bubble3D val="0"/>
            <c:extLst>
              <c:ext xmlns:c16="http://schemas.microsoft.com/office/drawing/2014/chart" uri="{C3380CC4-5D6E-409C-BE32-E72D297353CC}">
                <c16:uniqueId val="{00000057-7F18-4421-9D76-FC7C4833D4D7}"/>
              </c:ext>
            </c:extLst>
          </c:dPt>
          <c:dPt>
            <c:idx val="86"/>
            <c:marker>
              <c:spPr>
                <a:solidFill>
                  <a:srgbClr val="00ABAB"/>
                </a:solidFill>
                <a:ln w="9525">
                  <a:noFill/>
                </a:ln>
                <a:effectLst/>
              </c:spPr>
            </c:marker>
            <c:bubble3D val="0"/>
            <c:extLst>
              <c:ext xmlns:c16="http://schemas.microsoft.com/office/drawing/2014/chart" uri="{C3380CC4-5D6E-409C-BE32-E72D297353CC}">
                <c16:uniqueId val="{00000058-7F18-4421-9D76-FC7C4833D4D7}"/>
              </c:ext>
            </c:extLst>
          </c:dPt>
          <c:dPt>
            <c:idx val="87"/>
            <c:marker>
              <c:spPr>
                <a:solidFill>
                  <a:srgbClr val="BFBFBF"/>
                </a:solidFill>
                <a:ln w="9525">
                  <a:noFill/>
                </a:ln>
                <a:effectLst/>
              </c:spPr>
            </c:marker>
            <c:bubble3D val="0"/>
            <c:extLst>
              <c:ext xmlns:c16="http://schemas.microsoft.com/office/drawing/2014/chart" uri="{C3380CC4-5D6E-409C-BE32-E72D297353CC}">
                <c16:uniqueId val="{00000059-7F18-4421-9D76-FC7C4833D4D7}"/>
              </c:ext>
            </c:extLst>
          </c:dPt>
          <c:dPt>
            <c:idx val="88"/>
            <c:marker>
              <c:spPr>
                <a:solidFill>
                  <a:schemeClr val="accent4"/>
                </a:solidFill>
                <a:ln w="9525">
                  <a:noFill/>
                </a:ln>
                <a:effectLst/>
              </c:spPr>
            </c:marker>
            <c:bubble3D val="0"/>
            <c:extLst>
              <c:ext xmlns:c16="http://schemas.microsoft.com/office/drawing/2014/chart" uri="{C3380CC4-5D6E-409C-BE32-E72D297353CC}">
                <c16:uniqueId val="{0000005A-7F18-4421-9D76-FC7C4833D4D7}"/>
              </c:ext>
            </c:extLst>
          </c:dPt>
          <c:dPt>
            <c:idx val="89"/>
            <c:marker>
              <c:spPr>
                <a:solidFill>
                  <a:srgbClr val="53565A"/>
                </a:solidFill>
                <a:ln w="9525">
                  <a:noFill/>
                </a:ln>
                <a:effectLst/>
              </c:spPr>
            </c:marker>
            <c:bubble3D val="0"/>
            <c:extLst>
              <c:ext xmlns:c16="http://schemas.microsoft.com/office/drawing/2014/chart" uri="{C3380CC4-5D6E-409C-BE32-E72D297353CC}">
                <c16:uniqueId val="{0000005B-7F18-4421-9D76-FC7C4833D4D7}"/>
              </c:ext>
            </c:extLst>
          </c:dPt>
          <c:dPt>
            <c:idx val="90"/>
            <c:bubble3D val="0"/>
            <c:extLst>
              <c:ext xmlns:c16="http://schemas.microsoft.com/office/drawing/2014/chart" uri="{C3380CC4-5D6E-409C-BE32-E72D297353CC}">
                <c16:uniqueId val="{0000005C-7F18-4421-9D76-FC7C4833D4D7}"/>
              </c:ext>
            </c:extLst>
          </c:dPt>
          <c:dPt>
            <c:idx val="91"/>
            <c:marker>
              <c:spPr>
                <a:solidFill>
                  <a:srgbClr val="00ABAB"/>
                </a:solidFill>
                <a:ln w="9525">
                  <a:noFill/>
                </a:ln>
                <a:effectLst/>
              </c:spPr>
            </c:marker>
            <c:bubble3D val="0"/>
            <c:extLst>
              <c:ext xmlns:c16="http://schemas.microsoft.com/office/drawing/2014/chart" uri="{C3380CC4-5D6E-409C-BE32-E72D297353CC}">
                <c16:uniqueId val="{0000005D-7F18-4421-9D76-FC7C4833D4D7}"/>
              </c:ext>
            </c:extLst>
          </c:dPt>
          <c:dPt>
            <c:idx val="92"/>
            <c:marker>
              <c:spPr>
                <a:solidFill>
                  <a:srgbClr val="BFBFBF"/>
                </a:solidFill>
                <a:ln w="9525">
                  <a:noFill/>
                </a:ln>
                <a:effectLst/>
              </c:spPr>
            </c:marker>
            <c:bubble3D val="0"/>
            <c:extLst>
              <c:ext xmlns:c16="http://schemas.microsoft.com/office/drawing/2014/chart" uri="{C3380CC4-5D6E-409C-BE32-E72D297353CC}">
                <c16:uniqueId val="{0000005E-7F18-4421-9D76-FC7C4833D4D7}"/>
              </c:ext>
            </c:extLst>
          </c:dPt>
          <c:dPt>
            <c:idx val="93"/>
            <c:marker>
              <c:spPr>
                <a:solidFill>
                  <a:schemeClr val="accent4"/>
                </a:solidFill>
                <a:ln w="9525">
                  <a:noFill/>
                </a:ln>
                <a:effectLst/>
              </c:spPr>
            </c:marker>
            <c:bubble3D val="0"/>
            <c:extLst>
              <c:ext xmlns:c16="http://schemas.microsoft.com/office/drawing/2014/chart" uri="{C3380CC4-5D6E-409C-BE32-E72D297353CC}">
                <c16:uniqueId val="{0000005F-7F18-4421-9D76-FC7C4833D4D7}"/>
              </c:ext>
            </c:extLst>
          </c:dPt>
          <c:dPt>
            <c:idx val="94"/>
            <c:marker>
              <c:spPr>
                <a:solidFill>
                  <a:srgbClr val="53565A"/>
                </a:solidFill>
                <a:ln w="9525">
                  <a:noFill/>
                </a:ln>
                <a:effectLst/>
              </c:spPr>
            </c:marker>
            <c:bubble3D val="0"/>
            <c:extLst>
              <c:ext xmlns:c16="http://schemas.microsoft.com/office/drawing/2014/chart" uri="{C3380CC4-5D6E-409C-BE32-E72D297353CC}">
                <c16:uniqueId val="{00000060-7F18-4421-9D76-FC7C4833D4D7}"/>
              </c:ext>
            </c:extLst>
          </c:dPt>
          <c:dPt>
            <c:idx val="95"/>
            <c:bubble3D val="0"/>
            <c:extLst>
              <c:ext xmlns:c16="http://schemas.microsoft.com/office/drawing/2014/chart" uri="{C3380CC4-5D6E-409C-BE32-E72D297353CC}">
                <c16:uniqueId val="{00000061-7F18-4421-9D76-FC7C4833D4D7}"/>
              </c:ext>
            </c:extLst>
          </c:dPt>
          <c:dPt>
            <c:idx val="96"/>
            <c:marker>
              <c:spPr>
                <a:solidFill>
                  <a:srgbClr val="00ABAB"/>
                </a:solidFill>
                <a:ln w="9525">
                  <a:noFill/>
                </a:ln>
                <a:effectLst/>
              </c:spPr>
            </c:marker>
            <c:bubble3D val="0"/>
            <c:extLst>
              <c:ext xmlns:c16="http://schemas.microsoft.com/office/drawing/2014/chart" uri="{C3380CC4-5D6E-409C-BE32-E72D297353CC}">
                <c16:uniqueId val="{00000062-7F18-4421-9D76-FC7C4833D4D7}"/>
              </c:ext>
            </c:extLst>
          </c:dPt>
          <c:dPt>
            <c:idx val="97"/>
            <c:marker>
              <c:spPr>
                <a:solidFill>
                  <a:srgbClr val="BFBFBF"/>
                </a:solidFill>
                <a:ln w="9525">
                  <a:noFill/>
                </a:ln>
                <a:effectLst/>
              </c:spPr>
            </c:marker>
            <c:bubble3D val="0"/>
            <c:extLst>
              <c:ext xmlns:c16="http://schemas.microsoft.com/office/drawing/2014/chart" uri="{C3380CC4-5D6E-409C-BE32-E72D297353CC}">
                <c16:uniqueId val="{00000063-7F18-4421-9D76-FC7C4833D4D7}"/>
              </c:ext>
            </c:extLst>
          </c:dPt>
          <c:dPt>
            <c:idx val="98"/>
            <c:marker>
              <c:spPr>
                <a:solidFill>
                  <a:schemeClr val="accent4"/>
                </a:solidFill>
                <a:ln w="9525">
                  <a:noFill/>
                </a:ln>
                <a:effectLst/>
              </c:spPr>
            </c:marker>
            <c:bubble3D val="0"/>
            <c:extLst>
              <c:ext xmlns:c16="http://schemas.microsoft.com/office/drawing/2014/chart" uri="{C3380CC4-5D6E-409C-BE32-E72D297353CC}">
                <c16:uniqueId val="{00000064-7F18-4421-9D76-FC7C4833D4D7}"/>
              </c:ext>
            </c:extLst>
          </c:dPt>
          <c:dPt>
            <c:idx val="99"/>
            <c:marker>
              <c:spPr>
                <a:solidFill>
                  <a:srgbClr val="53565A"/>
                </a:solidFill>
                <a:ln w="9525">
                  <a:noFill/>
                </a:ln>
                <a:effectLst/>
              </c:spPr>
            </c:marker>
            <c:bubble3D val="0"/>
            <c:extLst>
              <c:ext xmlns:c16="http://schemas.microsoft.com/office/drawing/2014/chart" uri="{C3380CC4-5D6E-409C-BE32-E72D297353CC}">
                <c16:uniqueId val="{00000065-7F18-4421-9D76-FC7C4833D4D7}"/>
              </c:ext>
            </c:extLst>
          </c:dPt>
          <c:val>
            <c:numRef>
              <c:f>'Comp to Prev_All FOEs (15-20)'!$DE$25:$GZ$25</c:f>
              <c:numCache>
                <c:formatCode>#,##0</c:formatCode>
                <c:ptCount val="100"/>
                <c:pt idx="0">
                  <c:v>14704.586369422681</c:v>
                </c:pt>
                <c:pt idx="1">
                  <c:v>14663.888078865741</c:v>
                </c:pt>
                <c:pt idx="2">
                  <c:v>15681.051490404159</c:v>
                </c:pt>
                <c:pt idx="3">
                  <c:v>15651.137735870756</c:v>
                </c:pt>
                <c:pt idx="4">
                  <c:v>15483.324533266088</c:v>
                </c:pt>
                <c:pt idx="5">
                  <c:v>21232.867704243581</c:v>
                </c:pt>
                <c:pt idx="6">
                  <c:v>21090.692027716552</c:v>
                </c:pt>
                <c:pt idx="7">
                  <c:v>22090.312163701856</c:v>
                </c:pt>
                <c:pt idx="8">
                  <c:v>23441.450951483217</c:v>
                </c:pt>
                <c:pt idx="9">
                  <c:v>22261.006806769372</c:v>
                </c:pt>
                <c:pt idx="10">
                  <c:v>19956.268500205053</c:v>
                </c:pt>
                <c:pt idx="11">
                  <c:v>20248.741260554823</c:v>
                </c:pt>
                <c:pt idx="12">
                  <c:v>20962.313961039046</c:v>
                </c:pt>
                <c:pt idx="13">
                  <c:v>20908.450345852529</c:v>
                </c:pt>
                <c:pt idx="14">
                  <c:v>20028.687434699634</c:v>
                </c:pt>
                <c:pt idx="15">
                  <c:v>17740.948623076369</c:v>
                </c:pt>
                <c:pt idx="16">
                  <c:v>16869.266143085566</c:v>
                </c:pt>
                <c:pt idx="17">
                  <c:v>16312.920294780677</c:v>
                </c:pt>
                <c:pt idx="18">
                  <c:v>17026.122363245504</c:v>
                </c:pt>
                <c:pt idx="19">
                  <c:v>16546.455831111529</c:v>
                </c:pt>
                <c:pt idx="20">
                  <c:v>18511.301101502278</c:v>
                </c:pt>
                <c:pt idx="21">
                  <c:v>19701.470318735341</c:v>
                </c:pt>
                <c:pt idx="22">
                  <c:v>20157.76406319777</c:v>
                </c:pt>
                <c:pt idx="23">
                  <c:v>20893.109880185038</c:v>
                </c:pt>
                <c:pt idx="24">
                  <c:v>20680.975865997581</c:v>
                </c:pt>
                <c:pt idx="25">
                  <c:v>16792.505069420822</c:v>
                </c:pt>
                <c:pt idx="26">
                  <c:v>17126.650553872973</c:v>
                </c:pt>
                <c:pt idx="27">
                  <c:v>16811.641462901553</c:v>
                </c:pt>
                <c:pt idx="28">
                  <c:v>17405.587853836878</c:v>
                </c:pt>
                <c:pt idx="29">
                  <c:v>17542.47353004582</c:v>
                </c:pt>
                <c:pt idx="30">
                  <c:v>21808.540764648096</c:v>
                </c:pt>
                <c:pt idx="31">
                  <c:v>21358.620679120941</c:v>
                </c:pt>
                <c:pt idx="32">
                  <c:v>23835.291356996004</c:v>
                </c:pt>
                <c:pt idx="33">
                  <c:v>22507.483332486809</c:v>
                </c:pt>
                <c:pt idx="34">
                  <c:v>21520.286610564948</c:v>
                </c:pt>
                <c:pt idx="35">
                  <c:v>30086.542645471007</c:v>
                </c:pt>
                <c:pt idx="36">
                  <c:v>27387.762896228622</c:v>
                </c:pt>
                <c:pt idx="37">
                  <c:v>28060.440610177782</c:v>
                </c:pt>
                <c:pt idx="38">
                  <c:v>27629.095326980034</c:v>
                </c:pt>
                <c:pt idx="39">
                  <c:v>27448.004449713757</c:v>
                </c:pt>
                <c:pt idx="40">
                  <c:v>33006.254353477787</c:v>
                </c:pt>
                <c:pt idx="41">
                  <c:v>32708.565418696737</c:v>
                </c:pt>
                <c:pt idx="42">
                  <c:v>32318.216063771739</c:v>
                </c:pt>
                <c:pt idx="43">
                  <c:v>31362.442088313292</c:v>
                </c:pt>
                <c:pt idx="44">
                  <c:v>30101.743406238704</c:v>
                </c:pt>
                <c:pt idx="45">
                  <c:v>46427.731001329586</c:v>
                </c:pt>
                <c:pt idx="46">
                  <c:v>38040.023701930651</c:v>
                </c:pt>
                <c:pt idx="47">
                  <c:v>40921.134656706949</c:v>
                </c:pt>
                <c:pt idx="48">
                  <c:v>40344.730442712716</c:v>
                </c:pt>
                <c:pt idx="49">
                  <c:v>40615.350298087767</c:v>
                </c:pt>
                <c:pt idx="50">
                  <c:v>49164.373432854009</c:v>
                </c:pt>
                <c:pt idx="51">
                  <c:v>46895.949387413573</c:v>
                </c:pt>
                <c:pt idx="52">
                  <c:v>50747.680729423861</c:v>
                </c:pt>
                <c:pt idx="53">
                  <c:v>50119.497617610272</c:v>
                </c:pt>
                <c:pt idx="54">
                  <c:v>47727.976215285402</c:v>
                </c:pt>
                <c:pt idx="55">
                  <c:v>16846.610092190916</c:v>
                </c:pt>
                <c:pt idx="56">
                  <c:v>17296.524197641338</c:v>
                </c:pt>
                <c:pt idx="57">
                  <c:v>17802.13584699756</c:v>
                </c:pt>
                <c:pt idx="58">
                  <c:v>18458.070876929818</c:v>
                </c:pt>
                <c:pt idx="59">
                  <c:v>18580.638421057756</c:v>
                </c:pt>
                <c:pt idx="60">
                  <c:v>13381.013260945421</c:v>
                </c:pt>
                <c:pt idx="61">
                  <c:v>14685.099465384466</c:v>
                </c:pt>
                <c:pt idx="62">
                  <c:v>15270.525040963876</c:v>
                </c:pt>
                <c:pt idx="63">
                  <c:v>15054.321337247251</c:v>
                </c:pt>
                <c:pt idx="64">
                  <c:v>14716.804120143031</c:v>
                </c:pt>
                <c:pt idx="65">
                  <c:v>12816.122936310157</c:v>
                </c:pt>
                <c:pt idx="66">
                  <c:v>14508.82369293257</c:v>
                </c:pt>
                <c:pt idx="67">
                  <c:v>14972.199602712941</c:v>
                </c:pt>
                <c:pt idx="68">
                  <c:v>15476.200095220651</c:v>
                </c:pt>
                <c:pt idx="69">
                  <c:v>15530.156642801006</c:v>
                </c:pt>
                <c:pt idx="70">
                  <c:v>15882.253023683517</c:v>
                </c:pt>
                <c:pt idx="71">
                  <c:v>17958.890581644693</c:v>
                </c:pt>
                <c:pt idx="72">
                  <c:v>17381.928810783003</c:v>
                </c:pt>
                <c:pt idx="73">
                  <c:v>16666.264801272664</c:v>
                </c:pt>
                <c:pt idx="74">
                  <c:v>17608.48286044917</c:v>
                </c:pt>
                <c:pt idx="75">
                  <c:v>12731.931617917126</c:v>
                </c:pt>
                <c:pt idx="76">
                  <c:v>14155.306103993793</c:v>
                </c:pt>
                <c:pt idx="77">
                  <c:v>15161.393073688392</c:v>
                </c:pt>
                <c:pt idx="78">
                  <c:v>15158.293198055686</c:v>
                </c:pt>
                <c:pt idx="79">
                  <c:v>14572.018189573839</c:v>
                </c:pt>
                <c:pt idx="80">
                  <c:v>12370.424904837333</c:v>
                </c:pt>
                <c:pt idx="81">
                  <c:v>13561.612069793244</c:v>
                </c:pt>
                <c:pt idx="82">
                  <c:v>14119.733517379938</c:v>
                </c:pt>
                <c:pt idx="83">
                  <c:v>14270.652512544551</c:v>
                </c:pt>
                <c:pt idx="84">
                  <c:v>14433.588507297411</c:v>
                </c:pt>
                <c:pt idx="85">
                  <c:v>13454.779939930791</c:v>
                </c:pt>
                <c:pt idx="86">
                  <c:v>14465.503047285601</c:v>
                </c:pt>
                <c:pt idx="87">
                  <c:v>15652.546791015762</c:v>
                </c:pt>
                <c:pt idx="88">
                  <c:v>15639.58614523399</c:v>
                </c:pt>
                <c:pt idx="89">
                  <c:v>16254.292235537803</c:v>
                </c:pt>
                <c:pt idx="90">
                  <c:v>19229.268730177642</c:v>
                </c:pt>
                <c:pt idx="91">
                  <c:v>20573.200253438335</c:v>
                </c:pt>
                <c:pt idx="92">
                  <c:v>21008.761771057405</c:v>
                </c:pt>
                <c:pt idx="93">
                  <c:v>21298.350734603024</c:v>
                </c:pt>
                <c:pt idx="94">
                  <c:v>21368.810527008387</c:v>
                </c:pt>
                <c:pt idx="95">
                  <c:v>16199.703776094102</c:v>
                </c:pt>
                <c:pt idx="96">
                  <c:v>16936.846634832327</c:v>
                </c:pt>
                <c:pt idx="97">
                  <c:v>17492.817403614776</c:v>
                </c:pt>
                <c:pt idx="98">
                  <c:v>17711.125165460497</c:v>
                </c:pt>
                <c:pt idx="99">
                  <c:v>17581.093316761388</c:v>
                </c:pt>
              </c:numCache>
            </c:numRef>
          </c:val>
          <c:smooth val="0"/>
          <c:extLst>
            <c:ext xmlns:c15="http://schemas.microsoft.com/office/drawing/2012/chart" uri="{02D57815-91ED-43cb-92C2-25804820EDAC}">
              <c15:filteredSeriesTitle>
                <c15:tx>
                  <c:strRef>
                    <c:extLst>
                      <c:ext uri="{02D57815-91ED-43cb-92C2-25804820EDAC}">
                        <c15:formulaRef>
                          <c15:sqref>'Comp to Prev_All FOEs (15-20)'!$DD$11</c15:sqref>
                        </c15:formulaRef>
                      </c:ext>
                    </c:extLst>
                    <c:strCache>
                      <c:ptCount val="1"/>
                      <c:pt idx="0">
                        <c:v>Mean</c:v>
                      </c:pt>
                    </c:strCache>
                  </c:strRef>
                </c15:tx>
              </c15:filteredSeriesTitle>
            </c:ext>
            <c:ext xmlns:c15="http://schemas.microsoft.com/office/drawing/2012/chart" uri="{02D57815-91ED-43cb-92C2-25804820EDAC}">
              <c15:filteredCategoryTitle>
                <c15:cat>
                  <c:strRef>
                    <c:extLst>
                      <c:ext uri="{02D57815-91ED-43cb-92C2-25804820EDAC}">
                        <c15:formulaRef>
                          <c15:sqref>'Comp to Prev_All FOEs (15-20)'!$DE$6:$GZ$6</c15:sqref>
                        </c15:formulaRef>
                      </c:ext>
                    </c:extLst>
                    <c:strCache>
                      <c:ptCount val="100"/>
                      <c:pt idx="0">
                        <c:v>MathSci (n=17)</c:v>
                      </c:pt>
                      <c:pt idx="1">
                        <c:v>(n=17)</c:v>
                      </c:pt>
                      <c:pt idx="2">
                        <c:v>(n=17)</c:v>
                      </c:pt>
                      <c:pt idx="3">
                        <c:v>(n=17)</c:v>
                      </c:pt>
                      <c:pt idx="4">
                        <c:v>(n=17)</c:v>
                      </c:pt>
                      <c:pt idx="5">
                        <c:v>MedicalSci (n=12)</c:v>
                      </c:pt>
                      <c:pt idx="6">
                        <c:v>(n=14)</c:v>
                      </c:pt>
                      <c:pt idx="7">
                        <c:v>(n=14)</c:v>
                      </c:pt>
                      <c:pt idx="8">
                        <c:v>(n=13)</c:v>
                      </c:pt>
                      <c:pt idx="9">
                        <c:v>(n=13)</c:v>
                      </c:pt>
                      <c:pt idx="10">
                        <c:v>OthNat-PhysSci (n=17)</c:v>
                      </c:pt>
                      <c:pt idx="11">
                        <c:v>(n=17)</c:v>
                      </c:pt>
                      <c:pt idx="12">
                        <c:v>(n=17)</c:v>
                      </c:pt>
                      <c:pt idx="13">
                        <c:v>(n=17)</c:v>
                      </c:pt>
                      <c:pt idx="14">
                        <c:v>(n=17)</c:v>
                      </c:pt>
                      <c:pt idx="15">
                        <c:v>InfoTech (n=17)</c:v>
                      </c:pt>
                      <c:pt idx="16">
                        <c:v>(n=17)</c:v>
                      </c:pt>
                      <c:pt idx="17">
                        <c:v>(n=17)</c:v>
                      </c:pt>
                      <c:pt idx="18">
                        <c:v>(n=17)</c:v>
                      </c:pt>
                      <c:pt idx="19">
                        <c:v>(n=17)</c:v>
                      </c:pt>
                      <c:pt idx="20">
                        <c:v>Eng&amp;Related (n=17)</c:v>
                      </c:pt>
                      <c:pt idx="21">
                        <c:v>(n=17)</c:v>
                      </c:pt>
                      <c:pt idx="22">
                        <c:v>(n=17)</c:v>
                      </c:pt>
                      <c:pt idx="23">
                        <c:v>(n=17)</c:v>
                      </c:pt>
                      <c:pt idx="24">
                        <c:v>(n=17)</c:v>
                      </c:pt>
                      <c:pt idx="25">
                        <c:v>Archi&amp;Build (n=14)</c:v>
                      </c:pt>
                      <c:pt idx="26">
                        <c:v>(n=14)</c:v>
                      </c:pt>
                      <c:pt idx="27">
                        <c:v>(n=14)</c:v>
                      </c:pt>
                      <c:pt idx="28">
                        <c:v>(n=14)</c:v>
                      </c:pt>
                      <c:pt idx="29">
                        <c:v>(n=14)</c:v>
                      </c:pt>
                      <c:pt idx="30">
                        <c:v>Environment (n=17)</c:v>
                      </c:pt>
                      <c:pt idx="31">
                        <c:v>(n=17)</c:v>
                      </c:pt>
                      <c:pt idx="32">
                        <c:v>(n=17)</c:v>
                      </c:pt>
                      <c:pt idx="33">
                        <c:v>(n=17)</c:v>
                      </c:pt>
                      <c:pt idx="34">
                        <c:v>(n=17)</c:v>
                      </c:pt>
                      <c:pt idx="35">
                        <c:v>OthAg&amp;Enviro (n=12)</c:v>
                      </c:pt>
                      <c:pt idx="36">
                        <c:v>(n=11)</c:v>
                      </c:pt>
                      <c:pt idx="37">
                        <c:v>(n=11)</c:v>
                      </c:pt>
                      <c:pt idx="38">
                        <c:v>(n=11)</c:v>
                      </c:pt>
                      <c:pt idx="39">
                        <c:v>(n=10)</c:v>
                      </c:pt>
                      <c:pt idx="40">
                        <c:v>MedicalStudies (n=14)</c:v>
                      </c:pt>
                      <c:pt idx="41">
                        <c:v>(n=14)</c:v>
                      </c:pt>
                      <c:pt idx="42">
                        <c:v>(n=13)</c:v>
                      </c:pt>
                      <c:pt idx="43">
                        <c:v>(n=13)</c:v>
                      </c:pt>
                      <c:pt idx="44">
                        <c:v>(n=12)</c:v>
                      </c:pt>
                      <c:pt idx="45">
                        <c:v>Dental (n=7)</c:v>
                      </c:pt>
                      <c:pt idx="46">
                        <c:v>(n=7)</c:v>
                      </c:pt>
                      <c:pt idx="47">
                        <c:v>(n=7)</c:v>
                      </c:pt>
                      <c:pt idx="48">
                        <c:v>(n=7)</c:v>
                      </c:pt>
                      <c:pt idx="49">
                        <c:v>(n=7)</c:v>
                      </c:pt>
                      <c:pt idx="50">
                        <c:v>Veterinary (n=5)</c:v>
                      </c:pt>
                      <c:pt idx="51">
                        <c:v>(n=5)</c:v>
                      </c:pt>
                      <c:pt idx="52">
                        <c:v>(n=5)</c:v>
                      </c:pt>
                      <c:pt idx="53">
                        <c:v>(n=5)</c:v>
                      </c:pt>
                      <c:pt idx="54">
                        <c:v>(n=5)</c:v>
                      </c:pt>
                      <c:pt idx="55">
                        <c:v>OthHealth (n=17)</c:v>
                      </c:pt>
                      <c:pt idx="56">
                        <c:v>(n=17)</c:v>
                      </c:pt>
                      <c:pt idx="57">
                        <c:v>(n=17)</c:v>
                      </c:pt>
                      <c:pt idx="58">
                        <c:v>(n=17)</c:v>
                      </c:pt>
                      <c:pt idx="59">
                        <c:v>(n=17)</c:v>
                      </c:pt>
                      <c:pt idx="60">
                        <c:v>Education (n=17)</c:v>
                      </c:pt>
                      <c:pt idx="61">
                        <c:v>(n=17)</c:v>
                      </c:pt>
                      <c:pt idx="62">
                        <c:v>(n=17)</c:v>
                      </c:pt>
                      <c:pt idx="63">
                        <c:v>(n=17)</c:v>
                      </c:pt>
                      <c:pt idx="64">
                        <c:v>(n=17)</c:v>
                      </c:pt>
                      <c:pt idx="65">
                        <c:v>Mgmt&amp;Comm (n=17)</c:v>
                      </c:pt>
                      <c:pt idx="66">
                        <c:v>(n=17)</c:v>
                      </c:pt>
                      <c:pt idx="67">
                        <c:v>(n=17)</c:v>
                      </c:pt>
                      <c:pt idx="68">
                        <c:v>(n=17)</c:v>
                      </c:pt>
                      <c:pt idx="69">
                        <c:v>(n=17)</c:v>
                      </c:pt>
                      <c:pt idx="70">
                        <c:v>ForeignLang (n=14)</c:v>
                      </c:pt>
                      <c:pt idx="71">
                        <c:v>(n=14)</c:v>
                      </c:pt>
                      <c:pt idx="72">
                        <c:v>(n=13)</c:v>
                      </c:pt>
                      <c:pt idx="73">
                        <c:v>(n=12)</c:v>
                      </c:pt>
                      <c:pt idx="74">
                        <c:v>(n=13)</c:v>
                      </c:pt>
                      <c:pt idx="75">
                        <c:v>Psych (n=16)</c:v>
                      </c:pt>
                      <c:pt idx="76">
                        <c:v>(n=17)</c:v>
                      </c:pt>
                      <c:pt idx="77">
                        <c:v>(n=17)</c:v>
                      </c:pt>
                      <c:pt idx="78">
                        <c:v>(n=17)</c:v>
                      </c:pt>
                      <c:pt idx="79">
                        <c:v>(n=17)</c:v>
                      </c:pt>
                      <c:pt idx="80">
                        <c:v>OtherSoc&amp;Cult (n=17)</c:v>
                      </c:pt>
                      <c:pt idx="81">
                        <c:v>(n=17)</c:v>
                      </c:pt>
                      <c:pt idx="82">
                        <c:v>(n=17)</c:v>
                      </c:pt>
                      <c:pt idx="83">
                        <c:v>(n=17)</c:v>
                      </c:pt>
                      <c:pt idx="84">
                        <c:v>(n=17)</c:v>
                      </c:pt>
                      <c:pt idx="85">
                        <c:v>Comms&amp;Media (n=17)</c:v>
                      </c:pt>
                      <c:pt idx="86">
                        <c:v>(n=17)</c:v>
                      </c:pt>
                      <c:pt idx="87">
                        <c:v>(n=17)</c:v>
                      </c:pt>
                      <c:pt idx="88">
                        <c:v>(n=17)</c:v>
                      </c:pt>
                      <c:pt idx="89">
                        <c:v>(n=17)</c:v>
                      </c:pt>
                      <c:pt idx="90">
                        <c:v>OthCreative (n=17)</c:v>
                      </c:pt>
                      <c:pt idx="91">
                        <c:v>(n=17)</c:v>
                      </c:pt>
                      <c:pt idx="92">
                        <c:v>(n=17)</c:v>
                      </c:pt>
                      <c:pt idx="93">
                        <c:v>(n=17)</c:v>
                      </c:pt>
                      <c:pt idx="94">
                        <c:v>(n=17)</c:v>
                      </c:pt>
                      <c:pt idx="95">
                        <c:v>Total (n=17)</c:v>
                      </c:pt>
                      <c:pt idx="96">
                        <c:v>(n=17)</c:v>
                      </c:pt>
                      <c:pt idx="97">
                        <c:v>(n=17)</c:v>
                      </c:pt>
                      <c:pt idx="98">
                        <c:v>(n=17)</c:v>
                      </c:pt>
                      <c:pt idx="99">
                        <c:v>(n=17)</c:v>
                      </c:pt>
                    </c:strCache>
                  </c:strRef>
                </c15:cat>
              </c15:filteredCategoryTitle>
            </c:ext>
            <c:ext xmlns:c16="http://schemas.microsoft.com/office/drawing/2014/chart" uri="{C3380CC4-5D6E-409C-BE32-E72D297353CC}">
              <c16:uniqueId val="{00000066-7F18-4421-9D76-FC7C4833D4D7}"/>
            </c:ext>
          </c:extLst>
        </c:ser>
        <c:dLbls>
          <c:showLegendKey val="0"/>
          <c:showVal val="0"/>
          <c:showCatName val="0"/>
          <c:showSerName val="0"/>
          <c:showPercent val="0"/>
          <c:showBubbleSize val="0"/>
        </c:dLbls>
        <c:hiLowLines>
          <c:spPr>
            <a:ln w="9525" cap="flat" cmpd="sng" algn="ctr">
              <a:solidFill>
                <a:schemeClr val="accent6"/>
              </a:solidFill>
              <a:round/>
            </a:ln>
            <a:effectLst/>
          </c:spPr>
        </c:hiLowLines>
        <c:axId val="1730350287"/>
        <c:axId val="1730347791"/>
      </c:stockChart>
      <c:catAx>
        <c:axId val="1730350287"/>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vert="horz" wrap="square" anchor="t" anchorCtr="1"/>
          <a:lstStyle/>
          <a:p>
            <a:pPr>
              <a:defRPr sz="5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47791"/>
        <c:crosses val="autoZero"/>
        <c:auto val="1"/>
        <c:lblAlgn val="ctr"/>
        <c:lblOffset val="100"/>
        <c:tickMarkSkip val="5"/>
        <c:noMultiLvlLbl val="0"/>
      </c:catAx>
      <c:valAx>
        <c:axId val="1730347791"/>
        <c:scaling>
          <c:orientation val="minMax"/>
          <c:max val="90000"/>
          <c:min val="0"/>
        </c:scaling>
        <c:delete val="0"/>
        <c:axPos val="l"/>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50287"/>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625750868452127E-2"/>
          <c:y val="2.9166680883635818E-2"/>
          <c:w val="0.92086630475538389"/>
          <c:h val="0.7920732059103196"/>
        </c:manualLayout>
      </c:layout>
      <c:stockChart>
        <c:ser>
          <c:idx val="0"/>
          <c:order val="0"/>
          <c:tx>
            <c:strRef>
              <c:f>'Comp to Prev_All FOEs (15-20)'!$DD$10</c:f>
              <c:strCache>
                <c:ptCount val="1"/>
                <c:pt idx="0">
                  <c:v>Low</c:v>
                </c:pt>
              </c:strCache>
            </c:strRef>
          </c:tx>
          <c:spPr>
            <a:ln w="28575" cap="rnd">
              <a:noFill/>
              <a:round/>
            </a:ln>
            <a:effectLst/>
          </c:spPr>
          <c:marker>
            <c:symbol val="none"/>
          </c:marker>
          <c:cat>
            <c:strRef>
              <c:f>'Comp to Prev_All FOEs (15-20)'!$DE$7:$GZ$7</c:f>
              <c:strCache>
                <c:ptCount val="100"/>
                <c:pt idx="0">
                  <c:v>MathSci (n=15)</c:v>
                </c:pt>
                <c:pt idx="1">
                  <c:v>(n=14)</c:v>
                </c:pt>
                <c:pt idx="2">
                  <c:v>(n=15)</c:v>
                </c:pt>
                <c:pt idx="3">
                  <c:v>(n=15)</c:v>
                </c:pt>
                <c:pt idx="4">
                  <c:v>(n=15)</c:v>
                </c:pt>
                <c:pt idx="5">
                  <c:v>MedicalSci (n=6)</c:v>
                </c:pt>
                <c:pt idx="6">
                  <c:v>(n=6)</c:v>
                </c:pt>
                <c:pt idx="7">
                  <c:v>(n=5)</c:v>
                </c:pt>
                <c:pt idx="8">
                  <c:v>(n=5)</c:v>
                </c:pt>
                <c:pt idx="9">
                  <c:v>(n=5)</c:v>
                </c:pt>
                <c:pt idx="10">
                  <c:v>OthNat-PhysSci (n=14)</c:v>
                </c:pt>
                <c:pt idx="11">
                  <c:v>(n=14)</c:v>
                </c:pt>
                <c:pt idx="12">
                  <c:v>(n=14)</c:v>
                </c:pt>
                <c:pt idx="13">
                  <c:v>(n=14)</c:v>
                </c:pt>
                <c:pt idx="14">
                  <c:v>(n=13)</c:v>
                </c:pt>
                <c:pt idx="15">
                  <c:v>InfoTech (n=17)</c:v>
                </c:pt>
                <c:pt idx="16">
                  <c:v>(n=16)</c:v>
                </c:pt>
                <c:pt idx="17">
                  <c:v>(n=17)</c:v>
                </c:pt>
                <c:pt idx="18">
                  <c:v>(n=17)</c:v>
                </c:pt>
                <c:pt idx="19">
                  <c:v>(n=17)</c:v>
                </c:pt>
                <c:pt idx="20">
                  <c:v>Eng&amp;Related (n=15)</c:v>
                </c:pt>
                <c:pt idx="21">
                  <c:v>(n=15)</c:v>
                </c:pt>
                <c:pt idx="22">
                  <c:v>(n=15)</c:v>
                </c:pt>
                <c:pt idx="23">
                  <c:v>(n=14)</c:v>
                </c:pt>
                <c:pt idx="24">
                  <c:v>(n=15)</c:v>
                </c:pt>
                <c:pt idx="25">
                  <c:v>Archi&amp;Build (n=11)</c:v>
                </c:pt>
                <c:pt idx="26">
                  <c:v>(n=10)</c:v>
                </c:pt>
                <c:pt idx="27">
                  <c:v>(n=9)</c:v>
                </c:pt>
                <c:pt idx="28">
                  <c:v>(n=10)</c:v>
                </c:pt>
                <c:pt idx="29">
                  <c:v>(n=9)</c:v>
                </c:pt>
                <c:pt idx="30">
                  <c:v>Environment (n=15)</c:v>
                </c:pt>
                <c:pt idx="31">
                  <c:v>(n=11)</c:v>
                </c:pt>
                <c:pt idx="32">
                  <c:v>(n=12)</c:v>
                </c:pt>
                <c:pt idx="33">
                  <c:v>(n=12)</c:v>
                </c:pt>
                <c:pt idx="34">
                  <c:v>(n=14)</c:v>
                </c:pt>
                <c:pt idx="35">
                  <c:v>OthAg&amp;Enviro (n=6)</c:v>
                </c:pt>
                <c:pt idx="36">
                  <c:v>(n=7)</c:v>
                </c:pt>
                <c:pt idx="37">
                  <c:v>(n=7)</c:v>
                </c:pt>
                <c:pt idx="38">
                  <c:v>(n=7)</c:v>
                </c:pt>
                <c:pt idx="39">
                  <c:v>(n=8)</c:v>
                </c:pt>
                <c:pt idx="40">
                  <c:v>MedicalStudies (n=12)</c:v>
                </c:pt>
                <c:pt idx="41">
                  <c:v>(n=10)</c:v>
                </c:pt>
                <c:pt idx="42">
                  <c:v>(n=10)</c:v>
                </c:pt>
                <c:pt idx="43">
                  <c:v>(n=11)</c:v>
                </c:pt>
                <c:pt idx="44">
                  <c:v>(n=10)</c:v>
                </c:pt>
                <c:pt idx="45">
                  <c:v>Dental (n=4)</c:v>
                </c:pt>
                <c:pt idx="46">
                  <c:v>(n=6)</c:v>
                </c:pt>
                <c:pt idx="47">
                  <c:v>(n=6)</c:v>
                </c:pt>
                <c:pt idx="48">
                  <c:v>(n=5)</c:v>
                </c:pt>
                <c:pt idx="49">
                  <c:v>(n=6)</c:v>
                </c:pt>
                <c:pt idx="50">
                  <c:v>Veterinary (n=4)</c:v>
                </c:pt>
                <c:pt idx="51">
                  <c:v>(n=3)</c:v>
                </c:pt>
                <c:pt idx="52">
                  <c:v>(n=3)</c:v>
                </c:pt>
                <c:pt idx="53">
                  <c:v>(n=2)</c:v>
                </c:pt>
                <c:pt idx="54">
                  <c:v>(n=2)</c:v>
                </c:pt>
                <c:pt idx="55">
                  <c:v>OthHealth (n=17)</c:v>
                </c:pt>
                <c:pt idx="56">
                  <c:v>(n=17)</c:v>
                </c:pt>
                <c:pt idx="57">
                  <c:v>(n=17)</c:v>
                </c:pt>
                <c:pt idx="58">
                  <c:v>(n=17)</c:v>
                </c:pt>
                <c:pt idx="59">
                  <c:v>(n=17)</c:v>
                </c:pt>
                <c:pt idx="60">
                  <c:v>Education (n=17)</c:v>
                </c:pt>
                <c:pt idx="61">
                  <c:v>(n=16)</c:v>
                </c:pt>
                <c:pt idx="62">
                  <c:v>(n=17)</c:v>
                </c:pt>
                <c:pt idx="63">
                  <c:v>(n=17)</c:v>
                </c:pt>
                <c:pt idx="64">
                  <c:v>(n=17)</c:v>
                </c:pt>
                <c:pt idx="65">
                  <c:v>Mgmt&amp;Comm (n=17)</c:v>
                </c:pt>
                <c:pt idx="66">
                  <c:v>(n=16)</c:v>
                </c:pt>
                <c:pt idx="67">
                  <c:v>(n=17)</c:v>
                </c:pt>
                <c:pt idx="68">
                  <c:v>(n=17)</c:v>
                </c:pt>
                <c:pt idx="69">
                  <c:v>(n=17)</c:v>
                </c:pt>
                <c:pt idx="70">
                  <c:v>ForeignLang (n=9)</c:v>
                </c:pt>
                <c:pt idx="71">
                  <c:v>(n=6)</c:v>
                </c:pt>
                <c:pt idx="72">
                  <c:v>(n=6)</c:v>
                </c:pt>
                <c:pt idx="73">
                  <c:v>(n=6)</c:v>
                </c:pt>
                <c:pt idx="74">
                  <c:v>(n=6)</c:v>
                </c:pt>
                <c:pt idx="75">
                  <c:v>Psych (n=15)</c:v>
                </c:pt>
                <c:pt idx="76">
                  <c:v>(n=15)</c:v>
                </c:pt>
                <c:pt idx="77">
                  <c:v>(n=16)</c:v>
                </c:pt>
                <c:pt idx="78">
                  <c:v>(n=16)</c:v>
                </c:pt>
                <c:pt idx="79">
                  <c:v>(n=16)</c:v>
                </c:pt>
                <c:pt idx="80">
                  <c:v>OtherSoc&amp;Cult (n=17)</c:v>
                </c:pt>
                <c:pt idx="81">
                  <c:v>(n=16)</c:v>
                </c:pt>
                <c:pt idx="82">
                  <c:v>(n=17)</c:v>
                </c:pt>
                <c:pt idx="83">
                  <c:v>(n=17)</c:v>
                </c:pt>
                <c:pt idx="84">
                  <c:v>(n=17)</c:v>
                </c:pt>
                <c:pt idx="85">
                  <c:v>Comms&amp;Media (n=14)</c:v>
                </c:pt>
                <c:pt idx="86">
                  <c:v>(n=12)</c:v>
                </c:pt>
                <c:pt idx="87">
                  <c:v>(n=13)</c:v>
                </c:pt>
                <c:pt idx="88">
                  <c:v>(n=13)</c:v>
                </c:pt>
                <c:pt idx="89">
                  <c:v>(n=11)</c:v>
                </c:pt>
                <c:pt idx="90">
                  <c:v>OthCreative (n=13)</c:v>
                </c:pt>
                <c:pt idx="91">
                  <c:v>(n=11)</c:v>
                </c:pt>
                <c:pt idx="92">
                  <c:v>(n=12)</c:v>
                </c:pt>
                <c:pt idx="93">
                  <c:v>(n=9)</c:v>
                </c:pt>
                <c:pt idx="94">
                  <c:v>(n=9)</c:v>
                </c:pt>
                <c:pt idx="95">
                  <c:v>Total (n=17)</c:v>
                </c:pt>
                <c:pt idx="96">
                  <c:v>(n=16)</c:v>
                </c:pt>
                <c:pt idx="97">
                  <c:v>(n=17)</c:v>
                </c:pt>
                <c:pt idx="98">
                  <c:v>(n=17)</c:v>
                </c:pt>
                <c:pt idx="99">
                  <c:v>(n=17)</c:v>
                </c:pt>
              </c:strCache>
            </c:strRef>
          </c:cat>
          <c:val>
            <c:numRef>
              <c:f>'Comp to Prev_All FOEs (15-20)'!$DE$31:$GZ$31</c:f>
              <c:numCache>
                <c:formatCode>#,##0</c:formatCode>
                <c:ptCount val="100"/>
                <c:pt idx="0">
                  <c:v>6502.3250631111159</c:v>
                </c:pt>
                <c:pt idx="1">
                  <c:v>13410.765260151444</c:v>
                </c:pt>
                <c:pt idx="2">
                  <c:v>15199.303441014257</c:v>
                </c:pt>
                <c:pt idx="3">
                  <c:v>15466.769626106898</c:v>
                </c:pt>
                <c:pt idx="4">
                  <c:v>14125.045829999908</c:v>
                </c:pt>
                <c:pt idx="5">
                  <c:v>17666.169678663056</c:v>
                </c:pt>
                <c:pt idx="6">
                  <c:v>15729.8613781899</c:v>
                </c:pt>
                <c:pt idx="7">
                  <c:v>19480.209221176319</c:v>
                </c:pt>
                <c:pt idx="8">
                  <c:v>21218.974136283177</c:v>
                </c:pt>
                <c:pt idx="9">
                  <c:v>19093.130204647689</c:v>
                </c:pt>
                <c:pt idx="10">
                  <c:v>12340.334433144006</c:v>
                </c:pt>
                <c:pt idx="11">
                  <c:v>15648.137347077303</c:v>
                </c:pt>
                <c:pt idx="12">
                  <c:v>15343.604768145236</c:v>
                </c:pt>
                <c:pt idx="13">
                  <c:v>14352.755636334676</c:v>
                </c:pt>
                <c:pt idx="14">
                  <c:v>15867.704495884844</c:v>
                </c:pt>
                <c:pt idx="15">
                  <c:v>5368.1777931363013</c:v>
                </c:pt>
                <c:pt idx="16">
                  <c:v>4463.770177892251</c:v>
                </c:pt>
                <c:pt idx="17">
                  <c:v>3375.4369024478169</c:v>
                </c:pt>
                <c:pt idx="18">
                  <c:v>4633.4913560596096</c:v>
                </c:pt>
                <c:pt idx="19">
                  <c:v>5363.3552635461865</c:v>
                </c:pt>
                <c:pt idx="20">
                  <c:v>8397.6355041153583</c:v>
                </c:pt>
                <c:pt idx="21">
                  <c:v>16405.315457051664</c:v>
                </c:pt>
                <c:pt idx="22">
                  <c:v>15903.694550043894</c:v>
                </c:pt>
                <c:pt idx="23">
                  <c:v>17742.337517389427</c:v>
                </c:pt>
                <c:pt idx="24">
                  <c:v>16007.956913428334</c:v>
                </c:pt>
                <c:pt idx="25">
                  <c:v>14351.223546941246</c:v>
                </c:pt>
                <c:pt idx="26">
                  <c:v>15439.581472506783</c:v>
                </c:pt>
                <c:pt idx="27">
                  <c:v>15060.299875494504</c:v>
                </c:pt>
                <c:pt idx="28">
                  <c:v>15681.150620546599</c:v>
                </c:pt>
                <c:pt idx="29">
                  <c:v>15794.121180805483</c:v>
                </c:pt>
                <c:pt idx="30">
                  <c:v>12590.358091843036</c:v>
                </c:pt>
                <c:pt idx="31">
                  <c:v>19084.716407152755</c:v>
                </c:pt>
                <c:pt idx="32">
                  <c:v>15567.310559006211</c:v>
                </c:pt>
                <c:pt idx="33">
                  <c:v>17126.773519163762</c:v>
                </c:pt>
                <c:pt idx="34">
                  <c:v>15097.694567183395</c:v>
                </c:pt>
                <c:pt idx="35">
                  <c:v>20072.502194695167</c:v>
                </c:pt>
                <c:pt idx="36">
                  <c:v>29473.893569356562</c:v>
                </c:pt>
                <c:pt idx="37">
                  <c:v>25631.560144253152</c:v>
                </c:pt>
                <c:pt idx="38">
                  <c:v>28601.672917855969</c:v>
                </c:pt>
                <c:pt idx="39">
                  <c:v>26262.081922148423</c:v>
                </c:pt>
                <c:pt idx="40">
                  <c:v>8469.4695898916088</c:v>
                </c:pt>
                <c:pt idx="41">
                  <c:v>19935.872102297966</c:v>
                </c:pt>
                <c:pt idx="42">
                  <c:v>19333.833476224903</c:v>
                </c:pt>
                <c:pt idx="43">
                  <c:v>20824.115844837852</c:v>
                </c:pt>
                <c:pt idx="44">
                  <c:v>19497.445522577164</c:v>
                </c:pt>
                <c:pt idx="45">
                  <c:v>33504.6880495308</c:v>
                </c:pt>
                <c:pt idx="46">
                  <c:v>23351.848767212523</c:v>
                </c:pt>
                <c:pt idx="47">
                  <c:v>21855.900073105531</c:v>
                </c:pt>
                <c:pt idx="48">
                  <c:v>44271.112395342425</c:v>
                </c:pt>
                <c:pt idx="49">
                  <c:v>11494.038265699932</c:v>
                </c:pt>
                <c:pt idx="50">
                  <c:v>20426.729435603243</c:v>
                </c:pt>
                <c:pt idx="51">
                  <c:v>69749.28501311921</c:v>
                </c:pt>
                <c:pt idx="52">
                  <c:v>30325.294137509056</c:v>
                </c:pt>
                <c:pt idx="53">
                  <c:v>56634.297540807929</c:v>
                </c:pt>
                <c:pt idx="54">
                  <c:v>50432.002092864401</c:v>
                </c:pt>
                <c:pt idx="55">
                  <c:v>13783.024957110729</c:v>
                </c:pt>
                <c:pt idx="56">
                  <c:v>12436.220094258382</c:v>
                </c:pt>
                <c:pt idx="57">
                  <c:v>15227.235693034108</c:v>
                </c:pt>
                <c:pt idx="58">
                  <c:v>15672.704727539201</c:v>
                </c:pt>
                <c:pt idx="59">
                  <c:v>15552.640964055296</c:v>
                </c:pt>
                <c:pt idx="60">
                  <c:v>9390.0366833701883</c:v>
                </c:pt>
                <c:pt idx="61">
                  <c:v>10498.738408856871</c:v>
                </c:pt>
                <c:pt idx="62">
                  <c:v>13354.214174624503</c:v>
                </c:pt>
                <c:pt idx="63">
                  <c:v>14156.220349408592</c:v>
                </c:pt>
                <c:pt idx="64">
                  <c:v>13391.80091802547</c:v>
                </c:pt>
                <c:pt idx="65">
                  <c:v>10199.366583754221</c:v>
                </c:pt>
                <c:pt idx="66">
                  <c:v>10195.113890375369</c:v>
                </c:pt>
                <c:pt idx="67">
                  <c:v>9155.9698755967602</c:v>
                </c:pt>
                <c:pt idx="68">
                  <c:v>10188.876142737015</c:v>
                </c:pt>
                <c:pt idx="69">
                  <c:v>13528.905725239485</c:v>
                </c:pt>
                <c:pt idx="70">
                  <c:v>6387.981253738546</c:v>
                </c:pt>
                <c:pt idx="71">
                  <c:v>14627.414368319</c:v>
                </c:pt>
                <c:pt idx="72">
                  <c:v>17372.655903754883</c:v>
                </c:pt>
                <c:pt idx="73">
                  <c:v>15341.963988218828</c:v>
                </c:pt>
                <c:pt idx="74">
                  <c:v>16546.64335935489</c:v>
                </c:pt>
                <c:pt idx="75">
                  <c:v>12734.375488424781</c:v>
                </c:pt>
                <c:pt idx="76">
                  <c:v>10571.027113626013</c:v>
                </c:pt>
                <c:pt idx="77">
                  <c:v>12286.941883989832</c:v>
                </c:pt>
                <c:pt idx="78">
                  <c:v>13393.115491067956</c:v>
                </c:pt>
                <c:pt idx="79">
                  <c:v>12241.52270364821</c:v>
                </c:pt>
                <c:pt idx="80">
                  <c:v>9592.2630613853817</c:v>
                </c:pt>
                <c:pt idx="81">
                  <c:v>13074.883970026454</c:v>
                </c:pt>
                <c:pt idx="82">
                  <c:v>14094.679458284771</c:v>
                </c:pt>
                <c:pt idx="83">
                  <c:v>14003.378095127324</c:v>
                </c:pt>
                <c:pt idx="84">
                  <c:v>15139.782716203097</c:v>
                </c:pt>
                <c:pt idx="85">
                  <c:v>12290.330286879833</c:v>
                </c:pt>
                <c:pt idx="86">
                  <c:v>11760.014485499647</c:v>
                </c:pt>
                <c:pt idx="87">
                  <c:v>13763.273975820575</c:v>
                </c:pt>
                <c:pt idx="88">
                  <c:v>13999.055720711352</c:v>
                </c:pt>
                <c:pt idx="89">
                  <c:v>13761.106445417185</c:v>
                </c:pt>
                <c:pt idx="90">
                  <c:v>13511.83114380496</c:v>
                </c:pt>
                <c:pt idx="91">
                  <c:v>12382.437867202327</c:v>
                </c:pt>
                <c:pt idx="92">
                  <c:v>14220.390490592976</c:v>
                </c:pt>
                <c:pt idx="93">
                  <c:v>16156.849827710832</c:v>
                </c:pt>
                <c:pt idx="94">
                  <c:v>17069.300659425604</c:v>
                </c:pt>
                <c:pt idx="95">
                  <c:v>13265.925272544146</c:v>
                </c:pt>
                <c:pt idx="96">
                  <c:v>10854.909913688329</c:v>
                </c:pt>
                <c:pt idx="97">
                  <c:v>11043.821357642491</c:v>
                </c:pt>
                <c:pt idx="98">
                  <c:v>12068.482955244708</c:v>
                </c:pt>
                <c:pt idx="99">
                  <c:v>13913.488624280824</c:v>
                </c:pt>
              </c:numCache>
            </c:numRef>
          </c:val>
          <c:smooth val="0"/>
          <c:extLst>
            <c:ext xmlns:c16="http://schemas.microsoft.com/office/drawing/2014/chart" uri="{C3380CC4-5D6E-409C-BE32-E72D297353CC}">
              <c16:uniqueId val="{00000000-6CAD-4084-8C8C-EDC0215AC44A}"/>
            </c:ext>
          </c:extLst>
        </c:ser>
        <c:ser>
          <c:idx val="1"/>
          <c:order val="1"/>
          <c:tx>
            <c:strRef>
              <c:f>'Comp to Prev_All FOEs (15-20)'!$DD$16</c:f>
              <c:strCache>
                <c:ptCount val="1"/>
                <c:pt idx="0">
                  <c:v>High</c:v>
                </c:pt>
              </c:strCache>
            </c:strRef>
          </c:tx>
          <c:spPr>
            <a:ln w="28575" cap="rnd">
              <a:noFill/>
              <a:round/>
            </a:ln>
            <a:effectLst/>
          </c:spPr>
          <c:marker>
            <c:symbol val="none"/>
          </c:marker>
          <c:cat>
            <c:strRef>
              <c:f>'Comp to Prev_All FOEs (15-20)'!$DE$7:$GZ$7</c:f>
              <c:strCache>
                <c:ptCount val="100"/>
                <c:pt idx="0">
                  <c:v>MathSci (n=15)</c:v>
                </c:pt>
                <c:pt idx="1">
                  <c:v>(n=14)</c:v>
                </c:pt>
                <c:pt idx="2">
                  <c:v>(n=15)</c:v>
                </c:pt>
                <c:pt idx="3">
                  <c:v>(n=15)</c:v>
                </c:pt>
                <c:pt idx="4">
                  <c:v>(n=15)</c:v>
                </c:pt>
                <c:pt idx="5">
                  <c:v>MedicalSci (n=6)</c:v>
                </c:pt>
                <c:pt idx="6">
                  <c:v>(n=6)</c:v>
                </c:pt>
                <c:pt idx="7">
                  <c:v>(n=5)</c:v>
                </c:pt>
                <c:pt idx="8">
                  <c:v>(n=5)</c:v>
                </c:pt>
                <c:pt idx="9">
                  <c:v>(n=5)</c:v>
                </c:pt>
                <c:pt idx="10">
                  <c:v>OthNat-PhysSci (n=14)</c:v>
                </c:pt>
                <c:pt idx="11">
                  <c:v>(n=14)</c:v>
                </c:pt>
                <c:pt idx="12">
                  <c:v>(n=14)</c:v>
                </c:pt>
                <c:pt idx="13">
                  <c:v>(n=14)</c:v>
                </c:pt>
                <c:pt idx="14">
                  <c:v>(n=13)</c:v>
                </c:pt>
                <c:pt idx="15">
                  <c:v>InfoTech (n=17)</c:v>
                </c:pt>
                <c:pt idx="16">
                  <c:v>(n=16)</c:v>
                </c:pt>
                <c:pt idx="17">
                  <c:v>(n=17)</c:v>
                </c:pt>
                <c:pt idx="18">
                  <c:v>(n=17)</c:v>
                </c:pt>
                <c:pt idx="19">
                  <c:v>(n=17)</c:v>
                </c:pt>
                <c:pt idx="20">
                  <c:v>Eng&amp;Related (n=15)</c:v>
                </c:pt>
                <c:pt idx="21">
                  <c:v>(n=15)</c:v>
                </c:pt>
                <c:pt idx="22">
                  <c:v>(n=15)</c:v>
                </c:pt>
                <c:pt idx="23">
                  <c:v>(n=14)</c:v>
                </c:pt>
                <c:pt idx="24">
                  <c:v>(n=15)</c:v>
                </c:pt>
                <c:pt idx="25">
                  <c:v>Archi&amp;Build (n=11)</c:v>
                </c:pt>
                <c:pt idx="26">
                  <c:v>(n=10)</c:v>
                </c:pt>
                <c:pt idx="27">
                  <c:v>(n=9)</c:v>
                </c:pt>
                <c:pt idx="28">
                  <c:v>(n=10)</c:v>
                </c:pt>
                <c:pt idx="29">
                  <c:v>(n=9)</c:v>
                </c:pt>
                <c:pt idx="30">
                  <c:v>Environment (n=15)</c:v>
                </c:pt>
                <c:pt idx="31">
                  <c:v>(n=11)</c:v>
                </c:pt>
                <c:pt idx="32">
                  <c:v>(n=12)</c:v>
                </c:pt>
                <c:pt idx="33">
                  <c:v>(n=12)</c:v>
                </c:pt>
                <c:pt idx="34">
                  <c:v>(n=14)</c:v>
                </c:pt>
                <c:pt idx="35">
                  <c:v>OthAg&amp;Enviro (n=6)</c:v>
                </c:pt>
                <c:pt idx="36">
                  <c:v>(n=7)</c:v>
                </c:pt>
                <c:pt idx="37">
                  <c:v>(n=7)</c:v>
                </c:pt>
                <c:pt idx="38">
                  <c:v>(n=7)</c:v>
                </c:pt>
                <c:pt idx="39">
                  <c:v>(n=8)</c:v>
                </c:pt>
                <c:pt idx="40">
                  <c:v>MedicalStudies (n=12)</c:v>
                </c:pt>
                <c:pt idx="41">
                  <c:v>(n=10)</c:v>
                </c:pt>
                <c:pt idx="42">
                  <c:v>(n=10)</c:v>
                </c:pt>
                <c:pt idx="43">
                  <c:v>(n=11)</c:v>
                </c:pt>
                <c:pt idx="44">
                  <c:v>(n=10)</c:v>
                </c:pt>
                <c:pt idx="45">
                  <c:v>Dental (n=4)</c:v>
                </c:pt>
                <c:pt idx="46">
                  <c:v>(n=6)</c:v>
                </c:pt>
                <c:pt idx="47">
                  <c:v>(n=6)</c:v>
                </c:pt>
                <c:pt idx="48">
                  <c:v>(n=5)</c:v>
                </c:pt>
                <c:pt idx="49">
                  <c:v>(n=6)</c:v>
                </c:pt>
                <c:pt idx="50">
                  <c:v>Veterinary (n=4)</c:v>
                </c:pt>
                <c:pt idx="51">
                  <c:v>(n=3)</c:v>
                </c:pt>
                <c:pt idx="52">
                  <c:v>(n=3)</c:v>
                </c:pt>
                <c:pt idx="53">
                  <c:v>(n=2)</c:v>
                </c:pt>
                <c:pt idx="54">
                  <c:v>(n=2)</c:v>
                </c:pt>
                <c:pt idx="55">
                  <c:v>OthHealth (n=17)</c:v>
                </c:pt>
                <c:pt idx="56">
                  <c:v>(n=17)</c:v>
                </c:pt>
                <c:pt idx="57">
                  <c:v>(n=17)</c:v>
                </c:pt>
                <c:pt idx="58">
                  <c:v>(n=17)</c:v>
                </c:pt>
                <c:pt idx="59">
                  <c:v>(n=17)</c:v>
                </c:pt>
                <c:pt idx="60">
                  <c:v>Education (n=17)</c:v>
                </c:pt>
                <c:pt idx="61">
                  <c:v>(n=16)</c:v>
                </c:pt>
                <c:pt idx="62">
                  <c:v>(n=17)</c:v>
                </c:pt>
                <c:pt idx="63">
                  <c:v>(n=17)</c:v>
                </c:pt>
                <c:pt idx="64">
                  <c:v>(n=17)</c:v>
                </c:pt>
                <c:pt idx="65">
                  <c:v>Mgmt&amp;Comm (n=17)</c:v>
                </c:pt>
                <c:pt idx="66">
                  <c:v>(n=16)</c:v>
                </c:pt>
                <c:pt idx="67">
                  <c:v>(n=17)</c:v>
                </c:pt>
                <c:pt idx="68">
                  <c:v>(n=17)</c:v>
                </c:pt>
                <c:pt idx="69">
                  <c:v>(n=17)</c:v>
                </c:pt>
                <c:pt idx="70">
                  <c:v>ForeignLang (n=9)</c:v>
                </c:pt>
                <c:pt idx="71">
                  <c:v>(n=6)</c:v>
                </c:pt>
                <c:pt idx="72">
                  <c:v>(n=6)</c:v>
                </c:pt>
                <c:pt idx="73">
                  <c:v>(n=6)</c:v>
                </c:pt>
                <c:pt idx="74">
                  <c:v>(n=6)</c:v>
                </c:pt>
                <c:pt idx="75">
                  <c:v>Psych (n=15)</c:v>
                </c:pt>
                <c:pt idx="76">
                  <c:v>(n=15)</c:v>
                </c:pt>
                <c:pt idx="77">
                  <c:v>(n=16)</c:v>
                </c:pt>
                <c:pt idx="78">
                  <c:v>(n=16)</c:v>
                </c:pt>
                <c:pt idx="79">
                  <c:v>(n=16)</c:v>
                </c:pt>
                <c:pt idx="80">
                  <c:v>OtherSoc&amp;Cult (n=17)</c:v>
                </c:pt>
                <c:pt idx="81">
                  <c:v>(n=16)</c:v>
                </c:pt>
                <c:pt idx="82">
                  <c:v>(n=17)</c:v>
                </c:pt>
                <c:pt idx="83">
                  <c:v>(n=17)</c:v>
                </c:pt>
                <c:pt idx="84">
                  <c:v>(n=17)</c:v>
                </c:pt>
                <c:pt idx="85">
                  <c:v>Comms&amp;Media (n=14)</c:v>
                </c:pt>
                <c:pt idx="86">
                  <c:v>(n=12)</c:v>
                </c:pt>
                <c:pt idx="87">
                  <c:v>(n=13)</c:v>
                </c:pt>
                <c:pt idx="88">
                  <c:v>(n=13)</c:v>
                </c:pt>
                <c:pt idx="89">
                  <c:v>(n=11)</c:v>
                </c:pt>
                <c:pt idx="90">
                  <c:v>OthCreative (n=13)</c:v>
                </c:pt>
                <c:pt idx="91">
                  <c:v>(n=11)</c:v>
                </c:pt>
                <c:pt idx="92">
                  <c:v>(n=12)</c:v>
                </c:pt>
                <c:pt idx="93">
                  <c:v>(n=9)</c:v>
                </c:pt>
                <c:pt idx="94">
                  <c:v>(n=9)</c:v>
                </c:pt>
                <c:pt idx="95">
                  <c:v>Total (n=17)</c:v>
                </c:pt>
                <c:pt idx="96">
                  <c:v>(n=16)</c:v>
                </c:pt>
                <c:pt idx="97">
                  <c:v>(n=17)</c:v>
                </c:pt>
                <c:pt idx="98">
                  <c:v>(n=17)</c:v>
                </c:pt>
                <c:pt idx="99">
                  <c:v>(n=17)</c:v>
                </c:pt>
              </c:strCache>
            </c:strRef>
          </c:cat>
          <c:val>
            <c:numRef>
              <c:f>'Comp to Prev_All FOEs (15-20)'!$DE$30:$GZ$30</c:f>
              <c:numCache>
                <c:formatCode>#,##0</c:formatCode>
                <c:ptCount val="100"/>
                <c:pt idx="0">
                  <c:v>85866.509032112168</c:v>
                </c:pt>
                <c:pt idx="1">
                  <c:v>25444.336804592087</c:v>
                </c:pt>
                <c:pt idx="2">
                  <c:v>25403.44489430495</c:v>
                </c:pt>
                <c:pt idx="3">
                  <c:v>25247.932788007405</c:v>
                </c:pt>
                <c:pt idx="4">
                  <c:v>34372.618791837755</c:v>
                </c:pt>
                <c:pt idx="5">
                  <c:v>55224.603686956019</c:v>
                </c:pt>
                <c:pt idx="6">
                  <c:v>28746.287579008844</c:v>
                </c:pt>
                <c:pt idx="7">
                  <c:v>34160.572492427993</c:v>
                </c:pt>
                <c:pt idx="8">
                  <c:v>46826.597031659265</c:v>
                </c:pt>
                <c:pt idx="9">
                  <c:v>71510.261765981413</c:v>
                </c:pt>
                <c:pt idx="10">
                  <c:v>66247.91895279543</c:v>
                </c:pt>
                <c:pt idx="11">
                  <c:v>70515.999219244331</c:v>
                </c:pt>
                <c:pt idx="12">
                  <c:v>95162.539032098401</c:v>
                </c:pt>
                <c:pt idx="13">
                  <c:v>54671.086593879438</c:v>
                </c:pt>
                <c:pt idx="14">
                  <c:v>54728.195252568694</c:v>
                </c:pt>
                <c:pt idx="15">
                  <c:v>28875.736889927717</c:v>
                </c:pt>
                <c:pt idx="16">
                  <c:v>26507.699336000918</c:v>
                </c:pt>
                <c:pt idx="17">
                  <c:v>27518.367619411561</c:v>
                </c:pt>
                <c:pt idx="18">
                  <c:v>28848.319960299661</c:v>
                </c:pt>
                <c:pt idx="19">
                  <c:v>33177.993545770274</c:v>
                </c:pt>
                <c:pt idx="20">
                  <c:v>48803.693627257562</c:v>
                </c:pt>
                <c:pt idx="21">
                  <c:v>35007.724275390974</c:v>
                </c:pt>
                <c:pt idx="22">
                  <c:v>60755.292526708748</c:v>
                </c:pt>
                <c:pt idx="23">
                  <c:v>40766.608509892052</c:v>
                </c:pt>
                <c:pt idx="24">
                  <c:v>40062.365060976314</c:v>
                </c:pt>
                <c:pt idx="25">
                  <c:v>63351.603838810945</c:v>
                </c:pt>
                <c:pt idx="26">
                  <c:v>28123.953189991058</c:v>
                </c:pt>
                <c:pt idx="27">
                  <c:v>24435.42250620581</c:v>
                </c:pt>
                <c:pt idx="28">
                  <c:v>34303.99951860377</c:v>
                </c:pt>
                <c:pt idx="29">
                  <c:v>26577.934665126089</c:v>
                </c:pt>
                <c:pt idx="30">
                  <c:v>37149.578801334872</c:v>
                </c:pt>
                <c:pt idx="31">
                  <c:v>86533.265709253887</c:v>
                </c:pt>
                <c:pt idx="32">
                  <c:v>87346.033385497329</c:v>
                </c:pt>
                <c:pt idx="33">
                  <c:v>40539.70507735409</c:v>
                </c:pt>
                <c:pt idx="34">
                  <c:v>52637.539787574118</c:v>
                </c:pt>
                <c:pt idx="35">
                  <c:v>92356.758542398049</c:v>
                </c:pt>
                <c:pt idx="36">
                  <c:v>55897.919310478632</c:v>
                </c:pt>
                <c:pt idx="37">
                  <c:v>72583.722360278218</c:v>
                </c:pt>
                <c:pt idx="38">
                  <c:v>70147.927555786315</c:v>
                </c:pt>
                <c:pt idx="39">
                  <c:v>51093.2209465899</c:v>
                </c:pt>
                <c:pt idx="40">
                  <c:v>49057.108120272642</c:v>
                </c:pt>
                <c:pt idx="41">
                  <c:v>45742.486906386075</c:v>
                </c:pt>
                <c:pt idx="42">
                  <c:v>51056.717810619179</c:v>
                </c:pt>
                <c:pt idx="43">
                  <c:v>43474.761265579073</c:v>
                </c:pt>
                <c:pt idx="44">
                  <c:v>53672.733283714944</c:v>
                </c:pt>
                <c:pt idx="45">
                  <c:v>99062.490055869799</c:v>
                </c:pt>
                <c:pt idx="46">
                  <c:v>56750.760214955051</c:v>
                </c:pt>
                <c:pt idx="47">
                  <c:v>74676.814814814803</c:v>
                </c:pt>
                <c:pt idx="48">
                  <c:v>93152.777777777781</c:v>
                </c:pt>
                <c:pt idx="49">
                  <c:v>63832.595041322311</c:v>
                </c:pt>
                <c:pt idx="50">
                  <c:v>73229.161559413144</c:v>
                </c:pt>
                <c:pt idx="51">
                  <c:v>121926.13048418897</c:v>
                </c:pt>
                <c:pt idx="52">
                  <c:v>64802.035391180652</c:v>
                </c:pt>
                <c:pt idx="53">
                  <c:v>70662.345624372916</c:v>
                </c:pt>
                <c:pt idx="54">
                  <c:v>70383.964584545829</c:v>
                </c:pt>
                <c:pt idx="55">
                  <c:v>47324.133054933111</c:v>
                </c:pt>
                <c:pt idx="56">
                  <c:v>35585.626439788044</c:v>
                </c:pt>
                <c:pt idx="57">
                  <c:v>37592.433438901026</c:v>
                </c:pt>
                <c:pt idx="58">
                  <c:v>42093.770002496029</c:v>
                </c:pt>
                <c:pt idx="59">
                  <c:v>41266.260638091393</c:v>
                </c:pt>
                <c:pt idx="60">
                  <c:v>26642.797524725265</c:v>
                </c:pt>
                <c:pt idx="61">
                  <c:v>27209.485920488289</c:v>
                </c:pt>
                <c:pt idx="62">
                  <c:v>22253.757164446419</c:v>
                </c:pt>
                <c:pt idx="63">
                  <c:v>29209.654788690023</c:v>
                </c:pt>
                <c:pt idx="64">
                  <c:v>29889.101553952292</c:v>
                </c:pt>
                <c:pt idx="65">
                  <c:v>24678.344005179591</c:v>
                </c:pt>
                <c:pt idx="66">
                  <c:v>24660.597935119367</c:v>
                </c:pt>
                <c:pt idx="67">
                  <c:v>27358.071583041994</c:v>
                </c:pt>
                <c:pt idx="68">
                  <c:v>28660.426056222444</c:v>
                </c:pt>
                <c:pt idx="69">
                  <c:v>27327.28148153815</c:v>
                </c:pt>
                <c:pt idx="70">
                  <c:v>79408.51326561207</c:v>
                </c:pt>
                <c:pt idx="71">
                  <c:v>41859.202442899623</c:v>
                </c:pt>
                <c:pt idx="72">
                  <c:v>51547.284218749781</c:v>
                </c:pt>
                <c:pt idx="73">
                  <c:v>35192.435078291601</c:v>
                </c:pt>
                <c:pt idx="74">
                  <c:v>38818.312242602085</c:v>
                </c:pt>
                <c:pt idx="75">
                  <c:v>54661.812779687985</c:v>
                </c:pt>
                <c:pt idx="76">
                  <c:v>35944.851001300551</c:v>
                </c:pt>
                <c:pt idx="77">
                  <c:v>35659.028275818309</c:v>
                </c:pt>
                <c:pt idx="78">
                  <c:v>40835.948755588041</c:v>
                </c:pt>
                <c:pt idx="79">
                  <c:v>33389.514398575709</c:v>
                </c:pt>
                <c:pt idx="80">
                  <c:v>25575.726894404856</c:v>
                </c:pt>
                <c:pt idx="81">
                  <c:v>26005.399900967674</c:v>
                </c:pt>
                <c:pt idx="82">
                  <c:v>28005.316061809623</c:v>
                </c:pt>
                <c:pt idx="83">
                  <c:v>23922.343053871155</c:v>
                </c:pt>
                <c:pt idx="84">
                  <c:v>24559.819214842162</c:v>
                </c:pt>
                <c:pt idx="85">
                  <c:v>58799.395978413071</c:v>
                </c:pt>
                <c:pt idx="86">
                  <c:v>24418.879606781313</c:v>
                </c:pt>
                <c:pt idx="87">
                  <c:v>22535.606839130331</c:v>
                </c:pt>
                <c:pt idx="88">
                  <c:v>26895.842579945765</c:v>
                </c:pt>
                <c:pt idx="89">
                  <c:v>24446.980364008694</c:v>
                </c:pt>
                <c:pt idx="90">
                  <c:v>62040.90930825004</c:v>
                </c:pt>
                <c:pt idx="91">
                  <c:v>40472.564995900655</c:v>
                </c:pt>
                <c:pt idx="92">
                  <c:v>43232.153436942281</c:v>
                </c:pt>
                <c:pt idx="93">
                  <c:v>32080.164069282695</c:v>
                </c:pt>
                <c:pt idx="94">
                  <c:v>35336.909197166278</c:v>
                </c:pt>
                <c:pt idx="95">
                  <c:v>27282.514065410829</c:v>
                </c:pt>
                <c:pt idx="96">
                  <c:v>27525.806671562801</c:v>
                </c:pt>
                <c:pt idx="97">
                  <c:v>26748.8936569258</c:v>
                </c:pt>
                <c:pt idx="98">
                  <c:v>27098.947921801649</c:v>
                </c:pt>
                <c:pt idx="99">
                  <c:v>28135.975893905932</c:v>
                </c:pt>
              </c:numCache>
            </c:numRef>
          </c:val>
          <c:smooth val="0"/>
          <c:extLst>
            <c:ext xmlns:c16="http://schemas.microsoft.com/office/drawing/2014/chart" uri="{C3380CC4-5D6E-409C-BE32-E72D297353CC}">
              <c16:uniqueId val="{00000001-6CAD-4084-8C8C-EDC0215AC44A}"/>
            </c:ext>
          </c:extLst>
        </c:ser>
        <c:ser>
          <c:idx val="2"/>
          <c:order val="2"/>
          <c:tx>
            <c:strRef>
              <c:f>'Comp to Prev_All FOEs (15-20)'!$DD$11</c:f>
              <c:strCache>
                <c:ptCount val="1"/>
                <c:pt idx="0">
                  <c:v>Mean</c:v>
                </c:pt>
              </c:strCache>
            </c:strRef>
          </c:tx>
          <c:spPr>
            <a:ln w="28575" cap="rnd">
              <a:noFill/>
              <a:round/>
            </a:ln>
            <a:effectLst/>
          </c:spPr>
          <c:marker>
            <c:symbol val="diamond"/>
            <c:size val="8"/>
            <c:spPr>
              <a:solidFill>
                <a:schemeClr val="accent2"/>
              </a:solidFill>
              <a:ln w="9525">
                <a:noFill/>
              </a:ln>
              <a:effectLst/>
            </c:spPr>
          </c:marker>
          <c:dPt>
            <c:idx val="0"/>
            <c:bubble3D val="0"/>
            <c:extLst>
              <c:ext xmlns:c16="http://schemas.microsoft.com/office/drawing/2014/chart" uri="{C3380CC4-5D6E-409C-BE32-E72D297353CC}">
                <c16:uniqueId val="{00000002-6CAD-4084-8C8C-EDC0215AC44A}"/>
              </c:ext>
            </c:extLst>
          </c:dPt>
          <c:dPt>
            <c:idx val="1"/>
            <c:marker>
              <c:spPr>
                <a:solidFill>
                  <a:srgbClr val="00ABAB"/>
                </a:solidFill>
                <a:ln w="9525">
                  <a:noFill/>
                </a:ln>
                <a:effectLst/>
              </c:spPr>
            </c:marker>
            <c:bubble3D val="0"/>
            <c:extLst>
              <c:ext xmlns:c16="http://schemas.microsoft.com/office/drawing/2014/chart" uri="{C3380CC4-5D6E-409C-BE32-E72D297353CC}">
                <c16:uniqueId val="{00000003-6CAD-4084-8C8C-EDC0215AC44A}"/>
              </c:ext>
            </c:extLst>
          </c:dPt>
          <c:dPt>
            <c:idx val="2"/>
            <c:marker>
              <c:spPr>
                <a:solidFill>
                  <a:srgbClr val="BFBFBF"/>
                </a:solidFill>
                <a:ln w="9525">
                  <a:noFill/>
                </a:ln>
                <a:effectLst/>
              </c:spPr>
            </c:marker>
            <c:bubble3D val="0"/>
            <c:extLst>
              <c:ext xmlns:c16="http://schemas.microsoft.com/office/drawing/2014/chart" uri="{C3380CC4-5D6E-409C-BE32-E72D297353CC}">
                <c16:uniqueId val="{00000004-6CAD-4084-8C8C-EDC0215AC44A}"/>
              </c:ext>
            </c:extLst>
          </c:dPt>
          <c:dPt>
            <c:idx val="3"/>
            <c:marker>
              <c:spPr>
                <a:solidFill>
                  <a:schemeClr val="accent4"/>
                </a:solidFill>
                <a:ln w="9525">
                  <a:noFill/>
                </a:ln>
                <a:effectLst/>
              </c:spPr>
            </c:marker>
            <c:bubble3D val="0"/>
            <c:extLst>
              <c:ext xmlns:c16="http://schemas.microsoft.com/office/drawing/2014/chart" uri="{C3380CC4-5D6E-409C-BE32-E72D297353CC}">
                <c16:uniqueId val="{00000005-6CAD-4084-8C8C-EDC0215AC44A}"/>
              </c:ext>
            </c:extLst>
          </c:dPt>
          <c:dPt>
            <c:idx val="4"/>
            <c:marker>
              <c:spPr>
                <a:solidFill>
                  <a:srgbClr val="53565A"/>
                </a:solidFill>
                <a:ln w="9525">
                  <a:noFill/>
                </a:ln>
                <a:effectLst/>
              </c:spPr>
            </c:marker>
            <c:bubble3D val="0"/>
            <c:extLst>
              <c:ext xmlns:c16="http://schemas.microsoft.com/office/drawing/2014/chart" uri="{C3380CC4-5D6E-409C-BE32-E72D297353CC}">
                <c16:uniqueId val="{00000006-6CAD-4084-8C8C-EDC0215AC44A}"/>
              </c:ext>
            </c:extLst>
          </c:dPt>
          <c:dPt>
            <c:idx val="5"/>
            <c:bubble3D val="0"/>
            <c:extLst>
              <c:ext xmlns:c16="http://schemas.microsoft.com/office/drawing/2014/chart" uri="{C3380CC4-5D6E-409C-BE32-E72D297353CC}">
                <c16:uniqueId val="{00000007-6CAD-4084-8C8C-EDC0215AC44A}"/>
              </c:ext>
            </c:extLst>
          </c:dPt>
          <c:dPt>
            <c:idx val="6"/>
            <c:marker>
              <c:spPr>
                <a:solidFill>
                  <a:srgbClr val="00ABAB"/>
                </a:solidFill>
                <a:ln w="9525">
                  <a:noFill/>
                </a:ln>
                <a:effectLst/>
              </c:spPr>
            </c:marker>
            <c:bubble3D val="0"/>
            <c:extLst>
              <c:ext xmlns:c16="http://schemas.microsoft.com/office/drawing/2014/chart" uri="{C3380CC4-5D6E-409C-BE32-E72D297353CC}">
                <c16:uniqueId val="{00000008-6CAD-4084-8C8C-EDC0215AC44A}"/>
              </c:ext>
            </c:extLst>
          </c:dPt>
          <c:dPt>
            <c:idx val="7"/>
            <c:marker>
              <c:spPr>
                <a:solidFill>
                  <a:srgbClr val="BFBFBF"/>
                </a:solidFill>
                <a:ln w="9525">
                  <a:noFill/>
                </a:ln>
                <a:effectLst/>
              </c:spPr>
            </c:marker>
            <c:bubble3D val="0"/>
            <c:extLst>
              <c:ext xmlns:c16="http://schemas.microsoft.com/office/drawing/2014/chart" uri="{C3380CC4-5D6E-409C-BE32-E72D297353CC}">
                <c16:uniqueId val="{00000009-6CAD-4084-8C8C-EDC0215AC44A}"/>
              </c:ext>
            </c:extLst>
          </c:dPt>
          <c:dPt>
            <c:idx val="8"/>
            <c:marker>
              <c:spPr>
                <a:solidFill>
                  <a:schemeClr val="accent4"/>
                </a:solidFill>
                <a:ln w="9525">
                  <a:noFill/>
                </a:ln>
                <a:effectLst/>
              </c:spPr>
            </c:marker>
            <c:bubble3D val="0"/>
            <c:extLst>
              <c:ext xmlns:c16="http://schemas.microsoft.com/office/drawing/2014/chart" uri="{C3380CC4-5D6E-409C-BE32-E72D297353CC}">
                <c16:uniqueId val="{0000000A-6CAD-4084-8C8C-EDC0215AC44A}"/>
              </c:ext>
            </c:extLst>
          </c:dPt>
          <c:dPt>
            <c:idx val="9"/>
            <c:marker>
              <c:spPr>
                <a:solidFill>
                  <a:srgbClr val="53565A"/>
                </a:solidFill>
                <a:ln w="9525">
                  <a:noFill/>
                </a:ln>
                <a:effectLst/>
              </c:spPr>
            </c:marker>
            <c:bubble3D val="0"/>
            <c:extLst>
              <c:ext xmlns:c16="http://schemas.microsoft.com/office/drawing/2014/chart" uri="{C3380CC4-5D6E-409C-BE32-E72D297353CC}">
                <c16:uniqueId val="{0000000B-6CAD-4084-8C8C-EDC0215AC44A}"/>
              </c:ext>
            </c:extLst>
          </c:dPt>
          <c:dPt>
            <c:idx val="10"/>
            <c:bubble3D val="0"/>
            <c:extLst>
              <c:ext xmlns:c16="http://schemas.microsoft.com/office/drawing/2014/chart" uri="{C3380CC4-5D6E-409C-BE32-E72D297353CC}">
                <c16:uniqueId val="{0000000C-6CAD-4084-8C8C-EDC0215AC44A}"/>
              </c:ext>
            </c:extLst>
          </c:dPt>
          <c:dPt>
            <c:idx val="11"/>
            <c:marker>
              <c:spPr>
                <a:solidFill>
                  <a:srgbClr val="00ABAB"/>
                </a:solidFill>
                <a:ln w="9525">
                  <a:noFill/>
                </a:ln>
                <a:effectLst/>
              </c:spPr>
            </c:marker>
            <c:bubble3D val="0"/>
            <c:extLst>
              <c:ext xmlns:c16="http://schemas.microsoft.com/office/drawing/2014/chart" uri="{C3380CC4-5D6E-409C-BE32-E72D297353CC}">
                <c16:uniqueId val="{0000000D-6CAD-4084-8C8C-EDC0215AC44A}"/>
              </c:ext>
            </c:extLst>
          </c:dPt>
          <c:dPt>
            <c:idx val="12"/>
            <c:marker>
              <c:spPr>
                <a:solidFill>
                  <a:srgbClr val="BFBFBF"/>
                </a:solidFill>
                <a:ln w="9525">
                  <a:noFill/>
                </a:ln>
                <a:effectLst/>
              </c:spPr>
            </c:marker>
            <c:bubble3D val="0"/>
            <c:extLst>
              <c:ext xmlns:c16="http://schemas.microsoft.com/office/drawing/2014/chart" uri="{C3380CC4-5D6E-409C-BE32-E72D297353CC}">
                <c16:uniqueId val="{0000000E-6CAD-4084-8C8C-EDC0215AC44A}"/>
              </c:ext>
            </c:extLst>
          </c:dPt>
          <c:dPt>
            <c:idx val="13"/>
            <c:marker>
              <c:spPr>
                <a:solidFill>
                  <a:schemeClr val="accent4"/>
                </a:solidFill>
                <a:ln w="9525">
                  <a:noFill/>
                </a:ln>
                <a:effectLst/>
              </c:spPr>
            </c:marker>
            <c:bubble3D val="0"/>
            <c:extLst>
              <c:ext xmlns:c16="http://schemas.microsoft.com/office/drawing/2014/chart" uri="{C3380CC4-5D6E-409C-BE32-E72D297353CC}">
                <c16:uniqueId val="{0000000F-6CAD-4084-8C8C-EDC0215AC44A}"/>
              </c:ext>
            </c:extLst>
          </c:dPt>
          <c:dPt>
            <c:idx val="14"/>
            <c:marker>
              <c:spPr>
                <a:solidFill>
                  <a:srgbClr val="53565A"/>
                </a:solidFill>
                <a:ln w="9525">
                  <a:noFill/>
                </a:ln>
                <a:effectLst/>
              </c:spPr>
            </c:marker>
            <c:bubble3D val="0"/>
            <c:extLst>
              <c:ext xmlns:c16="http://schemas.microsoft.com/office/drawing/2014/chart" uri="{C3380CC4-5D6E-409C-BE32-E72D297353CC}">
                <c16:uniqueId val="{00000010-6CAD-4084-8C8C-EDC0215AC44A}"/>
              </c:ext>
            </c:extLst>
          </c:dPt>
          <c:dPt>
            <c:idx val="15"/>
            <c:bubble3D val="0"/>
            <c:extLst>
              <c:ext xmlns:c16="http://schemas.microsoft.com/office/drawing/2014/chart" uri="{C3380CC4-5D6E-409C-BE32-E72D297353CC}">
                <c16:uniqueId val="{00000011-6CAD-4084-8C8C-EDC0215AC44A}"/>
              </c:ext>
            </c:extLst>
          </c:dPt>
          <c:dPt>
            <c:idx val="16"/>
            <c:marker>
              <c:spPr>
                <a:solidFill>
                  <a:srgbClr val="00ABAB"/>
                </a:solidFill>
                <a:ln w="9525">
                  <a:noFill/>
                </a:ln>
                <a:effectLst/>
              </c:spPr>
            </c:marker>
            <c:bubble3D val="0"/>
            <c:extLst>
              <c:ext xmlns:c16="http://schemas.microsoft.com/office/drawing/2014/chart" uri="{C3380CC4-5D6E-409C-BE32-E72D297353CC}">
                <c16:uniqueId val="{00000012-6CAD-4084-8C8C-EDC0215AC44A}"/>
              </c:ext>
            </c:extLst>
          </c:dPt>
          <c:dPt>
            <c:idx val="17"/>
            <c:marker>
              <c:spPr>
                <a:solidFill>
                  <a:srgbClr val="BFBFBF"/>
                </a:solidFill>
                <a:ln w="9525">
                  <a:noFill/>
                </a:ln>
                <a:effectLst/>
              </c:spPr>
            </c:marker>
            <c:bubble3D val="0"/>
            <c:extLst>
              <c:ext xmlns:c16="http://schemas.microsoft.com/office/drawing/2014/chart" uri="{C3380CC4-5D6E-409C-BE32-E72D297353CC}">
                <c16:uniqueId val="{00000013-6CAD-4084-8C8C-EDC0215AC44A}"/>
              </c:ext>
            </c:extLst>
          </c:dPt>
          <c:dPt>
            <c:idx val="18"/>
            <c:marker>
              <c:spPr>
                <a:solidFill>
                  <a:schemeClr val="accent4"/>
                </a:solidFill>
                <a:ln w="9525">
                  <a:noFill/>
                </a:ln>
                <a:effectLst/>
              </c:spPr>
            </c:marker>
            <c:bubble3D val="0"/>
            <c:extLst>
              <c:ext xmlns:c16="http://schemas.microsoft.com/office/drawing/2014/chart" uri="{C3380CC4-5D6E-409C-BE32-E72D297353CC}">
                <c16:uniqueId val="{00000014-6CAD-4084-8C8C-EDC0215AC44A}"/>
              </c:ext>
            </c:extLst>
          </c:dPt>
          <c:dPt>
            <c:idx val="19"/>
            <c:marker>
              <c:spPr>
                <a:solidFill>
                  <a:srgbClr val="53565A"/>
                </a:solidFill>
                <a:ln w="9525">
                  <a:noFill/>
                </a:ln>
                <a:effectLst/>
              </c:spPr>
            </c:marker>
            <c:bubble3D val="0"/>
            <c:extLst>
              <c:ext xmlns:c16="http://schemas.microsoft.com/office/drawing/2014/chart" uri="{C3380CC4-5D6E-409C-BE32-E72D297353CC}">
                <c16:uniqueId val="{00000015-6CAD-4084-8C8C-EDC0215AC44A}"/>
              </c:ext>
            </c:extLst>
          </c:dPt>
          <c:dPt>
            <c:idx val="20"/>
            <c:bubble3D val="0"/>
            <c:extLst>
              <c:ext xmlns:c16="http://schemas.microsoft.com/office/drawing/2014/chart" uri="{C3380CC4-5D6E-409C-BE32-E72D297353CC}">
                <c16:uniqueId val="{00000016-6CAD-4084-8C8C-EDC0215AC44A}"/>
              </c:ext>
            </c:extLst>
          </c:dPt>
          <c:dPt>
            <c:idx val="21"/>
            <c:marker>
              <c:spPr>
                <a:solidFill>
                  <a:srgbClr val="00ABAB"/>
                </a:solidFill>
                <a:ln w="9525">
                  <a:noFill/>
                </a:ln>
                <a:effectLst/>
              </c:spPr>
            </c:marker>
            <c:bubble3D val="0"/>
            <c:extLst>
              <c:ext xmlns:c16="http://schemas.microsoft.com/office/drawing/2014/chart" uri="{C3380CC4-5D6E-409C-BE32-E72D297353CC}">
                <c16:uniqueId val="{00000017-6CAD-4084-8C8C-EDC0215AC44A}"/>
              </c:ext>
            </c:extLst>
          </c:dPt>
          <c:dPt>
            <c:idx val="22"/>
            <c:marker>
              <c:spPr>
                <a:solidFill>
                  <a:srgbClr val="BFBFBF"/>
                </a:solidFill>
                <a:ln w="9525">
                  <a:noFill/>
                </a:ln>
                <a:effectLst/>
              </c:spPr>
            </c:marker>
            <c:bubble3D val="0"/>
            <c:extLst>
              <c:ext xmlns:c16="http://schemas.microsoft.com/office/drawing/2014/chart" uri="{C3380CC4-5D6E-409C-BE32-E72D297353CC}">
                <c16:uniqueId val="{00000018-6CAD-4084-8C8C-EDC0215AC44A}"/>
              </c:ext>
            </c:extLst>
          </c:dPt>
          <c:dPt>
            <c:idx val="23"/>
            <c:marker>
              <c:spPr>
                <a:solidFill>
                  <a:schemeClr val="accent4"/>
                </a:solidFill>
                <a:ln w="9525">
                  <a:noFill/>
                </a:ln>
                <a:effectLst/>
              </c:spPr>
            </c:marker>
            <c:bubble3D val="0"/>
            <c:extLst>
              <c:ext xmlns:c16="http://schemas.microsoft.com/office/drawing/2014/chart" uri="{C3380CC4-5D6E-409C-BE32-E72D297353CC}">
                <c16:uniqueId val="{00000019-6CAD-4084-8C8C-EDC0215AC44A}"/>
              </c:ext>
            </c:extLst>
          </c:dPt>
          <c:dPt>
            <c:idx val="24"/>
            <c:marker>
              <c:spPr>
                <a:solidFill>
                  <a:srgbClr val="53565A"/>
                </a:solidFill>
                <a:ln w="9525">
                  <a:noFill/>
                </a:ln>
                <a:effectLst/>
              </c:spPr>
            </c:marker>
            <c:bubble3D val="0"/>
            <c:extLst>
              <c:ext xmlns:c16="http://schemas.microsoft.com/office/drawing/2014/chart" uri="{C3380CC4-5D6E-409C-BE32-E72D297353CC}">
                <c16:uniqueId val="{0000001A-6CAD-4084-8C8C-EDC0215AC44A}"/>
              </c:ext>
            </c:extLst>
          </c:dPt>
          <c:dPt>
            <c:idx val="25"/>
            <c:bubble3D val="0"/>
            <c:extLst>
              <c:ext xmlns:c16="http://schemas.microsoft.com/office/drawing/2014/chart" uri="{C3380CC4-5D6E-409C-BE32-E72D297353CC}">
                <c16:uniqueId val="{0000001B-6CAD-4084-8C8C-EDC0215AC44A}"/>
              </c:ext>
            </c:extLst>
          </c:dPt>
          <c:dPt>
            <c:idx val="26"/>
            <c:marker>
              <c:spPr>
                <a:solidFill>
                  <a:srgbClr val="00ABAB"/>
                </a:solidFill>
                <a:ln w="9525">
                  <a:noFill/>
                </a:ln>
                <a:effectLst/>
              </c:spPr>
            </c:marker>
            <c:bubble3D val="0"/>
            <c:extLst>
              <c:ext xmlns:c16="http://schemas.microsoft.com/office/drawing/2014/chart" uri="{C3380CC4-5D6E-409C-BE32-E72D297353CC}">
                <c16:uniqueId val="{0000001C-6CAD-4084-8C8C-EDC0215AC44A}"/>
              </c:ext>
            </c:extLst>
          </c:dPt>
          <c:dPt>
            <c:idx val="27"/>
            <c:marker>
              <c:spPr>
                <a:solidFill>
                  <a:srgbClr val="BFBFBF"/>
                </a:solidFill>
                <a:ln w="9525">
                  <a:noFill/>
                </a:ln>
                <a:effectLst/>
              </c:spPr>
            </c:marker>
            <c:bubble3D val="0"/>
            <c:extLst>
              <c:ext xmlns:c16="http://schemas.microsoft.com/office/drawing/2014/chart" uri="{C3380CC4-5D6E-409C-BE32-E72D297353CC}">
                <c16:uniqueId val="{0000001D-6CAD-4084-8C8C-EDC0215AC44A}"/>
              </c:ext>
            </c:extLst>
          </c:dPt>
          <c:dPt>
            <c:idx val="28"/>
            <c:marker>
              <c:spPr>
                <a:solidFill>
                  <a:schemeClr val="accent4"/>
                </a:solidFill>
                <a:ln w="9525">
                  <a:noFill/>
                </a:ln>
                <a:effectLst/>
              </c:spPr>
            </c:marker>
            <c:bubble3D val="0"/>
            <c:extLst>
              <c:ext xmlns:c16="http://schemas.microsoft.com/office/drawing/2014/chart" uri="{C3380CC4-5D6E-409C-BE32-E72D297353CC}">
                <c16:uniqueId val="{0000001E-6CAD-4084-8C8C-EDC0215AC44A}"/>
              </c:ext>
            </c:extLst>
          </c:dPt>
          <c:dPt>
            <c:idx val="29"/>
            <c:marker>
              <c:spPr>
                <a:solidFill>
                  <a:srgbClr val="53565A"/>
                </a:solidFill>
                <a:ln w="9525">
                  <a:noFill/>
                </a:ln>
                <a:effectLst/>
              </c:spPr>
            </c:marker>
            <c:bubble3D val="0"/>
            <c:extLst>
              <c:ext xmlns:c16="http://schemas.microsoft.com/office/drawing/2014/chart" uri="{C3380CC4-5D6E-409C-BE32-E72D297353CC}">
                <c16:uniqueId val="{0000001F-6CAD-4084-8C8C-EDC0215AC44A}"/>
              </c:ext>
            </c:extLst>
          </c:dPt>
          <c:dPt>
            <c:idx val="30"/>
            <c:bubble3D val="0"/>
            <c:extLst>
              <c:ext xmlns:c16="http://schemas.microsoft.com/office/drawing/2014/chart" uri="{C3380CC4-5D6E-409C-BE32-E72D297353CC}">
                <c16:uniqueId val="{00000020-6CAD-4084-8C8C-EDC0215AC44A}"/>
              </c:ext>
            </c:extLst>
          </c:dPt>
          <c:dPt>
            <c:idx val="31"/>
            <c:marker>
              <c:spPr>
                <a:solidFill>
                  <a:srgbClr val="00ABAB"/>
                </a:solidFill>
                <a:ln w="9525">
                  <a:noFill/>
                </a:ln>
                <a:effectLst/>
              </c:spPr>
            </c:marker>
            <c:bubble3D val="0"/>
            <c:extLst>
              <c:ext xmlns:c16="http://schemas.microsoft.com/office/drawing/2014/chart" uri="{C3380CC4-5D6E-409C-BE32-E72D297353CC}">
                <c16:uniqueId val="{00000021-6CAD-4084-8C8C-EDC0215AC44A}"/>
              </c:ext>
            </c:extLst>
          </c:dPt>
          <c:dPt>
            <c:idx val="32"/>
            <c:marker>
              <c:spPr>
                <a:solidFill>
                  <a:srgbClr val="BFBFBF"/>
                </a:solidFill>
                <a:ln w="9525">
                  <a:noFill/>
                </a:ln>
                <a:effectLst/>
              </c:spPr>
            </c:marker>
            <c:bubble3D val="0"/>
            <c:extLst>
              <c:ext xmlns:c16="http://schemas.microsoft.com/office/drawing/2014/chart" uri="{C3380CC4-5D6E-409C-BE32-E72D297353CC}">
                <c16:uniqueId val="{00000022-6CAD-4084-8C8C-EDC0215AC44A}"/>
              </c:ext>
            </c:extLst>
          </c:dPt>
          <c:dPt>
            <c:idx val="33"/>
            <c:marker>
              <c:spPr>
                <a:solidFill>
                  <a:schemeClr val="accent4"/>
                </a:solidFill>
                <a:ln w="9525">
                  <a:noFill/>
                </a:ln>
                <a:effectLst/>
              </c:spPr>
            </c:marker>
            <c:bubble3D val="0"/>
            <c:extLst>
              <c:ext xmlns:c16="http://schemas.microsoft.com/office/drawing/2014/chart" uri="{C3380CC4-5D6E-409C-BE32-E72D297353CC}">
                <c16:uniqueId val="{00000023-6CAD-4084-8C8C-EDC0215AC44A}"/>
              </c:ext>
            </c:extLst>
          </c:dPt>
          <c:dPt>
            <c:idx val="34"/>
            <c:marker>
              <c:spPr>
                <a:solidFill>
                  <a:srgbClr val="53565A"/>
                </a:solidFill>
                <a:ln w="9525">
                  <a:noFill/>
                </a:ln>
                <a:effectLst/>
              </c:spPr>
            </c:marker>
            <c:bubble3D val="0"/>
            <c:extLst>
              <c:ext xmlns:c16="http://schemas.microsoft.com/office/drawing/2014/chart" uri="{C3380CC4-5D6E-409C-BE32-E72D297353CC}">
                <c16:uniqueId val="{00000024-6CAD-4084-8C8C-EDC0215AC44A}"/>
              </c:ext>
            </c:extLst>
          </c:dPt>
          <c:dPt>
            <c:idx val="35"/>
            <c:bubble3D val="0"/>
            <c:extLst>
              <c:ext xmlns:c16="http://schemas.microsoft.com/office/drawing/2014/chart" uri="{C3380CC4-5D6E-409C-BE32-E72D297353CC}">
                <c16:uniqueId val="{00000025-6CAD-4084-8C8C-EDC0215AC44A}"/>
              </c:ext>
            </c:extLst>
          </c:dPt>
          <c:dPt>
            <c:idx val="36"/>
            <c:marker>
              <c:spPr>
                <a:solidFill>
                  <a:srgbClr val="00ABAB"/>
                </a:solidFill>
                <a:ln w="9525">
                  <a:noFill/>
                </a:ln>
                <a:effectLst/>
              </c:spPr>
            </c:marker>
            <c:bubble3D val="0"/>
            <c:extLst>
              <c:ext xmlns:c16="http://schemas.microsoft.com/office/drawing/2014/chart" uri="{C3380CC4-5D6E-409C-BE32-E72D297353CC}">
                <c16:uniqueId val="{00000026-6CAD-4084-8C8C-EDC0215AC44A}"/>
              </c:ext>
            </c:extLst>
          </c:dPt>
          <c:dPt>
            <c:idx val="37"/>
            <c:marker>
              <c:spPr>
                <a:solidFill>
                  <a:srgbClr val="BFBFBF"/>
                </a:solidFill>
                <a:ln w="9525">
                  <a:noFill/>
                </a:ln>
                <a:effectLst/>
              </c:spPr>
            </c:marker>
            <c:bubble3D val="0"/>
            <c:extLst>
              <c:ext xmlns:c16="http://schemas.microsoft.com/office/drawing/2014/chart" uri="{C3380CC4-5D6E-409C-BE32-E72D297353CC}">
                <c16:uniqueId val="{00000027-6CAD-4084-8C8C-EDC0215AC44A}"/>
              </c:ext>
            </c:extLst>
          </c:dPt>
          <c:dPt>
            <c:idx val="38"/>
            <c:marker>
              <c:spPr>
                <a:solidFill>
                  <a:schemeClr val="accent4"/>
                </a:solidFill>
                <a:ln w="9525">
                  <a:noFill/>
                </a:ln>
                <a:effectLst/>
              </c:spPr>
            </c:marker>
            <c:bubble3D val="0"/>
            <c:extLst>
              <c:ext xmlns:c16="http://schemas.microsoft.com/office/drawing/2014/chart" uri="{C3380CC4-5D6E-409C-BE32-E72D297353CC}">
                <c16:uniqueId val="{00000028-6CAD-4084-8C8C-EDC0215AC44A}"/>
              </c:ext>
            </c:extLst>
          </c:dPt>
          <c:dPt>
            <c:idx val="39"/>
            <c:marker>
              <c:spPr>
                <a:solidFill>
                  <a:srgbClr val="53565A"/>
                </a:solidFill>
                <a:ln w="9525">
                  <a:noFill/>
                </a:ln>
                <a:effectLst/>
              </c:spPr>
            </c:marker>
            <c:bubble3D val="0"/>
            <c:extLst>
              <c:ext xmlns:c16="http://schemas.microsoft.com/office/drawing/2014/chart" uri="{C3380CC4-5D6E-409C-BE32-E72D297353CC}">
                <c16:uniqueId val="{00000029-6CAD-4084-8C8C-EDC0215AC44A}"/>
              </c:ext>
            </c:extLst>
          </c:dPt>
          <c:dPt>
            <c:idx val="40"/>
            <c:bubble3D val="0"/>
            <c:extLst>
              <c:ext xmlns:c16="http://schemas.microsoft.com/office/drawing/2014/chart" uri="{C3380CC4-5D6E-409C-BE32-E72D297353CC}">
                <c16:uniqueId val="{0000002A-6CAD-4084-8C8C-EDC0215AC44A}"/>
              </c:ext>
            </c:extLst>
          </c:dPt>
          <c:dPt>
            <c:idx val="41"/>
            <c:marker>
              <c:spPr>
                <a:solidFill>
                  <a:srgbClr val="00ABAB"/>
                </a:solidFill>
                <a:ln w="9525">
                  <a:noFill/>
                </a:ln>
                <a:effectLst/>
              </c:spPr>
            </c:marker>
            <c:bubble3D val="0"/>
            <c:extLst>
              <c:ext xmlns:c16="http://schemas.microsoft.com/office/drawing/2014/chart" uri="{C3380CC4-5D6E-409C-BE32-E72D297353CC}">
                <c16:uniqueId val="{0000002B-6CAD-4084-8C8C-EDC0215AC44A}"/>
              </c:ext>
            </c:extLst>
          </c:dPt>
          <c:dPt>
            <c:idx val="42"/>
            <c:marker>
              <c:spPr>
                <a:solidFill>
                  <a:srgbClr val="BFBFBF"/>
                </a:solidFill>
                <a:ln w="9525">
                  <a:noFill/>
                </a:ln>
                <a:effectLst/>
              </c:spPr>
            </c:marker>
            <c:bubble3D val="0"/>
            <c:extLst>
              <c:ext xmlns:c16="http://schemas.microsoft.com/office/drawing/2014/chart" uri="{C3380CC4-5D6E-409C-BE32-E72D297353CC}">
                <c16:uniqueId val="{0000002C-6CAD-4084-8C8C-EDC0215AC44A}"/>
              </c:ext>
            </c:extLst>
          </c:dPt>
          <c:dPt>
            <c:idx val="43"/>
            <c:marker>
              <c:spPr>
                <a:solidFill>
                  <a:schemeClr val="accent4"/>
                </a:solidFill>
                <a:ln w="9525">
                  <a:noFill/>
                </a:ln>
                <a:effectLst/>
              </c:spPr>
            </c:marker>
            <c:bubble3D val="0"/>
            <c:extLst>
              <c:ext xmlns:c16="http://schemas.microsoft.com/office/drawing/2014/chart" uri="{C3380CC4-5D6E-409C-BE32-E72D297353CC}">
                <c16:uniqueId val="{0000002D-6CAD-4084-8C8C-EDC0215AC44A}"/>
              </c:ext>
            </c:extLst>
          </c:dPt>
          <c:dPt>
            <c:idx val="44"/>
            <c:marker>
              <c:spPr>
                <a:solidFill>
                  <a:srgbClr val="53565A"/>
                </a:solidFill>
                <a:ln w="9525">
                  <a:noFill/>
                </a:ln>
                <a:effectLst/>
              </c:spPr>
            </c:marker>
            <c:bubble3D val="0"/>
            <c:extLst>
              <c:ext xmlns:c16="http://schemas.microsoft.com/office/drawing/2014/chart" uri="{C3380CC4-5D6E-409C-BE32-E72D297353CC}">
                <c16:uniqueId val="{0000002E-6CAD-4084-8C8C-EDC0215AC44A}"/>
              </c:ext>
            </c:extLst>
          </c:dPt>
          <c:dPt>
            <c:idx val="45"/>
            <c:bubble3D val="0"/>
            <c:extLst>
              <c:ext xmlns:c16="http://schemas.microsoft.com/office/drawing/2014/chart" uri="{C3380CC4-5D6E-409C-BE32-E72D297353CC}">
                <c16:uniqueId val="{0000002F-6CAD-4084-8C8C-EDC0215AC44A}"/>
              </c:ext>
            </c:extLst>
          </c:dPt>
          <c:dPt>
            <c:idx val="46"/>
            <c:marker>
              <c:spPr>
                <a:solidFill>
                  <a:srgbClr val="00ABAB"/>
                </a:solidFill>
                <a:ln w="9525">
                  <a:noFill/>
                </a:ln>
                <a:effectLst/>
              </c:spPr>
            </c:marker>
            <c:bubble3D val="0"/>
            <c:extLst>
              <c:ext xmlns:c16="http://schemas.microsoft.com/office/drawing/2014/chart" uri="{C3380CC4-5D6E-409C-BE32-E72D297353CC}">
                <c16:uniqueId val="{00000030-6CAD-4084-8C8C-EDC0215AC44A}"/>
              </c:ext>
            </c:extLst>
          </c:dPt>
          <c:dPt>
            <c:idx val="47"/>
            <c:marker>
              <c:spPr>
                <a:solidFill>
                  <a:srgbClr val="BFBFBF"/>
                </a:solidFill>
                <a:ln w="9525">
                  <a:noFill/>
                </a:ln>
                <a:effectLst/>
              </c:spPr>
            </c:marker>
            <c:bubble3D val="0"/>
            <c:extLst>
              <c:ext xmlns:c16="http://schemas.microsoft.com/office/drawing/2014/chart" uri="{C3380CC4-5D6E-409C-BE32-E72D297353CC}">
                <c16:uniqueId val="{00000031-6CAD-4084-8C8C-EDC0215AC44A}"/>
              </c:ext>
            </c:extLst>
          </c:dPt>
          <c:dPt>
            <c:idx val="48"/>
            <c:marker>
              <c:spPr>
                <a:solidFill>
                  <a:schemeClr val="accent4"/>
                </a:solidFill>
                <a:ln w="9525">
                  <a:noFill/>
                </a:ln>
                <a:effectLst/>
              </c:spPr>
            </c:marker>
            <c:bubble3D val="0"/>
            <c:extLst>
              <c:ext xmlns:c16="http://schemas.microsoft.com/office/drawing/2014/chart" uri="{C3380CC4-5D6E-409C-BE32-E72D297353CC}">
                <c16:uniqueId val="{00000032-6CAD-4084-8C8C-EDC0215AC44A}"/>
              </c:ext>
            </c:extLst>
          </c:dPt>
          <c:dPt>
            <c:idx val="49"/>
            <c:marker>
              <c:spPr>
                <a:solidFill>
                  <a:srgbClr val="53565A"/>
                </a:solidFill>
                <a:ln w="9525">
                  <a:noFill/>
                </a:ln>
                <a:effectLst/>
              </c:spPr>
            </c:marker>
            <c:bubble3D val="0"/>
            <c:extLst>
              <c:ext xmlns:c16="http://schemas.microsoft.com/office/drawing/2014/chart" uri="{C3380CC4-5D6E-409C-BE32-E72D297353CC}">
                <c16:uniqueId val="{00000033-6CAD-4084-8C8C-EDC0215AC44A}"/>
              </c:ext>
            </c:extLst>
          </c:dPt>
          <c:dPt>
            <c:idx val="50"/>
            <c:bubble3D val="0"/>
            <c:extLst>
              <c:ext xmlns:c16="http://schemas.microsoft.com/office/drawing/2014/chart" uri="{C3380CC4-5D6E-409C-BE32-E72D297353CC}">
                <c16:uniqueId val="{00000034-6CAD-4084-8C8C-EDC0215AC44A}"/>
              </c:ext>
            </c:extLst>
          </c:dPt>
          <c:dPt>
            <c:idx val="51"/>
            <c:marker>
              <c:spPr>
                <a:solidFill>
                  <a:srgbClr val="00ABAB"/>
                </a:solidFill>
                <a:ln w="9525">
                  <a:noFill/>
                </a:ln>
                <a:effectLst/>
              </c:spPr>
            </c:marker>
            <c:bubble3D val="0"/>
            <c:extLst>
              <c:ext xmlns:c16="http://schemas.microsoft.com/office/drawing/2014/chart" uri="{C3380CC4-5D6E-409C-BE32-E72D297353CC}">
                <c16:uniqueId val="{00000035-6CAD-4084-8C8C-EDC0215AC44A}"/>
              </c:ext>
            </c:extLst>
          </c:dPt>
          <c:dPt>
            <c:idx val="52"/>
            <c:marker>
              <c:spPr>
                <a:solidFill>
                  <a:srgbClr val="BFBFBF"/>
                </a:solidFill>
                <a:ln w="9525">
                  <a:noFill/>
                </a:ln>
                <a:effectLst/>
              </c:spPr>
            </c:marker>
            <c:bubble3D val="0"/>
            <c:extLst>
              <c:ext xmlns:c16="http://schemas.microsoft.com/office/drawing/2014/chart" uri="{C3380CC4-5D6E-409C-BE32-E72D297353CC}">
                <c16:uniqueId val="{00000036-6CAD-4084-8C8C-EDC0215AC44A}"/>
              </c:ext>
            </c:extLst>
          </c:dPt>
          <c:dPt>
            <c:idx val="53"/>
            <c:marker>
              <c:spPr>
                <a:solidFill>
                  <a:schemeClr val="accent4"/>
                </a:solidFill>
                <a:ln w="9525">
                  <a:noFill/>
                </a:ln>
                <a:effectLst/>
              </c:spPr>
            </c:marker>
            <c:bubble3D val="0"/>
            <c:extLst>
              <c:ext xmlns:c16="http://schemas.microsoft.com/office/drawing/2014/chart" uri="{C3380CC4-5D6E-409C-BE32-E72D297353CC}">
                <c16:uniqueId val="{00000037-6CAD-4084-8C8C-EDC0215AC44A}"/>
              </c:ext>
            </c:extLst>
          </c:dPt>
          <c:dPt>
            <c:idx val="54"/>
            <c:marker>
              <c:spPr>
                <a:solidFill>
                  <a:srgbClr val="53565A"/>
                </a:solidFill>
                <a:ln w="9525">
                  <a:noFill/>
                </a:ln>
                <a:effectLst/>
              </c:spPr>
            </c:marker>
            <c:bubble3D val="0"/>
            <c:extLst>
              <c:ext xmlns:c16="http://schemas.microsoft.com/office/drawing/2014/chart" uri="{C3380CC4-5D6E-409C-BE32-E72D297353CC}">
                <c16:uniqueId val="{00000038-6CAD-4084-8C8C-EDC0215AC44A}"/>
              </c:ext>
            </c:extLst>
          </c:dPt>
          <c:dPt>
            <c:idx val="55"/>
            <c:bubble3D val="0"/>
            <c:extLst>
              <c:ext xmlns:c16="http://schemas.microsoft.com/office/drawing/2014/chart" uri="{C3380CC4-5D6E-409C-BE32-E72D297353CC}">
                <c16:uniqueId val="{00000039-6CAD-4084-8C8C-EDC0215AC44A}"/>
              </c:ext>
            </c:extLst>
          </c:dPt>
          <c:dPt>
            <c:idx val="56"/>
            <c:marker>
              <c:spPr>
                <a:solidFill>
                  <a:srgbClr val="00ABAB"/>
                </a:solidFill>
                <a:ln w="9525">
                  <a:noFill/>
                </a:ln>
                <a:effectLst/>
              </c:spPr>
            </c:marker>
            <c:bubble3D val="0"/>
            <c:extLst>
              <c:ext xmlns:c16="http://schemas.microsoft.com/office/drawing/2014/chart" uri="{C3380CC4-5D6E-409C-BE32-E72D297353CC}">
                <c16:uniqueId val="{0000003A-6CAD-4084-8C8C-EDC0215AC44A}"/>
              </c:ext>
            </c:extLst>
          </c:dPt>
          <c:dPt>
            <c:idx val="57"/>
            <c:marker>
              <c:spPr>
                <a:solidFill>
                  <a:srgbClr val="BFBFBF"/>
                </a:solidFill>
                <a:ln w="9525">
                  <a:noFill/>
                </a:ln>
                <a:effectLst/>
              </c:spPr>
            </c:marker>
            <c:bubble3D val="0"/>
            <c:extLst>
              <c:ext xmlns:c16="http://schemas.microsoft.com/office/drawing/2014/chart" uri="{C3380CC4-5D6E-409C-BE32-E72D297353CC}">
                <c16:uniqueId val="{0000003B-6CAD-4084-8C8C-EDC0215AC44A}"/>
              </c:ext>
            </c:extLst>
          </c:dPt>
          <c:dPt>
            <c:idx val="58"/>
            <c:marker>
              <c:spPr>
                <a:solidFill>
                  <a:schemeClr val="accent4"/>
                </a:solidFill>
                <a:ln w="9525">
                  <a:noFill/>
                </a:ln>
                <a:effectLst/>
              </c:spPr>
            </c:marker>
            <c:bubble3D val="0"/>
            <c:extLst>
              <c:ext xmlns:c16="http://schemas.microsoft.com/office/drawing/2014/chart" uri="{C3380CC4-5D6E-409C-BE32-E72D297353CC}">
                <c16:uniqueId val="{0000003C-6CAD-4084-8C8C-EDC0215AC44A}"/>
              </c:ext>
            </c:extLst>
          </c:dPt>
          <c:dPt>
            <c:idx val="59"/>
            <c:marker>
              <c:spPr>
                <a:solidFill>
                  <a:srgbClr val="53565A"/>
                </a:solidFill>
                <a:ln w="9525">
                  <a:noFill/>
                </a:ln>
                <a:effectLst/>
              </c:spPr>
            </c:marker>
            <c:bubble3D val="0"/>
            <c:extLst>
              <c:ext xmlns:c16="http://schemas.microsoft.com/office/drawing/2014/chart" uri="{C3380CC4-5D6E-409C-BE32-E72D297353CC}">
                <c16:uniqueId val="{0000003D-6CAD-4084-8C8C-EDC0215AC44A}"/>
              </c:ext>
            </c:extLst>
          </c:dPt>
          <c:dPt>
            <c:idx val="60"/>
            <c:bubble3D val="0"/>
            <c:extLst>
              <c:ext xmlns:c16="http://schemas.microsoft.com/office/drawing/2014/chart" uri="{C3380CC4-5D6E-409C-BE32-E72D297353CC}">
                <c16:uniqueId val="{0000003E-6CAD-4084-8C8C-EDC0215AC44A}"/>
              </c:ext>
            </c:extLst>
          </c:dPt>
          <c:dPt>
            <c:idx val="61"/>
            <c:marker>
              <c:spPr>
                <a:solidFill>
                  <a:srgbClr val="00ABAB"/>
                </a:solidFill>
                <a:ln w="9525">
                  <a:noFill/>
                </a:ln>
                <a:effectLst/>
              </c:spPr>
            </c:marker>
            <c:bubble3D val="0"/>
            <c:extLst>
              <c:ext xmlns:c16="http://schemas.microsoft.com/office/drawing/2014/chart" uri="{C3380CC4-5D6E-409C-BE32-E72D297353CC}">
                <c16:uniqueId val="{0000003F-6CAD-4084-8C8C-EDC0215AC44A}"/>
              </c:ext>
            </c:extLst>
          </c:dPt>
          <c:dPt>
            <c:idx val="62"/>
            <c:marker>
              <c:spPr>
                <a:solidFill>
                  <a:srgbClr val="BFBFBF"/>
                </a:solidFill>
                <a:ln w="9525">
                  <a:noFill/>
                </a:ln>
                <a:effectLst/>
              </c:spPr>
            </c:marker>
            <c:bubble3D val="0"/>
            <c:extLst>
              <c:ext xmlns:c16="http://schemas.microsoft.com/office/drawing/2014/chart" uri="{C3380CC4-5D6E-409C-BE32-E72D297353CC}">
                <c16:uniqueId val="{00000040-6CAD-4084-8C8C-EDC0215AC44A}"/>
              </c:ext>
            </c:extLst>
          </c:dPt>
          <c:dPt>
            <c:idx val="63"/>
            <c:marker>
              <c:spPr>
                <a:solidFill>
                  <a:schemeClr val="accent4"/>
                </a:solidFill>
                <a:ln w="9525">
                  <a:noFill/>
                </a:ln>
                <a:effectLst/>
              </c:spPr>
            </c:marker>
            <c:bubble3D val="0"/>
            <c:extLst>
              <c:ext xmlns:c16="http://schemas.microsoft.com/office/drawing/2014/chart" uri="{C3380CC4-5D6E-409C-BE32-E72D297353CC}">
                <c16:uniqueId val="{00000041-6CAD-4084-8C8C-EDC0215AC44A}"/>
              </c:ext>
            </c:extLst>
          </c:dPt>
          <c:dPt>
            <c:idx val="64"/>
            <c:marker>
              <c:spPr>
                <a:solidFill>
                  <a:srgbClr val="53565A"/>
                </a:solidFill>
                <a:ln w="9525">
                  <a:noFill/>
                </a:ln>
                <a:effectLst/>
              </c:spPr>
            </c:marker>
            <c:bubble3D val="0"/>
            <c:extLst>
              <c:ext xmlns:c16="http://schemas.microsoft.com/office/drawing/2014/chart" uri="{C3380CC4-5D6E-409C-BE32-E72D297353CC}">
                <c16:uniqueId val="{00000042-6CAD-4084-8C8C-EDC0215AC44A}"/>
              </c:ext>
            </c:extLst>
          </c:dPt>
          <c:dPt>
            <c:idx val="65"/>
            <c:bubble3D val="0"/>
            <c:extLst>
              <c:ext xmlns:c16="http://schemas.microsoft.com/office/drawing/2014/chart" uri="{C3380CC4-5D6E-409C-BE32-E72D297353CC}">
                <c16:uniqueId val="{00000043-6CAD-4084-8C8C-EDC0215AC44A}"/>
              </c:ext>
            </c:extLst>
          </c:dPt>
          <c:dPt>
            <c:idx val="66"/>
            <c:marker>
              <c:spPr>
                <a:solidFill>
                  <a:srgbClr val="00ABAB"/>
                </a:solidFill>
                <a:ln w="9525">
                  <a:noFill/>
                </a:ln>
                <a:effectLst/>
              </c:spPr>
            </c:marker>
            <c:bubble3D val="0"/>
            <c:extLst>
              <c:ext xmlns:c16="http://schemas.microsoft.com/office/drawing/2014/chart" uri="{C3380CC4-5D6E-409C-BE32-E72D297353CC}">
                <c16:uniqueId val="{00000044-6CAD-4084-8C8C-EDC0215AC44A}"/>
              </c:ext>
            </c:extLst>
          </c:dPt>
          <c:dPt>
            <c:idx val="67"/>
            <c:marker>
              <c:spPr>
                <a:solidFill>
                  <a:srgbClr val="BFBFBF"/>
                </a:solidFill>
                <a:ln w="9525">
                  <a:noFill/>
                </a:ln>
                <a:effectLst/>
              </c:spPr>
            </c:marker>
            <c:bubble3D val="0"/>
            <c:extLst>
              <c:ext xmlns:c16="http://schemas.microsoft.com/office/drawing/2014/chart" uri="{C3380CC4-5D6E-409C-BE32-E72D297353CC}">
                <c16:uniqueId val="{00000045-6CAD-4084-8C8C-EDC0215AC44A}"/>
              </c:ext>
            </c:extLst>
          </c:dPt>
          <c:dPt>
            <c:idx val="68"/>
            <c:marker>
              <c:spPr>
                <a:solidFill>
                  <a:schemeClr val="accent4"/>
                </a:solidFill>
                <a:ln w="9525">
                  <a:noFill/>
                </a:ln>
                <a:effectLst/>
              </c:spPr>
            </c:marker>
            <c:bubble3D val="0"/>
            <c:extLst>
              <c:ext xmlns:c16="http://schemas.microsoft.com/office/drawing/2014/chart" uri="{C3380CC4-5D6E-409C-BE32-E72D297353CC}">
                <c16:uniqueId val="{00000046-6CAD-4084-8C8C-EDC0215AC44A}"/>
              </c:ext>
            </c:extLst>
          </c:dPt>
          <c:dPt>
            <c:idx val="69"/>
            <c:marker>
              <c:spPr>
                <a:solidFill>
                  <a:srgbClr val="53565A"/>
                </a:solidFill>
                <a:ln w="9525">
                  <a:noFill/>
                </a:ln>
                <a:effectLst/>
              </c:spPr>
            </c:marker>
            <c:bubble3D val="0"/>
            <c:extLst>
              <c:ext xmlns:c16="http://schemas.microsoft.com/office/drawing/2014/chart" uri="{C3380CC4-5D6E-409C-BE32-E72D297353CC}">
                <c16:uniqueId val="{00000047-6CAD-4084-8C8C-EDC0215AC44A}"/>
              </c:ext>
            </c:extLst>
          </c:dPt>
          <c:dPt>
            <c:idx val="70"/>
            <c:bubble3D val="0"/>
            <c:extLst>
              <c:ext xmlns:c16="http://schemas.microsoft.com/office/drawing/2014/chart" uri="{C3380CC4-5D6E-409C-BE32-E72D297353CC}">
                <c16:uniqueId val="{00000048-6CAD-4084-8C8C-EDC0215AC44A}"/>
              </c:ext>
            </c:extLst>
          </c:dPt>
          <c:dPt>
            <c:idx val="71"/>
            <c:marker>
              <c:spPr>
                <a:solidFill>
                  <a:srgbClr val="00ABAB"/>
                </a:solidFill>
                <a:ln w="9525">
                  <a:noFill/>
                </a:ln>
                <a:effectLst/>
              </c:spPr>
            </c:marker>
            <c:bubble3D val="0"/>
            <c:extLst>
              <c:ext xmlns:c16="http://schemas.microsoft.com/office/drawing/2014/chart" uri="{C3380CC4-5D6E-409C-BE32-E72D297353CC}">
                <c16:uniqueId val="{00000049-6CAD-4084-8C8C-EDC0215AC44A}"/>
              </c:ext>
            </c:extLst>
          </c:dPt>
          <c:dPt>
            <c:idx val="72"/>
            <c:marker>
              <c:spPr>
                <a:solidFill>
                  <a:srgbClr val="BFBFBF"/>
                </a:solidFill>
                <a:ln w="9525">
                  <a:noFill/>
                </a:ln>
                <a:effectLst/>
              </c:spPr>
            </c:marker>
            <c:bubble3D val="0"/>
            <c:extLst>
              <c:ext xmlns:c16="http://schemas.microsoft.com/office/drawing/2014/chart" uri="{C3380CC4-5D6E-409C-BE32-E72D297353CC}">
                <c16:uniqueId val="{0000004A-6CAD-4084-8C8C-EDC0215AC44A}"/>
              </c:ext>
            </c:extLst>
          </c:dPt>
          <c:dPt>
            <c:idx val="73"/>
            <c:marker>
              <c:spPr>
                <a:solidFill>
                  <a:schemeClr val="accent4"/>
                </a:solidFill>
                <a:ln w="9525">
                  <a:noFill/>
                </a:ln>
                <a:effectLst/>
              </c:spPr>
            </c:marker>
            <c:bubble3D val="0"/>
            <c:extLst>
              <c:ext xmlns:c16="http://schemas.microsoft.com/office/drawing/2014/chart" uri="{C3380CC4-5D6E-409C-BE32-E72D297353CC}">
                <c16:uniqueId val="{0000004B-6CAD-4084-8C8C-EDC0215AC44A}"/>
              </c:ext>
            </c:extLst>
          </c:dPt>
          <c:dPt>
            <c:idx val="74"/>
            <c:marker>
              <c:spPr>
                <a:solidFill>
                  <a:srgbClr val="53565A"/>
                </a:solidFill>
                <a:ln w="9525">
                  <a:noFill/>
                </a:ln>
                <a:effectLst/>
              </c:spPr>
            </c:marker>
            <c:bubble3D val="0"/>
            <c:extLst>
              <c:ext xmlns:c16="http://schemas.microsoft.com/office/drawing/2014/chart" uri="{C3380CC4-5D6E-409C-BE32-E72D297353CC}">
                <c16:uniqueId val="{0000004C-6CAD-4084-8C8C-EDC0215AC44A}"/>
              </c:ext>
            </c:extLst>
          </c:dPt>
          <c:dPt>
            <c:idx val="75"/>
            <c:bubble3D val="0"/>
            <c:extLst>
              <c:ext xmlns:c16="http://schemas.microsoft.com/office/drawing/2014/chart" uri="{C3380CC4-5D6E-409C-BE32-E72D297353CC}">
                <c16:uniqueId val="{0000004D-6CAD-4084-8C8C-EDC0215AC44A}"/>
              </c:ext>
            </c:extLst>
          </c:dPt>
          <c:dPt>
            <c:idx val="76"/>
            <c:marker>
              <c:spPr>
                <a:solidFill>
                  <a:srgbClr val="00ABAB"/>
                </a:solidFill>
                <a:ln w="9525">
                  <a:noFill/>
                </a:ln>
                <a:effectLst/>
              </c:spPr>
            </c:marker>
            <c:bubble3D val="0"/>
            <c:extLst>
              <c:ext xmlns:c16="http://schemas.microsoft.com/office/drawing/2014/chart" uri="{C3380CC4-5D6E-409C-BE32-E72D297353CC}">
                <c16:uniqueId val="{0000004E-6CAD-4084-8C8C-EDC0215AC44A}"/>
              </c:ext>
            </c:extLst>
          </c:dPt>
          <c:dPt>
            <c:idx val="77"/>
            <c:marker>
              <c:spPr>
                <a:solidFill>
                  <a:srgbClr val="BFBFBF"/>
                </a:solidFill>
                <a:ln w="9525">
                  <a:noFill/>
                </a:ln>
                <a:effectLst/>
              </c:spPr>
            </c:marker>
            <c:bubble3D val="0"/>
            <c:extLst>
              <c:ext xmlns:c16="http://schemas.microsoft.com/office/drawing/2014/chart" uri="{C3380CC4-5D6E-409C-BE32-E72D297353CC}">
                <c16:uniqueId val="{0000004F-6CAD-4084-8C8C-EDC0215AC44A}"/>
              </c:ext>
            </c:extLst>
          </c:dPt>
          <c:dPt>
            <c:idx val="78"/>
            <c:marker>
              <c:spPr>
                <a:solidFill>
                  <a:schemeClr val="accent4"/>
                </a:solidFill>
                <a:ln w="9525">
                  <a:noFill/>
                </a:ln>
                <a:effectLst/>
              </c:spPr>
            </c:marker>
            <c:bubble3D val="0"/>
            <c:extLst>
              <c:ext xmlns:c16="http://schemas.microsoft.com/office/drawing/2014/chart" uri="{C3380CC4-5D6E-409C-BE32-E72D297353CC}">
                <c16:uniqueId val="{00000050-6CAD-4084-8C8C-EDC0215AC44A}"/>
              </c:ext>
            </c:extLst>
          </c:dPt>
          <c:dPt>
            <c:idx val="79"/>
            <c:marker>
              <c:spPr>
                <a:solidFill>
                  <a:srgbClr val="53565A"/>
                </a:solidFill>
                <a:ln w="9525">
                  <a:noFill/>
                </a:ln>
                <a:effectLst/>
              </c:spPr>
            </c:marker>
            <c:bubble3D val="0"/>
            <c:extLst>
              <c:ext xmlns:c16="http://schemas.microsoft.com/office/drawing/2014/chart" uri="{C3380CC4-5D6E-409C-BE32-E72D297353CC}">
                <c16:uniqueId val="{00000051-6CAD-4084-8C8C-EDC0215AC44A}"/>
              </c:ext>
            </c:extLst>
          </c:dPt>
          <c:dPt>
            <c:idx val="80"/>
            <c:bubble3D val="0"/>
            <c:extLst>
              <c:ext xmlns:c16="http://schemas.microsoft.com/office/drawing/2014/chart" uri="{C3380CC4-5D6E-409C-BE32-E72D297353CC}">
                <c16:uniqueId val="{00000052-6CAD-4084-8C8C-EDC0215AC44A}"/>
              </c:ext>
            </c:extLst>
          </c:dPt>
          <c:dPt>
            <c:idx val="81"/>
            <c:marker>
              <c:spPr>
                <a:solidFill>
                  <a:srgbClr val="00ABAB"/>
                </a:solidFill>
                <a:ln w="9525">
                  <a:noFill/>
                </a:ln>
                <a:effectLst/>
              </c:spPr>
            </c:marker>
            <c:bubble3D val="0"/>
            <c:extLst>
              <c:ext xmlns:c16="http://schemas.microsoft.com/office/drawing/2014/chart" uri="{C3380CC4-5D6E-409C-BE32-E72D297353CC}">
                <c16:uniqueId val="{00000053-6CAD-4084-8C8C-EDC0215AC44A}"/>
              </c:ext>
            </c:extLst>
          </c:dPt>
          <c:dPt>
            <c:idx val="82"/>
            <c:marker>
              <c:spPr>
                <a:solidFill>
                  <a:srgbClr val="BFBFBF"/>
                </a:solidFill>
                <a:ln w="9525">
                  <a:noFill/>
                </a:ln>
                <a:effectLst/>
              </c:spPr>
            </c:marker>
            <c:bubble3D val="0"/>
            <c:extLst>
              <c:ext xmlns:c16="http://schemas.microsoft.com/office/drawing/2014/chart" uri="{C3380CC4-5D6E-409C-BE32-E72D297353CC}">
                <c16:uniqueId val="{00000054-6CAD-4084-8C8C-EDC0215AC44A}"/>
              </c:ext>
            </c:extLst>
          </c:dPt>
          <c:dPt>
            <c:idx val="83"/>
            <c:marker>
              <c:spPr>
                <a:solidFill>
                  <a:schemeClr val="accent4"/>
                </a:solidFill>
                <a:ln w="9525">
                  <a:noFill/>
                </a:ln>
                <a:effectLst/>
              </c:spPr>
            </c:marker>
            <c:bubble3D val="0"/>
            <c:extLst>
              <c:ext xmlns:c16="http://schemas.microsoft.com/office/drawing/2014/chart" uri="{C3380CC4-5D6E-409C-BE32-E72D297353CC}">
                <c16:uniqueId val="{00000055-6CAD-4084-8C8C-EDC0215AC44A}"/>
              </c:ext>
            </c:extLst>
          </c:dPt>
          <c:dPt>
            <c:idx val="84"/>
            <c:marker>
              <c:spPr>
                <a:solidFill>
                  <a:srgbClr val="53565A"/>
                </a:solidFill>
                <a:ln w="9525">
                  <a:noFill/>
                </a:ln>
                <a:effectLst/>
              </c:spPr>
            </c:marker>
            <c:bubble3D val="0"/>
            <c:extLst>
              <c:ext xmlns:c16="http://schemas.microsoft.com/office/drawing/2014/chart" uri="{C3380CC4-5D6E-409C-BE32-E72D297353CC}">
                <c16:uniqueId val="{00000056-6CAD-4084-8C8C-EDC0215AC44A}"/>
              </c:ext>
            </c:extLst>
          </c:dPt>
          <c:dPt>
            <c:idx val="85"/>
            <c:bubble3D val="0"/>
            <c:extLst>
              <c:ext xmlns:c16="http://schemas.microsoft.com/office/drawing/2014/chart" uri="{C3380CC4-5D6E-409C-BE32-E72D297353CC}">
                <c16:uniqueId val="{00000057-6CAD-4084-8C8C-EDC0215AC44A}"/>
              </c:ext>
            </c:extLst>
          </c:dPt>
          <c:dPt>
            <c:idx val="86"/>
            <c:marker>
              <c:spPr>
                <a:solidFill>
                  <a:srgbClr val="00ABAB"/>
                </a:solidFill>
                <a:ln w="9525">
                  <a:noFill/>
                </a:ln>
                <a:effectLst/>
              </c:spPr>
            </c:marker>
            <c:bubble3D val="0"/>
            <c:extLst>
              <c:ext xmlns:c16="http://schemas.microsoft.com/office/drawing/2014/chart" uri="{C3380CC4-5D6E-409C-BE32-E72D297353CC}">
                <c16:uniqueId val="{00000058-6CAD-4084-8C8C-EDC0215AC44A}"/>
              </c:ext>
            </c:extLst>
          </c:dPt>
          <c:dPt>
            <c:idx val="87"/>
            <c:marker>
              <c:spPr>
                <a:solidFill>
                  <a:srgbClr val="BFBFBF"/>
                </a:solidFill>
                <a:ln w="9525">
                  <a:noFill/>
                </a:ln>
                <a:effectLst/>
              </c:spPr>
            </c:marker>
            <c:bubble3D val="0"/>
            <c:extLst>
              <c:ext xmlns:c16="http://schemas.microsoft.com/office/drawing/2014/chart" uri="{C3380CC4-5D6E-409C-BE32-E72D297353CC}">
                <c16:uniqueId val="{00000059-6CAD-4084-8C8C-EDC0215AC44A}"/>
              </c:ext>
            </c:extLst>
          </c:dPt>
          <c:dPt>
            <c:idx val="88"/>
            <c:marker>
              <c:spPr>
                <a:solidFill>
                  <a:schemeClr val="accent4"/>
                </a:solidFill>
                <a:ln w="9525">
                  <a:noFill/>
                </a:ln>
                <a:effectLst/>
              </c:spPr>
            </c:marker>
            <c:bubble3D val="0"/>
            <c:extLst>
              <c:ext xmlns:c16="http://schemas.microsoft.com/office/drawing/2014/chart" uri="{C3380CC4-5D6E-409C-BE32-E72D297353CC}">
                <c16:uniqueId val="{0000005A-6CAD-4084-8C8C-EDC0215AC44A}"/>
              </c:ext>
            </c:extLst>
          </c:dPt>
          <c:dPt>
            <c:idx val="89"/>
            <c:marker>
              <c:spPr>
                <a:solidFill>
                  <a:srgbClr val="53565A"/>
                </a:solidFill>
                <a:ln w="9525">
                  <a:noFill/>
                </a:ln>
                <a:effectLst/>
              </c:spPr>
            </c:marker>
            <c:bubble3D val="0"/>
            <c:extLst>
              <c:ext xmlns:c16="http://schemas.microsoft.com/office/drawing/2014/chart" uri="{C3380CC4-5D6E-409C-BE32-E72D297353CC}">
                <c16:uniqueId val="{0000005B-6CAD-4084-8C8C-EDC0215AC44A}"/>
              </c:ext>
            </c:extLst>
          </c:dPt>
          <c:dPt>
            <c:idx val="90"/>
            <c:bubble3D val="0"/>
            <c:extLst>
              <c:ext xmlns:c16="http://schemas.microsoft.com/office/drawing/2014/chart" uri="{C3380CC4-5D6E-409C-BE32-E72D297353CC}">
                <c16:uniqueId val="{0000005C-6CAD-4084-8C8C-EDC0215AC44A}"/>
              </c:ext>
            </c:extLst>
          </c:dPt>
          <c:dPt>
            <c:idx val="91"/>
            <c:marker>
              <c:spPr>
                <a:solidFill>
                  <a:srgbClr val="00ABAB"/>
                </a:solidFill>
                <a:ln w="9525">
                  <a:noFill/>
                </a:ln>
                <a:effectLst/>
              </c:spPr>
            </c:marker>
            <c:bubble3D val="0"/>
            <c:extLst>
              <c:ext xmlns:c16="http://schemas.microsoft.com/office/drawing/2014/chart" uri="{C3380CC4-5D6E-409C-BE32-E72D297353CC}">
                <c16:uniqueId val="{0000005D-6CAD-4084-8C8C-EDC0215AC44A}"/>
              </c:ext>
            </c:extLst>
          </c:dPt>
          <c:dPt>
            <c:idx val="92"/>
            <c:marker>
              <c:spPr>
                <a:solidFill>
                  <a:srgbClr val="BFBFBF"/>
                </a:solidFill>
                <a:ln w="9525">
                  <a:noFill/>
                </a:ln>
                <a:effectLst/>
              </c:spPr>
            </c:marker>
            <c:bubble3D val="0"/>
            <c:extLst>
              <c:ext xmlns:c16="http://schemas.microsoft.com/office/drawing/2014/chart" uri="{C3380CC4-5D6E-409C-BE32-E72D297353CC}">
                <c16:uniqueId val="{0000005E-6CAD-4084-8C8C-EDC0215AC44A}"/>
              </c:ext>
            </c:extLst>
          </c:dPt>
          <c:dPt>
            <c:idx val="93"/>
            <c:marker>
              <c:spPr>
                <a:solidFill>
                  <a:schemeClr val="accent4"/>
                </a:solidFill>
                <a:ln w="9525">
                  <a:noFill/>
                </a:ln>
                <a:effectLst/>
              </c:spPr>
            </c:marker>
            <c:bubble3D val="0"/>
            <c:extLst>
              <c:ext xmlns:c16="http://schemas.microsoft.com/office/drawing/2014/chart" uri="{C3380CC4-5D6E-409C-BE32-E72D297353CC}">
                <c16:uniqueId val="{0000005F-6CAD-4084-8C8C-EDC0215AC44A}"/>
              </c:ext>
            </c:extLst>
          </c:dPt>
          <c:dPt>
            <c:idx val="94"/>
            <c:marker>
              <c:spPr>
                <a:solidFill>
                  <a:srgbClr val="53565A"/>
                </a:solidFill>
                <a:ln w="9525">
                  <a:noFill/>
                </a:ln>
                <a:effectLst/>
              </c:spPr>
            </c:marker>
            <c:bubble3D val="0"/>
            <c:extLst>
              <c:ext xmlns:c16="http://schemas.microsoft.com/office/drawing/2014/chart" uri="{C3380CC4-5D6E-409C-BE32-E72D297353CC}">
                <c16:uniqueId val="{00000060-6CAD-4084-8C8C-EDC0215AC44A}"/>
              </c:ext>
            </c:extLst>
          </c:dPt>
          <c:dPt>
            <c:idx val="95"/>
            <c:bubble3D val="0"/>
            <c:extLst>
              <c:ext xmlns:c16="http://schemas.microsoft.com/office/drawing/2014/chart" uri="{C3380CC4-5D6E-409C-BE32-E72D297353CC}">
                <c16:uniqueId val="{00000061-6CAD-4084-8C8C-EDC0215AC44A}"/>
              </c:ext>
            </c:extLst>
          </c:dPt>
          <c:dPt>
            <c:idx val="96"/>
            <c:marker>
              <c:spPr>
                <a:solidFill>
                  <a:srgbClr val="00ABAB"/>
                </a:solidFill>
                <a:ln w="9525">
                  <a:noFill/>
                </a:ln>
                <a:effectLst/>
              </c:spPr>
            </c:marker>
            <c:bubble3D val="0"/>
            <c:extLst>
              <c:ext xmlns:c16="http://schemas.microsoft.com/office/drawing/2014/chart" uri="{C3380CC4-5D6E-409C-BE32-E72D297353CC}">
                <c16:uniqueId val="{00000062-6CAD-4084-8C8C-EDC0215AC44A}"/>
              </c:ext>
            </c:extLst>
          </c:dPt>
          <c:dPt>
            <c:idx val="97"/>
            <c:marker>
              <c:spPr>
                <a:solidFill>
                  <a:srgbClr val="BFBFBF"/>
                </a:solidFill>
                <a:ln w="9525">
                  <a:noFill/>
                </a:ln>
                <a:effectLst/>
              </c:spPr>
            </c:marker>
            <c:bubble3D val="0"/>
            <c:extLst>
              <c:ext xmlns:c16="http://schemas.microsoft.com/office/drawing/2014/chart" uri="{C3380CC4-5D6E-409C-BE32-E72D297353CC}">
                <c16:uniqueId val="{00000063-6CAD-4084-8C8C-EDC0215AC44A}"/>
              </c:ext>
            </c:extLst>
          </c:dPt>
          <c:dPt>
            <c:idx val="98"/>
            <c:marker>
              <c:spPr>
                <a:solidFill>
                  <a:schemeClr val="accent4"/>
                </a:solidFill>
                <a:ln w="9525">
                  <a:noFill/>
                </a:ln>
                <a:effectLst/>
              </c:spPr>
            </c:marker>
            <c:bubble3D val="0"/>
            <c:extLst>
              <c:ext xmlns:c16="http://schemas.microsoft.com/office/drawing/2014/chart" uri="{C3380CC4-5D6E-409C-BE32-E72D297353CC}">
                <c16:uniqueId val="{00000064-6CAD-4084-8C8C-EDC0215AC44A}"/>
              </c:ext>
            </c:extLst>
          </c:dPt>
          <c:dPt>
            <c:idx val="99"/>
            <c:marker>
              <c:spPr>
                <a:solidFill>
                  <a:srgbClr val="53565A"/>
                </a:solidFill>
                <a:ln w="9525">
                  <a:noFill/>
                </a:ln>
                <a:effectLst/>
              </c:spPr>
            </c:marker>
            <c:bubble3D val="0"/>
            <c:extLst>
              <c:ext xmlns:c16="http://schemas.microsoft.com/office/drawing/2014/chart" uri="{C3380CC4-5D6E-409C-BE32-E72D297353CC}">
                <c16:uniqueId val="{00000065-6CAD-4084-8C8C-EDC0215AC44A}"/>
              </c:ext>
            </c:extLst>
          </c:dPt>
          <c:cat>
            <c:strRef>
              <c:f>'Comp to Prev_All FOEs (15-20)'!$DE$7:$GZ$7</c:f>
              <c:strCache>
                <c:ptCount val="100"/>
                <c:pt idx="0">
                  <c:v>MathSci (n=15)</c:v>
                </c:pt>
                <c:pt idx="1">
                  <c:v>(n=14)</c:v>
                </c:pt>
                <c:pt idx="2">
                  <c:v>(n=15)</c:v>
                </c:pt>
                <c:pt idx="3">
                  <c:v>(n=15)</c:v>
                </c:pt>
                <c:pt idx="4">
                  <c:v>(n=15)</c:v>
                </c:pt>
                <c:pt idx="5">
                  <c:v>MedicalSci (n=6)</c:v>
                </c:pt>
                <c:pt idx="6">
                  <c:v>(n=6)</c:v>
                </c:pt>
                <c:pt idx="7">
                  <c:v>(n=5)</c:v>
                </c:pt>
                <c:pt idx="8">
                  <c:v>(n=5)</c:v>
                </c:pt>
                <c:pt idx="9">
                  <c:v>(n=5)</c:v>
                </c:pt>
                <c:pt idx="10">
                  <c:v>OthNat-PhysSci (n=14)</c:v>
                </c:pt>
                <c:pt idx="11">
                  <c:v>(n=14)</c:v>
                </c:pt>
                <c:pt idx="12">
                  <c:v>(n=14)</c:v>
                </c:pt>
                <c:pt idx="13">
                  <c:v>(n=14)</c:v>
                </c:pt>
                <c:pt idx="14">
                  <c:v>(n=13)</c:v>
                </c:pt>
                <c:pt idx="15">
                  <c:v>InfoTech (n=17)</c:v>
                </c:pt>
                <c:pt idx="16">
                  <c:v>(n=16)</c:v>
                </c:pt>
                <c:pt idx="17">
                  <c:v>(n=17)</c:v>
                </c:pt>
                <c:pt idx="18">
                  <c:v>(n=17)</c:v>
                </c:pt>
                <c:pt idx="19">
                  <c:v>(n=17)</c:v>
                </c:pt>
                <c:pt idx="20">
                  <c:v>Eng&amp;Related (n=15)</c:v>
                </c:pt>
                <c:pt idx="21">
                  <c:v>(n=15)</c:v>
                </c:pt>
                <c:pt idx="22">
                  <c:v>(n=15)</c:v>
                </c:pt>
                <c:pt idx="23">
                  <c:v>(n=14)</c:v>
                </c:pt>
                <c:pt idx="24">
                  <c:v>(n=15)</c:v>
                </c:pt>
                <c:pt idx="25">
                  <c:v>Archi&amp;Build (n=11)</c:v>
                </c:pt>
                <c:pt idx="26">
                  <c:v>(n=10)</c:v>
                </c:pt>
                <c:pt idx="27">
                  <c:v>(n=9)</c:v>
                </c:pt>
                <c:pt idx="28">
                  <c:v>(n=10)</c:v>
                </c:pt>
                <c:pt idx="29">
                  <c:v>(n=9)</c:v>
                </c:pt>
                <c:pt idx="30">
                  <c:v>Environment (n=15)</c:v>
                </c:pt>
                <c:pt idx="31">
                  <c:v>(n=11)</c:v>
                </c:pt>
                <c:pt idx="32">
                  <c:v>(n=12)</c:v>
                </c:pt>
                <c:pt idx="33">
                  <c:v>(n=12)</c:v>
                </c:pt>
                <c:pt idx="34">
                  <c:v>(n=14)</c:v>
                </c:pt>
                <c:pt idx="35">
                  <c:v>OthAg&amp;Enviro (n=6)</c:v>
                </c:pt>
                <c:pt idx="36">
                  <c:v>(n=7)</c:v>
                </c:pt>
                <c:pt idx="37">
                  <c:v>(n=7)</c:v>
                </c:pt>
                <c:pt idx="38">
                  <c:v>(n=7)</c:v>
                </c:pt>
                <c:pt idx="39">
                  <c:v>(n=8)</c:v>
                </c:pt>
                <c:pt idx="40">
                  <c:v>MedicalStudies (n=12)</c:v>
                </c:pt>
                <c:pt idx="41">
                  <c:v>(n=10)</c:v>
                </c:pt>
                <c:pt idx="42">
                  <c:v>(n=10)</c:v>
                </c:pt>
                <c:pt idx="43">
                  <c:v>(n=11)</c:v>
                </c:pt>
                <c:pt idx="44">
                  <c:v>(n=10)</c:v>
                </c:pt>
                <c:pt idx="45">
                  <c:v>Dental (n=4)</c:v>
                </c:pt>
                <c:pt idx="46">
                  <c:v>(n=6)</c:v>
                </c:pt>
                <c:pt idx="47">
                  <c:v>(n=6)</c:v>
                </c:pt>
                <c:pt idx="48">
                  <c:v>(n=5)</c:v>
                </c:pt>
                <c:pt idx="49">
                  <c:v>(n=6)</c:v>
                </c:pt>
                <c:pt idx="50">
                  <c:v>Veterinary (n=4)</c:v>
                </c:pt>
                <c:pt idx="51">
                  <c:v>(n=3)</c:v>
                </c:pt>
                <c:pt idx="52">
                  <c:v>(n=3)</c:v>
                </c:pt>
                <c:pt idx="53">
                  <c:v>(n=2)</c:v>
                </c:pt>
                <c:pt idx="54">
                  <c:v>(n=2)</c:v>
                </c:pt>
                <c:pt idx="55">
                  <c:v>OthHealth (n=17)</c:v>
                </c:pt>
                <c:pt idx="56">
                  <c:v>(n=17)</c:v>
                </c:pt>
                <c:pt idx="57">
                  <c:v>(n=17)</c:v>
                </c:pt>
                <c:pt idx="58">
                  <c:v>(n=17)</c:v>
                </c:pt>
                <c:pt idx="59">
                  <c:v>(n=17)</c:v>
                </c:pt>
                <c:pt idx="60">
                  <c:v>Education (n=17)</c:v>
                </c:pt>
                <c:pt idx="61">
                  <c:v>(n=16)</c:v>
                </c:pt>
                <c:pt idx="62">
                  <c:v>(n=17)</c:v>
                </c:pt>
                <c:pt idx="63">
                  <c:v>(n=17)</c:v>
                </c:pt>
                <c:pt idx="64">
                  <c:v>(n=17)</c:v>
                </c:pt>
                <c:pt idx="65">
                  <c:v>Mgmt&amp;Comm (n=17)</c:v>
                </c:pt>
                <c:pt idx="66">
                  <c:v>(n=16)</c:v>
                </c:pt>
                <c:pt idx="67">
                  <c:v>(n=17)</c:v>
                </c:pt>
                <c:pt idx="68">
                  <c:v>(n=17)</c:v>
                </c:pt>
                <c:pt idx="69">
                  <c:v>(n=17)</c:v>
                </c:pt>
                <c:pt idx="70">
                  <c:v>ForeignLang (n=9)</c:v>
                </c:pt>
                <c:pt idx="71">
                  <c:v>(n=6)</c:v>
                </c:pt>
                <c:pt idx="72">
                  <c:v>(n=6)</c:v>
                </c:pt>
                <c:pt idx="73">
                  <c:v>(n=6)</c:v>
                </c:pt>
                <c:pt idx="74">
                  <c:v>(n=6)</c:v>
                </c:pt>
                <c:pt idx="75">
                  <c:v>Psych (n=15)</c:v>
                </c:pt>
                <c:pt idx="76">
                  <c:v>(n=15)</c:v>
                </c:pt>
                <c:pt idx="77">
                  <c:v>(n=16)</c:v>
                </c:pt>
                <c:pt idx="78">
                  <c:v>(n=16)</c:v>
                </c:pt>
                <c:pt idx="79">
                  <c:v>(n=16)</c:v>
                </c:pt>
                <c:pt idx="80">
                  <c:v>OtherSoc&amp;Cult (n=17)</c:v>
                </c:pt>
                <c:pt idx="81">
                  <c:v>(n=16)</c:v>
                </c:pt>
                <c:pt idx="82">
                  <c:v>(n=17)</c:v>
                </c:pt>
                <c:pt idx="83">
                  <c:v>(n=17)</c:v>
                </c:pt>
                <c:pt idx="84">
                  <c:v>(n=17)</c:v>
                </c:pt>
                <c:pt idx="85">
                  <c:v>Comms&amp;Media (n=14)</c:v>
                </c:pt>
                <c:pt idx="86">
                  <c:v>(n=12)</c:v>
                </c:pt>
                <c:pt idx="87">
                  <c:v>(n=13)</c:v>
                </c:pt>
                <c:pt idx="88">
                  <c:v>(n=13)</c:v>
                </c:pt>
                <c:pt idx="89">
                  <c:v>(n=11)</c:v>
                </c:pt>
                <c:pt idx="90">
                  <c:v>OthCreative (n=13)</c:v>
                </c:pt>
                <c:pt idx="91">
                  <c:v>(n=11)</c:v>
                </c:pt>
                <c:pt idx="92">
                  <c:v>(n=12)</c:v>
                </c:pt>
                <c:pt idx="93">
                  <c:v>(n=9)</c:v>
                </c:pt>
                <c:pt idx="94">
                  <c:v>(n=9)</c:v>
                </c:pt>
                <c:pt idx="95">
                  <c:v>Total (n=17)</c:v>
                </c:pt>
                <c:pt idx="96">
                  <c:v>(n=16)</c:v>
                </c:pt>
                <c:pt idx="97">
                  <c:v>(n=17)</c:v>
                </c:pt>
                <c:pt idx="98">
                  <c:v>(n=17)</c:v>
                </c:pt>
                <c:pt idx="99">
                  <c:v>(n=17)</c:v>
                </c:pt>
              </c:strCache>
            </c:strRef>
          </c:cat>
          <c:val>
            <c:numRef>
              <c:f>'Comp to Prev_All FOEs (15-20)'!$DE$32:$GZ$32</c:f>
              <c:numCache>
                <c:formatCode>#,##0</c:formatCode>
                <c:ptCount val="100"/>
                <c:pt idx="0">
                  <c:v>27305.077725625459</c:v>
                </c:pt>
                <c:pt idx="1">
                  <c:v>22774.067678702271</c:v>
                </c:pt>
                <c:pt idx="2">
                  <c:v>21605.558684644478</c:v>
                </c:pt>
                <c:pt idx="3">
                  <c:v>20844.588617626134</c:v>
                </c:pt>
                <c:pt idx="4">
                  <c:v>22886.148520835246</c:v>
                </c:pt>
                <c:pt idx="5">
                  <c:v>37091.389253950852</c:v>
                </c:pt>
                <c:pt idx="6">
                  <c:v>22903.499542322534</c:v>
                </c:pt>
                <c:pt idx="7">
                  <c:v>25757.762543331621</c:v>
                </c:pt>
                <c:pt idx="8">
                  <c:v>32744.120379567252</c:v>
                </c:pt>
                <c:pt idx="9">
                  <c:v>37869.514948785734</c:v>
                </c:pt>
                <c:pt idx="10">
                  <c:v>37696.36448100023</c:v>
                </c:pt>
                <c:pt idx="11">
                  <c:v>31975.001233290583</c:v>
                </c:pt>
                <c:pt idx="12">
                  <c:v>32978.45190512119</c:v>
                </c:pt>
                <c:pt idx="13">
                  <c:v>29901.379495003053</c:v>
                </c:pt>
                <c:pt idx="14">
                  <c:v>30008.257557097739</c:v>
                </c:pt>
                <c:pt idx="15">
                  <c:v>18931.535207241646</c:v>
                </c:pt>
                <c:pt idx="16">
                  <c:v>20200.247190068741</c:v>
                </c:pt>
                <c:pt idx="17">
                  <c:v>19207.106366152268</c:v>
                </c:pt>
                <c:pt idx="18">
                  <c:v>19580.655309128146</c:v>
                </c:pt>
                <c:pt idx="19">
                  <c:v>18765.522842781716</c:v>
                </c:pt>
                <c:pt idx="20">
                  <c:v>26454.175965602739</c:v>
                </c:pt>
                <c:pt idx="21">
                  <c:v>25328.614064545935</c:v>
                </c:pt>
                <c:pt idx="22">
                  <c:v>24467.47837364654</c:v>
                </c:pt>
                <c:pt idx="23">
                  <c:v>24811.283426874106</c:v>
                </c:pt>
                <c:pt idx="24">
                  <c:v>25120.297351865374</c:v>
                </c:pt>
                <c:pt idx="25">
                  <c:v>22709.675131776126</c:v>
                </c:pt>
                <c:pt idx="26">
                  <c:v>22734.263502140606</c:v>
                </c:pt>
                <c:pt idx="27">
                  <c:v>22182.100238080897</c:v>
                </c:pt>
                <c:pt idx="28">
                  <c:v>22176.493631433073</c:v>
                </c:pt>
                <c:pt idx="29">
                  <c:v>22545.012307059289</c:v>
                </c:pt>
                <c:pt idx="30">
                  <c:v>24282.525827500798</c:v>
                </c:pt>
                <c:pt idx="31">
                  <c:v>26552.452694011674</c:v>
                </c:pt>
                <c:pt idx="32">
                  <c:v>24606.759570012055</c:v>
                </c:pt>
                <c:pt idx="33">
                  <c:v>25893.74962566443</c:v>
                </c:pt>
                <c:pt idx="34">
                  <c:v>23489.899634159174</c:v>
                </c:pt>
                <c:pt idx="35">
                  <c:v>53955.349807728802</c:v>
                </c:pt>
                <c:pt idx="36">
                  <c:v>41064.254431508969</c:v>
                </c:pt>
                <c:pt idx="37">
                  <c:v>45227.13950396244</c:v>
                </c:pt>
                <c:pt idx="38">
                  <c:v>40998.546657940467</c:v>
                </c:pt>
                <c:pt idx="39">
                  <c:v>42487.461777438111</c:v>
                </c:pt>
                <c:pt idx="40">
                  <c:v>32537.837763526069</c:v>
                </c:pt>
                <c:pt idx="41">
                  <c:v>35024.465557845688</c:v>
                </c:pt>
                <c:pt idx="42">
                  <c:v>35614.959553806715</c:v>
                </c:pt>
                <c:pt idx="43">
                  <c:v>35676.747188424742</c:v>
                </c:pt>
                <c:pt idx="44">
                  <c:v>35574.356328646805</c:v>
                </c:pt>
                <c:pt idx="45">
                  <c:v>41817.096508921546</c:v>
                </c:pt>
                <c:pt idx="46">
                  <c:v>47696.40068282908</c:v>
                </c:pt>
                <c:pt idx="47">
                  <c:v>48191.546844711134</c:v>
                </c:pt>
                <c:pt idx="48">
                  <c:v>51694.962318397826</c:v>
                </c:pt>
                <c:pt idx="49">
                  <c:v>47662.364433960494</c:v>
                </c:pt>
                <c:pt idx="50">
                  <c:v>59606.372813303569</c:v>
                </c:pt>
                <c:pt idx="51">
                  <c:v>82584.976436517725</c:v>
                </c:pt>
                <c:pt idx="52">
                  <c:v>63897.253031372631</c:v>
                </c:pt>
                <c:pt idx="53">
                  <c:v>66460.270536720142</c:v>
                </c:pt>
                <c:pt idx="54">
                  <c:v>64348.268168683295</c:v>
                </c:pt>
                <c:pt idx="55">
                  <c:v>23681.027292069757</c:v>
                </c:pt>
                <c:pt idx="56">
                  <c:v>23860.356800940132</c:v>
                </c:pt>
                <c:pt idx="57">
                  <c:v>23834.36690329991</c:v>
                </c:pt>
                <c:pt idx="58">
                  <c:v>23852.562020249228</c:v>
                </c:pt>
                <c:pt idx="59">
                  <c:v>23895.36265411953</c:v>
                </c:pt>
                <c:pt idx="60">
                  <c:v>16856.613807350732</c:v>
                </c:pt>
                <c:pt idx="61">
                  <c:v>17453.433459570326</c:v>
                </c:pt>
                <c:pt idx="62">
                  <c:v>17883.332160543061</c:v>
                </c:pt>
                <c:pt idx="63">
                  <c:v>18438.971985723743</c:v>
                </c:pt>
                <c:pt idx="64">
                  <c:v>18572.972580836606</c:v>
                </c:pt>
                <c:pt idx="65">
                  <c:v>15164.241600061729</c:v>
                </c:pt>
                <c:pt idx="66">
                  <c:v>17610.609559398585</c:v>
                </c:pt>
                <c:pt idx="67">
                  <c:v>18507.321024564058</c:v>
                </c:pt>
                <c:pt idx="68">
                  <c:v>18687.194873295444</c:v>
                </c:pt>
                <c:pt idx="69">
                  <c:v>18373.812418944843</c:v>
                </c:pt>
                <c:pt idx="70">
                  <c:v>25002.959621888927</c:v>
                </c:pt>
                <c:pt idx="71">
                  <c:v>21117.389067292617</c:v>
                </c:pt>
                <c:pt idx="72">
                  <c:v>24014.27673522124</c:v>
                </c:pt>
                <c:pt idx="73">
                  <c:v>23243.924237306015</c:v>
                </c:pt>
                <c:pt idx="74">
                  <c:v>33292.740740327266</c:v>
                </c:pt>
                <c:pt idx="75">
                  <c:v>26412.707600886824</c:v>
                </c:pt>
                <c:pt idx="76">
                  <c:v>22172.262762780498</c:v>
                </c:pt>
                <c:pt idx="77">
                  <c:v>21564.859359950828</c:v>
                </c:pt>
                <c:pt idx="78">
                  <c:v>21538.276996685978</c:v>
                </c:pt>
                <c:pt idx="79">
                  <c:v>21550.739956308003</c:v>
                </c:pt>
                <c:pt idx="80">
                  <c:v>17586.591429350061</c:v>
                </c:pt>
                <c:pt idx="81">
                  <c:v>19565.41784720113</c:v>
                </c:pt>
                <c:pt idx="82">
                  <c:v>20172.280338546865</c:v>
                </c:pt>
                <c:pt idx="83">
                  <c:v>19089.297380792552</c:v>
                </c:pt>
                <c:pt idx="84">
                  <c:v>18742.222663718439</c:v>
                </c:pt>
                <c:pt idx="85">
                  <c:v>17747.735744930247</c:v>
                </c:pt>
                <c:pt idx="86">
                  <c:v>16779.407588866568</c:v>
                </c:pt>
                <c:pt idx="87">
                  <c:v>16382.209518020725</c:v>
                </c:pt>
                <c:pt idx="88">
                  <c:v>17213.261360826171</c:v>
                </c:pt>
                <c:pt idx="89">
                  <c:v>18108.604312858835</c:v>
                </c:pt>
                <c:pt idx="90">
                  <c:v>33733.438906330761</c:v>
                </c:pt>
                <c:pt idx="91">
                  <c:v>27758.498009557756</c:v>
                </c:pt>
                <c:pt idx="92">
                  <c:v>22795.416272993127</c:v>
                </c:pt>
                <c:pt idx="93">
                  <c:v>25936.16999252246</c:v>
                </c:pt>
                <c:pt idx="94">
                  <c:v>26508.472407829729</c:v>
                </c:pt>
                <c:pt idx="95">
                  <c:v>20515.704741902955</c:v>
                </c:pt>
                <c:pt idx="96">
                  <c:v>21824.13195254419</c:v>
                </c:pt>
                <c:pt idx="97">
                  <c:v>21853.58147888842</c:v>
                </c:pt>
                <c:pt idx="98">
                  <c:v>21880.162119097393</c:v>
                </c:pt>
                <c:pt idx="99">
                  <c:v>21874.753889724794</c:v>
                </c:pt>
              </c:numCache>
            </c:numRef>
          </c:val>
          <c:smooth val="0"/>
          <c:extLst>
            <c:ext xmlns:c16="http://schemas.microsoft.com/office/drawing/2014/chart" uri="{C3380CC4-5D6E-409C-BE32-E72D297353CC}">
              <c16:uniqueId val="{00000066-6CAD-4084-8C8C-EDC0215AC44A}"/>
            </c:ext>
          </c:extLst>
        </c:ser>
        <c:dLbls>
          <c:showLegendKey val="0"/>
          <c:showVal val="0"/>
          <c:showCatName val="0"/>
          <c:showSerName val="0"/>
          <c:showPercent val="0"/>
          <c:showBubbleSize val="0"/>
        </c:dLbls>
        <c:hiLowLines>
          <c:spPr>
            <a:ln w="9525" cap="flat" cmpd="sng" algn="ctr">
              <a:solidFill>
                <a:schemeClr val="accent6"/>
              </a:solidFill>
              <a:round/>
            </a:ln>
            <a:effectLst/>
          </c:spPr>
        </c:hiLowLines>
        <c:axId val="1730350287"/>
        <c:axId val="1730347791"/>
      </c:stockChart>
      <c:catAx>
        <c:axId val="1730350287"/>
        <c:scaling>
          <c:orientation val="minMax"/>
        </c:scaling>
        <c:delete val="0"/>
        <c:axPos val="b"/>
        <c:majorGridlines>
          <c:spPr>
            <a:ln w="9525" cap="flat" cmpd="sng" algn="ctr">
              <a:solidFill>
                <a:schemeClr val="tx1"/>
              </a:solidFill>
              <a:round/>
            </a:ln>
            <a:effectLst/>
          </c:spPr>
        </c:majorGridlines>
        <c:numFmt formatCode="General" sourceLinked="1"/>
        <c:majorTickMark val="out"/>
        <c:minorTickMark val="none"/>
        <c:tickLblPos val="nextTo"/>
        <c:spPr>
          <a:noFill/>
          <a:ln w="9525" cap="flat" cmpd="sng" algn="ctr">
            <a:solidFill>
              <a:schemeClr val="tx1"/>
            </a:solidFill>
            <a:round/>
          </a:ln>
          <a:effectLst/>
        </c:spPr>
        <c:txPr>
          <a:bodyPr rot="-5400000" spcFirstLastPara="1" vertOverflow="ellipsis" vert="horz" wrap="square" anchor="t" anchorCtr="1"/>
          <a:lstStyle/>
          <a:p>
            <a:pPr>
              <a:defRPr sz="5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47791"/>
        <c:crosses val="autoZero"/>
        <c:auto val="1"/>
        <c:lblAlgn val="ctr"/>
        <c:lblOffset val="100"/>
        <c:tickMarkSkip val="5"/>
        <c:noMultiLvlLbl val="0"/>
      </c:catAx>
      <c:valAx>
        <c:axId val="1730347791"/>
        <c:scaling>
          <c:orientation val="minMax"/>
          <c:min val="0"/>
        </c:scaling>
        <c:delete val="0"/>
        <c:axPos val="l"/>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730350287"/>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31780402449694"/>
          <c:y val="4.3387946616257556E-2"/>
          <c:w val="0.8267655293088364"/>
          <c:h val="0.78818628458849771"/>
        </c:manualLayout>
      </c:layout>
      <c:barChart>
        <c:barDir val="bar"/>
        <c:grouping val="clustered"/>
        <c:varyColors val="0"/>
        <c:ser>
          <c:idx val="0"/>
          <c:order val="0"/>
          <c:tx>
            <c:strRef>
              <c:f>'1.4 data'!$J$186</c:f>
              <c:strCache>
                <c:ptCount val="1"/>
                <c:pt idx="0">
                  <c:v>2020</c:v>
                </c:pt>
              </c:strCache>
            </c:strRef>
          </c:tx>
          <c:spPr>
            <a:solidFill>
              <a:schemeClr val="bg1">
                <a:lumMod val="75000"/>
              </a:schemeClr>
            </a:solidFill>
            <a:ln>
              <a:noFill/>
            </a:ln>
            <a:effectLst/>
          </c:spPr>
          <c:invertIfNegative val="0"/>
          <c:cat>
            <c:strRef>
              <c:f>'1.4 data'!$I$187:$I$223</c:f>
              <c:strCache>
                <c:ptCount val="37"/>
                <c:pt idx="0">
                  <c:v>CSU</c:v>
                </c:pt>
                <c:pt idx="1">
                  <c:v>FedU</c:v>
                </c:pt>
                <c:pt idx="2">
                  <c:v>JCU</c:v>
                </c:pt>
                <c:pt idx="3">
                  <c:v>UNSW</c:v>
                </c:pt>
                <c:pt idx="4">
                  <c:v>Monash</c:v>
                </c:pt>
                <c:pt idx="5">
                  <c:v>UC</c:v>
                </c:pt>
                <c:pt idx="6">
                  <c:v>QUT</c:v>
                </c:pt>
                <c:pt idx="7">
                  <c:v>UWA</c:v>
                </c:pt>
                <c:pt idx="8">
                  <c:v>CDU</c:v>
                </c:pt>
                <c:pt idx="9">
                  <c:v>WSU</c:v>
                </c:pt>
                <c:pt idx="10">
                  <c:v>Deakin</c:v>
                </c:pt>
                <c:pt idx="11">
                  <c:v>UoM</c:v>
                </c:pt>
                <c:pt idx="12">
                  <c:v>Flinders</c:v>
                </c:pt>
                <c:pt idx="13">
                  <c:v>SCU</c:v>
                </c:pt>
                <c:pt idx="14">
                  <c:v>UQ</c:v>
                </c:pt>
                <c:pt idx="15">
                  <c:v>LaTrobe</c:v>
                </c:pt>
                <c:pt idx="16">
                  <c:v>USyd</c:v>
                </c:pt>
                <c:pt idx="17">
                  <c:v>Griffith</c:v>
                </c:pt>
                <c:pt idx="18">
                  <c:v>UTAS</c:v>
                </c:pt>
                <c:pt idx="19">
                  <c:v>CQU</c:v>
                </c:pt>
                <c:pt idx="20">
                  <c:v>UoW</c:v>
                </c:pt>
                <c:pt idx="21">
                  <c:v>Macquarie</c:v>
                </c:pt>
                <c:pt idx="22">
                  <c:v>UoA</c:v>
                </c:pt>
                <c:pt idx="23">
                  <c:v>UniSA</c:v>
                </c:pt>
                <c:pt idx="24">
                  <c:v>Curtin</c:v>
                </c:pt>
                <c:pt idx="25">
                  <c:v>ECU</c:v>
                </c:pt>
                <c:pt idx="26">
                  <c:v>USC</c:v>
                </c:pt>
                <c:pt idx="27">
                  <c:v>ACU</c:v>
                </c:pt>
                <c:pt idx="28">
                  <c:v>UoN</c:v>
                </c:pt>
                <c:pt idx="29">
                  <c:v>UTS</c:v>
                </c:pt>
                <c:pt idx="30">
                  <c:v>USQ</c:v>
                </c:pt>
                <c:pt idx="31">
                  <c:v>Murdoch</c:v>
                </c:pt>
                <c:pt idx="32">
                  <c:v>RMIT</c:v>
                </c:pt>
                <c:pt idx="33">
                  <c:v>VU</c:v>
                </c:pt>
                <c:pt idx="34">
                  <c:v>UNE</c:v>
                </c:pt>
                <c:pt idx="35">
                  <c:v>Swinburne</c:v>
                </c:pt>
                <c:pt idx="36">
                  <c:v>ANU</c:v>
                </c:pt>
              </c:strCache>
            </c:strRef>
          </c:cat>
          <c:val>
            <c:numRef>
              <c:f>'1.4 data'!$J$187:$J$223</c:f>
              <c:numCache>
                <c:formatCode>0.00%</c:formatCode>
                <c:ptCount val="37"/>
                <c:pt idx="0">
                  <c:v>-0.10109099463814852</c:v>
                </c:pt>
                <c:pt idx="1">
                  <c:v>-9.7616372415828989E-2</c:v>
                </c:pt>
                <c:pt idx="2">
                  <c:v>-6.316437645838735E-2</c:v>
                </c:pt>
                <c:pt idx="3">
                  <c:v>-5.0352551673344847E-2</c:v>
                </c:pt>
                <c:pt idx="4">
                  <c:v>-4.9921580848756864E-2</c:v>
                </c:pt>
                <c:pt idx="5">
                  <c:v>-4.0636820911913452E-2</c:v>
                </c:pt>
                <c:pt idx="6">
                  <c:v>-4.0495275893067006E-2</c:v>
                </c:pt>
                <c:pt idx="7">
                  <c:v>-3.3349501116001545E-2</c:v>
                </c:pt>
                <c:pt idx="8">
                  <c:v>-2.9478687095299327E-2</c:v>
                </c:pt>
                <c:pt idx="9">
                  <c:v>-2.7223471074008798E-2</c:v>
                </c:pt>
                <c:pt idx="10">
                  <c:v>-1.7536759190415863E-2</c:v>
                </c:pt>
                <c:pt idx="11">
                  <c:v>-1.6739494492011509E-2</c:v>
                </c:pt>
                <c:pt idx="12">
                  <c:v>-1.60762297479905E-2</c:v>
                </c:pt>
                <c:pt idx="13">
                  <c:v>-1.4715638381279761E-2</c:v>
                </c:pt>
                <c:pt idx="14">
                  <c:v>-1.2431958555935818E-2</c:v>
                </c:pt>
                <c:pt idx="15">
                  <c:v>-1.1872642800521804E-2</c:v>
                </c:pt>
                <c:pt idx="16">
                  <c:v>-9.5989641220325383E-3</c:v>
                </c:pt>
                <c:pt idx="17">
                  <c:v>-5.2995222044048829E-3</c:v>
                </c:pt>
                <c:pt idx="18">
                  <c:v>-2.4879512281210658E-3</c:v>
                </c:pt>
                <c:pt idx="19">
                  <c:v>-1.0269558684669056E-3</c:v>
                </c:pt>
                <c:pt idx="20">
                  <c:v>-1.3665767993875644E-4</c:v>
                </c:pt>
                <c:pt idx="21">
                  <c:v>3.257523129488904E-3</c:v>
                </c:pt>
                <c:pt idx="22">
                  <c:v>6.8266176782185717E-3</c:v>
                </c:pt>
                <c:pt idx="23">
                  <c:v>1.7292182570963099E-2</c:v>
                </c:pt>
                <c:pt idx="24">
                  <c:v>1.7933527801867299E-2</c:v>
                </c:pt>
                <c:pt idx="25">
                  <c:v>1.9142228623687529E-2</c:v>
                </c:pt>
                <c:pt idx="26">
                  <c:v>2.4961412309473241E-2</c:v>
                </c:pt>
                <c:pt idx="27">
                  <c:v>2.4989238054240248E-2</c:v>
                </c:pt>
                <c:pt idx="28">
                  <c:v>2.6132426837007561E-2</c:v>
                </c:pt>
                <c:pt idx="29">
                  <c:v>2.9598184208632805E-2</c:v>
                </c:pt>
                <c:pt idx="30">
                  <c:v>3.2982264224825197E-2</c:v>
                </c:pt>
                <c:pt idx="31">
                  <c:v>3.8659525859656041E-2</c:v>
                </c:pt>
                <c:pt idx="32">
                  <c:v>4.0563522483269221E-2</c:v>
                </c:pt>
                <c:pt idx="33">
                  <c:v>5.5821684282304718E-2</c:v>
                </c:pt>
                <c:pt idx="34">
                  <c:v>6.0294058152773777E-2</c:v>
                </c:pt>
                <c:pt idx="35">
                  <c:v>7.2409295456677514E-2</c:v>
                </c:pt>
                <c:pt idx="36">
                  <c:v>9.0380833629028823E-2</c:v>
                </c:pt>
              </c:numCache>
            </c:numRef>
          </c:val>
          <c:extLst>
            <c:ext xmlns:c16="http://schemas.microsoft.com/office/drawing/2014/chart" uri="{C3380CC4-5D6E-409C-BE32-E72D297353CC}">
              <c16:uniqueId val="{00000000-B7A7-469A-A9B9-CF27F8856D4B}"/>
            </c:ext>
          </c:extLst>
        </c:ser>
        <c:ser>
          <c:idx val="1"/>
          <c:order val="1"/>
          <c:tx>
            <c:strRef>
              <c:f>'1.4 data'!$K$186</c:f>
              <c:strCache>
                <c:ptCount val="1"/>
                <c:pt idx="0">
                  <c:v>2019</c:v>
                </c:pt>
              </c:strCache>
            </c:strRef>
          </c:tx>
          <c:spPr>
            <a:solidFill>
              <a:srgbClr val="00ABAB"/>
            </a:solidFill>
            <a:ln>
              <a:noFill/>
            </a:ln>
            <a:effectLst/>
          </c:spPr>
          <c:invertIfNegative val="0"/>
          <c:cat>
            <c:strRef>
              <c:f>'1.4 data'!$I$187:$I$223</c:f>
              <c:strCache>
                <c:ptCount val="37"/>
                <c:pt idx="0">
                  <c:v>CSU</c:v>
                </c:pt>
                <c:pt idx="1">
                  <c:v>FedU</c:v>
                </c:pt>
                <c:pt idx="2">
                  <c:v>JCU</c:v>
                </c:pt>
                <c:pt idx="3">
                  <c:v>UNSW</c:v>
                </c:pt>
                <c:pt idx="4">
                  <c:v>Monash</c:v>
                </c:pt>
                <c:pt idx="5">
                  <c:v>UC</c:v>
                </c:pt>
                <c:pt idx="6">
                  <c:v>QUT</c:v>
                </c:pt>
                <c:pt idx="7">
                  <c:v>UWA</c:v>
                </c:pt>
                <c:pt idx="8">
                  <c:v>CDU</c:v>
                </c:pt>
                <c:pt idx="9">
                  <c:v>WSU</c:v>
                </c:pt>
                <c:pt idx="10">
                  <c:v>Deakin</c:v>
                </c:pt>
                <c:pt idx="11">
                  <c:v>UoM</c:v>
                </c:pt>
                <c:pt idx="12">
                  <c:v>Flinders</c:v>
                </c:pt>
                <c:pt idx="13">
                  <c:v>SCU</c:v>
                </c:pt>
                <c:pt idx="14">
                  <c:v>UQ</c:v>
                </c:pt>
                <c:pt idx="15">
                  <c:v>LaTrobe</c:v>
                </c:pt>
                <c:pt idx="16">
                  <c:v>USyd</c:v>
                </c:pt>
                <c:pt idx="17">
                  <c:v>Griffith</c:v>
                </c:pt>
                <c:pt idx="18">
                  <c:v>UTAS</c:v>
                </c:pt>
                <c:pt idx="19">
                  <c:v>CQU</c:v>
                </c:pt>
                <c:pt idx="20">
                  <c:v>UoW</c:v>
                </c:pt>
                <c:pt idx="21">
                  <c:v>Macquarie</c:v>
                </c:pt>
                <c:pt idx="22">
                  <c:v>UoA</c:v>
                </c:pt>
                <c:pt idx="23">
                  <c:v>UniSA</c:v>
                </c:pt>
                <c:pt idx="24">
                  <c:v>Curtin</c:v>
                </c:pt>
                <c:pt idx="25">
                  <c:v>ECU</c:v>
                </c:pt>
                <c:pt idx="26">
                  <c:v>USC</c:v>
                </c:pt>
                <c:pt idx="27">
                  <c:v>ACU</c:v>
                </c:pt>
                <c:pt idx="28">
                  <c:v>UoN</c:v>
                </c:pt>
                <c:pt idx="29">
                  <c:v>UTS</c:v>
                </c:pt>
                <c:pt idx="30">
                  <c:v>USQ</c:v>
                </c:pt>
                <c:pt idx="31">
                  <c:v>Murdoch</c:v>
                </c:pt>
                <c:pt idx="32">
                  <c:v>RMIT</c:v>
                </c:pt>
                <c:pt idx="33">
                  <c:v>VU</c:v>
                </c:pt>
                <c:pt idx="34">
                  <c:v>UNE</c:v>
                </c:pt>
                <c:pt idx="35">
                  <c:v>Swinburne</c:v>
                </c:pt>
                <c:pt idx="36">
                  <c:v>ANU</c:v>
                </c:pt>
              </c:strCache>
            </c:strRef>
          </c:cat>
          <c:val>
            <c:numRef>
              <c:f>'1.4 data'!$K$187:$K$223</c:f>
              <c:numCache>
                <c:formatCode>0.0%</c:formatCode>
                <c:ptCount val="37"/>
                <c:pt idx="0">
                  <c:v>5.2537103610919011E-3</c:v>
                </c:pt>
                <c:pt idx="1">
                  <c:v>0.15059856787350712</c:v>
                </c:pt>
                <c:pt idx="2">
                  <c:v>7.9563249414555948E-3</c:v>
                </c:pt>
                <c:pt idx="3">
                  <c:v>8.7444849356042686E-2</c:v>
                </c:pt>
                <c:pt idx="4">
                  <c:v>9.0083919136188628E-2</c:v>
                </c:pt>
                <c:pt idx="5">
                  <c:v>2.1784455111554468E-2</c:v>
                </c:pt>
                <c:pt idx="6">
                  <c:v>4.4774287203519059E-2</c:v>
                </c:pt>
                <c:pt idx="7">
                  <c:v>4.9933529679861532E-2</c:v>
                </c:pt>
                <c:pt idx="8">
                  <c:v>3.6121115112712765E-3</c:v>
                </c:pt>
                <c:pt idx="9">
                  <c:v>8.2253087545501646E-2</c:v>
                </c:pt>
                <c:pt idx="10">
                  <c:v>6.1235308319716131E-2</c:v>
                </c:pt>
                <c:pt idx="11">
                  <c:v>2.4244824350835303E-2</c:v>
                </c:pt>
                <c:pt idx="12">
                  <c:v>3.5221525181041935E-2</c:v>
                </c:pt>
                <c:pt idx="13">
                  <c:v>0.10489665818904714</c:v>
                </c:pt>
                <c:pt idx="14">
                  <c:v>8.8393089916162459E-2</c:v>
                </c:pt>
                <c:pt idx="15">
                  <c:v>9.8037353386980275E-2</c:v>
                </c:pt>
                <c:pt idx="16">
                  <c:v>9.9353335195288661E-2</c:v>
                </c:pt>
                <c:pt idx="17">
                  <c:v>4.7919323552421567E-2</c:v>
                </c:pt>
                <c:pt idx="18">
                  <c:v>8.0911865605439282E-2</c:v>
                </c:pt>
                <c:pt idx="19">
                  <c:v>0.12499127697353618</c:v>
                </c:pt>
                <c:pt idx="20">
                  <c:v>3.6418554742525311E-2</c:v>
                </c:pt>
                <c:pt idx="21">
                  <c:v>6.9474007592547959E-2</c:v>
                </c:pt>
                <c:pt idx="22">
                  <c:v>2.8281123503050232E-2</c:v>
                </c:pt>
                <c:pt idx="23">
                  <c:v>3.9253217714385169E-2</c:v>
                </c:pt>
                <c:pt idx="24">
                  <c:v>1.9638511740502018E-2</c:v>
                </c:pt>
                <c:pt idx="25">
                  <c:v>3.2822457495346846E-2</c:v>
                </c:pt>
                <c:pt idx="26">
                  <c:v>1.0919045811231154E-2</c:v>
                </c:pt>
                <c:pt idx="27">
                  <c:v>2.1080540010269599E-2</c:v>
                </c:pt>
                <c:pt idx="28">
                  <c:v>3.6451172896415196E-2</c:v>
                </c:pt>
                <c:pt idx="29">
                  <c:v>9.7588042054651325E-2</c:v>
                </c:pt>
                <c:pt idx="30">
                  <c:v>1.1384316548119333E-2</c:v>
                </c:pt>
                <c:pt idx="31">
                  <c:v>7.199787384225842E-2</c:v>
                </c:pt>
                <c:pt idx="32">
                  <c:v>6.3765647795742675E-2</c:v>
                </c:pt>
                <c:pt idx="33">
                  <c:v>1.9576943354905341E-2</c:v>
                </c:pt>
                <c:pt idx="34">
                  <c:v>1.3118718399873552E-2</c:v>
                </c:pt>
                <c:pt idx="35">
                  <c:v>-1.1429674072545026E-2</c:v>
                </c:pt>
                <c:pt idx="36">
                  <c:v>8.4257184283881736E-2</c:v>
                </c:pt>
              </c:numCache>
            </c:numRef>
          </c:val>
          <c:extLst>
            <c:ext xmlns:c16="http://schemas.microsoft.com/office/drawing/2014/chart" uri="{C3380CC4-5D6E-409C-BE32-E72D297353CC}">
              <c16:uniqueId val="{00000001-B7A7-469A-A9B9-CF27F8856D4B}"/>
            </c:ext>
          </c:extLst>
        </c:ser>
        <c:dLbls>
          <c:showLegendKey val="0"/>
          <c:showVal val="0"/>
          <c:showCatName val="0"/>
          <c:showSerName val="0"/>
          <c:showPercent val="0"/>
          <c:showBubbleSize val="0"/>
        </c:dLbls>
        <c:gapWidth val="75"/>
        <c:axId val="1708782143"/>
        <c:axId val="1708792127"/>
      </c:barChart>
      <c:catAx>
        <c:axId val="1708782143"/>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r>
                  <a:rPr lang="en-AU"/>
                  <a:t>Universities (37)</a:t>
                </a:r>
              </a:p>
            </c:rich>
          </c:tx>
          <c:layout>
            <c:manualLayout>
              <c:xMode val="edge"/>
              <c:yMode val="edge"/>
              <c:x val="3.888888888888889E-2"/>
              <c:y val="0.3070580942531769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mn-cs"/>
              </a:defRPr>
            </a:pPr>
            <a:endParaRPr lang="en-US"/>
          </a:p>
        </c:txPr>
        <c:crossAx val="1708792127"/>
        <c:crosses val="autoZero"/>
        <c:auto val="1"/>
        <c:lblAlgn val="ctr"/>
        <c:lblOffset val="100"/>
        <c:noMultiLvlLbl val="0"/>
      </c:catAx>
      <c:valAx>
        <c:axId val="17087921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crossAx val="1708782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8"/>
          <c:order val="0"/>
          <c:tx>
            <c:strRef>
              <c:f>'1.4 data'!$AK$4</c:f>
              <c:strCache>
                <c:ptCount val="1"/>
                <c:pt idx="0">
                  <c:v>2020</c:v>
                </c:pt>
              </c:strCache>
            </c:strRef>
          </c:tx>
          <c:spPr>
            <a:solidFill>
              <a:schemeClr val="accent2"/>
            </a:solidFill>
            <a:ln>
              <a:noFill/>
            </a:ln>
            <a:effectLst/>
          </c:spPr>
          <c:invertIfNegative val="0"/>
          <c:cat>
            <c:strRef>
              <c:f>'1.4 data'!$AC$5:$AC$16</c:f>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f>'1.4 data'!$AK$5:$AK$16</c:f>
              <c:numCache>
                <c:formatCode>General</c:formatCode>
                <c:ptCount val="12"/>
                <c:pt idx="0">
                  <c:v>0.32900000000000001</c:v>
                </c:pt>
                <c:pt idx="1">
                  <c:v>13.285</c:v>
                </c:pt>
                <c:pt idx="2">
                  <c:v>21.347000000000001</c:v>
                </c:pt>
                <c:pt idx="3">
                  <c:v>43.063000000000002</c:v>
                </c:pt>
                <c:pt idx="4">
                  <c:v>92.03</c:v>
                </c:pt>
                <c:pt idx="5">
                  <c:v>115.91500000000001</c:v>
                </c:pt>
                <c:pt idx="6">
                  <c:v>114.666</c:v>
                </c:pt>
                <c:pt idx="7">
                  <c:v>130.56299999999999</c:v>
                </c:pt>
                <c:pt idx="8">
                  <c:v>124.265</c:v>
                </c:pt>
                <c:pt idx="9">
                  <c:v>275.42399999999998</c:v>
                </c:pt>
                <c:pt idx="10">
                  <c:v>317.88</c:v>
                </c:pt>
                <c:pt idx="11">
                  <c:v>358.60399999999998</c:v>
                </c:pt>
              </c:numCache>
            </c:numRef>
          </c:val>
          <c:extLst>
            <c:ext xmlns:c16="http://schemas.microsoft.com/office/drawing/2014/chart" uri="{C3380CC4-5D6E-409C-BE32-E72D297353CC}">
              <c16:uniqueId val="{00000000-7053-4723-8139-60A58F7E1D83}"/>
            </c:ext>
          </c:extLst>
        </c:ser>
        <c:ser>
          <c:idx val="6"/>
          <c:order val="1"/>
          <c:tx>
            <c:strRef>
              <c:f>'1.4 data'!$AJ$4</c:f>
              <c:strCache>
                <c:ptCount val="1"/>
                <c:pt idx="0">
                  <c:v>2019</c:v>
                </c:pt>
              </c:strCache>
            </c:strRef>
          </c:tx>
          <c:spPr>
            <a:solidFill>
              <a:schemeClr val="accent1"/>
            </a:solidFill>
            <a:ln>
              <a:noFill/>
            </a:ln>
            <a:effectLst/>
          </c:spPr>
          <c:invertIfNegative val="0"/>
          <c:cat>
            <c:strRef>
              <c:f>'1.4 data'!$AC$5:$AC$16</c:f>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f>'1.4 data'!$AJ$5:$AJ$16</c:f>
              <c:numCache>
                <c:formatCode>General</c:formatCode>
                <c:ptCount val="12"/>
                <c:pt idx="0">
                  <c:v>2.4870000000000001</c:v>
                </c:pt>
                <c:pt idx="1">
                  <c:v>13.085000000000001</c:v>
                </c:pt>
                <c:pt idx="2">
                  <c:v>19.187000000000001</c:v>
                </c:pt>
                <c:pt idx="3">
                  <c:v>42.554000000000002</c:v>
                </c:pt>
                <c:pt idx="4">
                  <c:v>97.929000000000002</c:v>
                </c:pt>
                <c:pt idx="5">
                  <c:v>117.14</c:v>
                </c:pt>
                <c:pt idx="6">
                  <c:v>122.211</c:v>
                </c:pt>
                <c:pt idx="7">
                  <c:v>127.327</c:v>
                </c:pt>
                <c:pt idx="8">
                  <c:v>134.911</c:v>
                </c:pt>
                <c:pt idx="9">
                  <c:v>264.92</c:v>
                </c:pt>
                <c:pt idx="10">
                  <c:v>332.70600000000002</c:v>
                </c:pt>
                <c:pt idx="11">
                  <c:v>399.226</c:v>
                </c:pt>
              </c:numCache>
            </c:numRef>
          </c:val>
          <c:extLst>
            <c:ext xmlns:c16="http://schemas.microsoft.com/office/drawing/2014/chart" uri="{C3380CC4-5D6E-409C-BE32-E72D297353CC}">
              <c16:uniqueId val="{00000001-7053-4723-8139-60A58F7E1D83}"/>
            </c:ext>
          </c:extLst>
        </c:ser>
        <c:ser>
          <c:idx val="5"/>
          <c:order val="2"/>
          <c:tx>
            <c:strRef>
              <c:f>'1.4 data'!$V$4</c:f>
              <c:strCache>
                <c:ptCount val="1"/>
                <c:pt idx="0">
                  <c:v>2018</c:v>
                </c:pt>
              </c:strCache>
            </c:strRef>
          </c:tx>
          <c:spPr>
            <a:solidFill>
              <a:schemeClr val="accent6"/>
            </a:solidFill>
            <a:ln>
              <a:noFill/>
            </a:ln>
            <a:effectLst/>
          </c:spPr>
          <c:invertIfNegative val="0"/>
          <c:cat>
            <c:strRef>
              <c:f>'1.4 data'!$AC$5:$AC$16</c:f>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f>'1.4 data'!$AI$5:$AI$16</c:f>
              <c:numCache>
                <c:formatCode>General</c:formatCode>
                <c:ptCount val="12"/>
                <c:pt idx="0">
                  <c:v>2.419</c:v>
                </c:pt>
                <c:pt idx="1">
                  <c:v>12.356999999999999</c:v>
                </c:pt>
                <c:pt idx="2">
                  <c:v>18.055</c:v>
                </c:pt>
                <c:pt idx="3">
                  <c:v>39.459000000000003</c:v>
                </c:pt>
                <c:pt idx="4">
                  <c:v>96.194999999999993</c:v>
                </c:pt>
                <c:pt idx="5">
                  <c:v>99.986000000000004</c:v>
                </c:pt>
                <c:pt idx="6">
                  <c:v>119.90900000000001</c:v>
                </c:pt>
                <c:pt idx="7">
                  <c:v>126.36</c:v>
                </c:pt>
                <c:pt idx="8">
                  <c:v>129.60900000000001</c:v>
                </c:pt>
                <c:pt idx="9">
                  <c:v>256.32400000000001</c:v>
                </c:pt>
                <c:pt idx="10">
                  <c:v>326.07100000000003</c:v>
                </c:pt>
                <c:pt idx="11">
                  <c:v>396.81299999999999</c:v>
                </c:pt>
              </c:numCache>
            </c:numRef>
          </c:val>
          <c:extLst>
            <c:ext xmlns:c16="http://schemas.microsoft.com/office/drawing/2014/chart" uri="{C3380CC4-5D6E-409C-BE32-E72D297353CC}">
              <c16:uniqueId val="{00000002-7053-4723-8139-60A58F7E1D83}"/>
            </c:ext>
          </c:extLst>
        </c:ser>
        <c:ser>
          <c:idx val="4"/>
          <c:order val="3"/>
          <c:tx>
            <c:strRef>
              <c:f>'1.4 data'!$AH$4</c:f>
              <c:strCache>
                <c:ptCount val="1"/>
                <c:pt idx="0">
                  <c:v>2017</c:v>
                </c:pt>
              </c:strCache>
            </c:strRef>
          </c:tx>
          <c:spPr>
            <a:solidFill>
              <a:schemeClr val="accent5"/>
            </a:solidFill>
            <a:ln>
              <a:solidFill>
                <a:schemeClr val="accent6"/>
              </a:solidFill>
            </a:ln>
            <a:effectLst/>
          </c:spPr>
          <c:invertIfNegative val="0"/>
          <c:cat>
            <c:strRef>
              <c:f>'1.4 data'!$AC$5:$AC$16</c:f>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f>'1.4 data'!$AH$5:$AH$16</c:f>
              <c:numCache>
                <c:formatCode>General</c:formatCode>
                <c:ptCount val="12"/>
                <c:pt idx="0">
                  <c:v>3.016</c:v>
                </c:pt>
                <c:pt idx="1">
                  <c:v>12.467000000000001</c:v>
                </c:pt>
                <c:pt idx="2">
                  <c:v>18.385999999999999</c:v>
                </c:pt>
                <c:pt idx="3">
                  <c:v>35.664000000000001</c:v>
                </c:pt>
                <c:pt idx="4">
                  <c:v>95.081999999999994</c:v>
                </c:pt>
                <c:pt idx="5">
                  <c:v>80.194000000000003</c:v>
                </c:pt>
                <c:pt idx="6">
                  <c:v>115.295</c:v>
                </c:pt>
                <c:pt idx="7">
                  <c:v>128.65799999999999</c:v>
                </c:pt>
                <c:pt idx="8">
                  <c:v>124.325</c:v>
                </c:pt>
                <c:pt idx="9">
                  <c:v>247.15199999999999</c:v>
                </c:pt>
                <c:pt idx="10">
                  <c:v>322.50900000000001</c:v>
                </c:pt>
                <c:pt idx="11">
                  <c:v>389.55399999999997</c:v>
                </c:pt>
              </c:numCache>
            </c:numRef>
          </c:val>
          <c:extLst>
            <c:ext xmlns:c16="http://schemas.microsoft.com/office/drawing/2014/chart" uri="{C3380CC4-5D6E-409C-BE32-E72D297353CC}">
              <c16:uniqueId val="{00000003-7053-4723-8139-60A58F7E1D83}"/>
            </c:ext>
          </c:extLst>
        </c:ser>
        <c:ser>
          <c:idx val="3"/>
          <c:order val="4"/>
          <c:tx>
            <c:strRef>
              <c:f>'1.4 data'!$AG$4</c:f>
              <c:strCache>
                <c:ptCount val="1"/>
                <c:pt idx="0">
                  <c:v>2016</c:v>
                </c:pt>
              </c:strCache>
            </c:strRef>
          </c:tx>
          <c:spPr>
            <a:solidFill>
              <a:schemeClr val="tx2">
                <a:lumMod val="20000"/>
                <a:lumOff val="80000"/>
              </a:schemeClr>
            </a:solidFill>
            <a:ln>
              <a:noFill/>
            </a:ln>
            <a:effectLst/>
          </c:spPr>
          <c:invertIfNegative val="0"/>
          <c:cat>
            <c:strRef>
              <c:f>'1.4 data'!$AC$5:$AC$16</c:f>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f>'1.4 data'!$AG$5:$AG$16</c:f>
              <c:numCache>
                <c:formatCode>General</c:formatCode>
                <c:ptCount val="12"/>
                <c:pt idx="0">
                  <c:v>2.6930000000000001</c:v>
                </c:pt>
                <c:pt idx="1">
                  <c:v>12.622</c:v>
                </c:pt>
                <c:pt idx="2">
                  <c:v>18.667999999999999</c:v>
                </c:pt>
                <c:pt idx="3">
                  <c:v>32.100999999999999</c:v>
                </c:pt>
                <c:pt idx="4">
                  <c:v>94.034999999999997</c:v>
                </c:pt>
                <c:pt idx="5">
                  <c:v>66.391999999999996</c:v>
                </c:pt>
                <c:pt idx="6">
                  <c:v>111.084</c:v>
                </c:pt>
                <c:pt idx="7">
                  <c:v>128.37799999999999</c:v>
                </c:pt>
                <c:pt idx="8">
                  <c:v>119.247</c:v>
                </c:pt>
                <c:pt idx="9">
                  <c:v>234.92400000000001</c:v>
                </c:pt>
                <c:pt idx="10">
                  <c:v>312.524</c:v>
                </c:pt>
                <c:pt idx="11">
                  <c:v>380.59500000000003</c:v>
                </c:pt>
              </c:numCache>
            </c:numRef>
          </c:val>
          <c:extLst>
            <c:ext xmlns:c16="http://schemas.microsoft.com/office/drawing/2014/chart" uri="{C3380CC4-5D6E-409C-BE32-E72D297353CC}">
              <c16:uniqueId val="{00000004-7053-4723-8139-60A58F7E1D83}"/>
            </c:ext>
          </c:extLst>
        </c:ser>
        <c:ser>
          <c:idx val="2"/>
          <c:order val="5"/>
          <c:tx>
            <c:strRef>
              <c:f>'1.4 data'!$AF$4</c:f>
              <c:strCache>
                <c:ptCount val="1"/>
                <c:pt idx="0">
                  <c:v>2015</c:v>
                </c:pt>
              </c:strCache>
            </c:strRef>
          </c:tx>
          <c:spPr>
            <a:solidFill>
              <a:schemeClr val="tx2"/>
            </a:solidFill>
            <a:ln>
              <a:noFill/>
            </a:ln>
            <a:effectLst/>
          </c:spPr>
          <c:invertIfNegative val="0"/>
          <c:cat>
            <c:strRef>
              <c:f>'1.4 data'!$AC$5:$AC$16</c:f>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f>'1.4 data'!$AF$5:$AF$16</c:f>
              <c:numCache>
                <c:formatCode>General</c:formatCode>
                <c:ptCount val="12"/>
                <c:pt idx="0">
                  <c:v>0.627</c:v>
                </c:pt>
                <c:pt idx="1">
                  <c:v>11.122999999999999</c:v>
                </c:pt>
                <c:pt idx="2">
                  <c:v>18.603000000000002</c:v>
                </c:pt>
                <c:pt idx="3">
                  <c:v>31.221</c:v>
                </c:pt>
                <c:pt idx="4">
                  <c:v>90.585999999999999</c:v>
                </c:pt>
                <c:pt idx="5">
                  <c:v>60.768999999999998</c:v>
                </c:pt>
                <c:pt idx="6">
                  <c:v>106.283</c:v>
                </c:pt>
                <c:pt idx="7">
                  <c:v>130.471</c:v>
                </c:pt>
                <c:pt idx="8">
                  <c:v>114.65</c:v>
                </c:pt>
                <c:pt idx="9">
                  <c:v>221.255</c:v>
                </c:pt>
                <c:pt idx="10">
                  <c:v>307.577</c:v>
                </c:pt>
                <c:pt idx="11">
                  <c:v>369.94499999999999</c:v>
                </c:pt>
              </c:numCache>
            </c:numRef>
          </c:val>
          <c:extLst>
            <c:ext xmlns:c16="http://schemas.microsoft.com/office/drawing/2014/chart" uri="{C3380CC4-5D6E-409C-BE32-E72D297353CC}">
              <c16:uniqueId val="{00000005-7053-4723-8139-60A58F7E1D83}"/>
            </c:ext>
          </c:extLst>
        </c:ser>
        <c:dLbls>
          <c:showLegendKey val="0"/>
          <c:showVal val="0"/>
          <c:showCatName val="0"/>
          <c:showSerName val="0"/>
          <c:showPercent val="0"/>
          <c:showBubbleSize val="0"/>
        </c:dLbls>
        <c:gapWidth val="182"/>
        <c:axId val="1131482191"/>
        <c:axId val="1131477615"/>
        <c:extLst>
          <c:ext xmlns:c15="http://schemas.microsoft.com/office/drawing/2012/chart" uri="{02D57815-91ED-43cb-92C2-25804820EDAC}">
            <c15:filteredBarSeries>
              <c15:ser>
                <c:idx val="1"/>
                <c:order val="6"/>
                <c:tx>
                  <c:strRef>
                    <c:extLst>
                      <c:ext uri="{02D57815-91ED-43cb-92C2-25804820EDAC}">
                        <c15:formulaRef>
                          <c15:sqref>'1.4 data'!$AE$4</c15:sqref>
                        </c15:formulaRef>
                      </c:ext>
                    </c:extLst>
                    <c:strCache>
                      <c:ptCount val="1"/>
                      <c:pt idx="0">
                        <c:v>2014</c:v>
                      </c:pt>
                    </c:strCache>
                  </c:strRef>
                </c:tx>
                <c:spPr>
                  <a:solidFill>
                    <a:schemeClr val="bg1">
                      <a:lumMod val="75000"/>
                    </a:schemeClr>
                  </a:solidFill>
                  <a:ln>
                    <a:noFill/>
                  </a:ln>
                  <a:effectLst/>
                </c:spPr>
                <c:invertIfNegative val="0"/>
                <c:cat>
                  <c:strRef>
                    <c:extLst>
                      <c:ext uri="{02D57815-91ED-43cb-92C2-25804820EDAC}">
                        <c15:formulaRef>
                          <c15:sqref>'1.4 data'!$AC$5:$AC$16</c15:sqref>
                        </c15:formulaRef>
                      </c:ext>
                    </c:extLst>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extLst>
                      <c:ext uri="{02D57815-91ED-43cb-92C2-25804820EDAC}">
                        <c15:formulaRef>
                          <c15:sqref>'1.4 data'!$AE$5:$AE$17</c15:sqref>
                        </c15:formulaRef>
                      </c:ext>
                    </c:extLst>
                    <c:numCache>
                      <c:formatCode>General</c:formatCode>
                      <c:ptCount val="13"/>
                      <c:pt idx="0">
                        <c:v>0.32900000000000001</c:v>
                      </c:pt>
                      <c:pt idx="1">
                        <c:v>11.867000000000001</c:v>
                      </c:pt>
                      <c:pt idx="2">
                        <c:v>18.922999999999998</c:v>
                      </c:pt>
                      <c:pt idx="3">
                        <c:v>29.625</c:v>
                      </c:pt>
                      <c:pt idx="4">
                        <c:v>89.731999999999999</c:v>
                      </c:pt>
                      <c:pt idx="5">
                        <c:v>57.290999999999997</c:v>
                      </c:pt>
                      <c:pt idx="6">
                        <c:v>102.36499999999999</c:v>
                      </c:pt>
                      <c:pt idx="7">
                        <c:v>132.637</c:v>
                      </c:pt>
                      <c:pt idx="8">
                        <c:v>112.545</c:v>
                      </c:pt>
                      <c:pt idx="9">
                        <c:v>209.56200000000001</c:v>
                      </c:pt>
                      <c:pt idx="10">
                        <c:v>299.99200000000002</c:v>
                      </c:pt>
                      <c:pt idx="11">
                        <c:v>358.51</c:v>
                      </c:pt>
                      <c:pt idx="12">
                        <c:v>1423.3779999999999</c:v>
                      </c:pt>
                    </c:numCache>
                  </c:numRef>
                </c:val>
                <c:extLst>
                  <c:ext xmlns:c16="http://schemas.microsoft.com/office/drawing/2014/chart" uri="{C3380CC4-5D6E-409C-BE32-E72D297353CC}">
                    <c16:uniqueId val="{00000006-7053-4723-8139-60A58F7E1D83}"/>
                  </c:ext>
                </c:extLst>
              </c15:ser>
            </c15:filteredBarSeries>
            <c15:filteredBarSeries>
              <c15:ser>
                <c:idx val="0"/>
                <c:order val="7"/>
                <c:tx>
                  <c:strRef>
                    <c:extLst xmlns:c15="http://schemas.microsoft.com/office/drawing/2012/chart">
                      <c:ext xmlns:c15="http://schemas.microsoft.com/office/drawing/2012/chart" uri="{02D57815-91ED-43cb-92C2-25804820EDAC}">
                        <c15:formulaRef>
                          <c15:sqref>'1.4 data'!$AD$4</c15:sqref>
                        </c15:formulaRef>
                      </c:ext>
                    </c:extLst>
                    <c:strCache>
                      <c:ptCount val="1"/>
                      <c:pt idx="0">
                        <c:v>2013</c:v>
                      </c:pt>
                    </c:strCache>
                  </c:strRef>
                </c:tx>
                <c:spPr>
                  <a:solidFill>
                    <a:srgbClr val="00ABAB"/>
                  </a:solidFill>
                  <a:ln>
                    <a:noFill/>
                  </a:ln>
                  <a:effectLst/>
                </c:spPr>
                <c:invertIfNegative val="0"/>
                <c:cat>
                  <c:strRef>
                    <c:extLst xmlns:c15="http://schemas.microsoft.com/office/drawing/2012/chart">
                      <c:ext xmlns:c15="http://schemas.microsoft.com/office/drawing/2012/chart" uri="{02D57815-91ED-43cb-92C2-25804820EDAC}">
                        <c15:formulaRef>
                          <c15:sqref>'1.4 data'!$AC$5:$AC$16</c15:sqref>
                        </c15:formulaRef>
                      </c:ext>
                    </c:extLst>
                    <c:strCache>
                      <c:ptCount val="12"/>
                      <c:pt idx="0">
                        <c:v>Food Hospitality and Personal Services</c:v>
                      </c:pt>
                      <c:pt idx="1">
                        <c:v>Mixed Field Programs</c:v>
                      </c:pt>
                      <c:pt idx="2">
                        <c:v>Agriculture Environmental and Related Studies</c:v>
                      </c:pt>
                      <c:pt idx="3">
                        <c:v>Architecture and Building</c:v>
                      </c:pt>
                      <c:pt idx="4">
                        <c:v>Creative Arts</c:v>
                      </c:pt>
                      <c:pt idx="5">
                        <c:v>Information Technology</c:v>
                      </c:pt>
                      <c:pt idx="6">
                        <c:v>Engineering and Related Technologies</c:v>
                      </c:pt>
                      <c:pt idx="7">
                        <c:v>Education</c:v>
                      </c:pt>
                      <c:pt idx="8">
                        <c:v>Natural and Physical Sciences</c:v>
                      </c:pt>
                      <c:pt idx="9">
                        <c:v>Health</c:v>
                      </c:pt>
                      <c:pt idx="10">
                        <c:v>Society and Culture</c:v>
                      </c:pt>
                      <c:pt idx="11">
                        <c:v>Management and Commerce</c:v>
                      </c:pt>
                    </c:strCache>
                  </c:strRef>
                </c:cat>
                <c:val>
                  <c:numRef>
                    <c:extLst xmlns:c15="http://schemas.microsoft.com/office/drawing/2012/chart">
                      <c:ext xmlns:c15="http://schemas.microsoft.com/office/drawing/2012/chart" uri="{02D57815-91ED-43cb-92C2-25804820EDAC}">
                        <c15:formulaRef>
                          <c15:sqref>'1.4 data'!$AD$5:$AD$17</c15:sqref>
                        </c15:formulaRef>
                      </c:ext>
                    </c:extLst>
                    <c:numCache>
                      <c:formatCode>General</c:formatCode>
                      <c:ptCount val="13"/>
                      <c:pt idx="0">
                        <c:v>0.29299999999999998</c:v>
                      </c:pt>
                      <c:pt idx="1">
                        <c:v>10.835000000000001</c:v>
                      </c:pt>
                      <c:pt idx="2">
                        <c:v>19.259</c:v>
                      </c:pt>
                      <c:pt idx="3">
                        <c:v>30.06</c:v>
                      </c:pt>
                      <c:pt idx="4">
                        <c:v>88.424999999999997</c:v>
                      </c:pt>
                      <c:pt idx="5">
                        <c:v>52.433</c:v>
                      </c:pt>
                      <c:pt idx="6">
                        <c:v>97.831999999999994</c:v>
                      </c:pt>
                      <c:pt idx="7">
                        <c:v>125.30800000000001</c:v>
                      </c:pt>
                      <c:pt idx="8">
                        <c:v>107.298</c:v>
                      </c:pt>
                      <c:pt idx="9">
                        <c:v>197.84</c:v>
                      </c:pt>
                      <c:pt idx="10">
                        <c:v>292.10899999999998</c:v>
                      </c:pt>
                      <c:pt idx="11">
                        <c:v>341.64</c:v>
                      </c:pt>
                      <c:pt idx="12">
                        <c:v>1363.3319999999999</c:v>
                      </c:pt>
                    </c:numCache>
                  </c:numRef>
                </c:val>
                <c:extLst xmlns:c15="http://schemas.microsoft.com/office/drawing/2012/chart">
                  <c:ext xmlns:c16="http://schemas.microsoft.com/office/drawing/2014/chart" uri="{C3380CC4-5D6E-409C-BE32-E72D297353CC}">
                    <c16:uniqueId val="{00000007-7053-4723-8139-60A58F7E1D83}"/>
                  </c:ext>
                </c:extLst>
              </c15:ser>
            </c15:filteredBarSeries>
          </c:ext>
        </c:extLst>
      </c:barChart>
      <c:catAx>
        <c:axId val="1131482191"/>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131477615"/>
        <c:crosses val="autoZero"/>
        <c:auto val="1"/>
        <c:lblAlgn val="r"/>
        <c:lblOffset val="100"/>
        <c:noMultiLvlLbl val="0"/>
      </c:catAx>
      <c:valAx>
        <c:axId val="1131477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131482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7"/>
          <c:order val="0"/>
          <c:tx>
            <c:strRef>
              <c:f>'1.4 data'!$AK$21</c:f>
              <c:strCache>
                <c:ptCount val="1"/>
                <c:pt idx="0">
                  <c:v>2020</c:v>
                </c:pt>
              </c:strCache>
            </c:strRef>
          </c:tx>
          <c:spPr>
            <a:solidFill>
              <a:schemeClr val="accent2"/>
            </a:solidFill>
            <a:ln>
              <a:noFill/>
            </a:ln>
            <a:effectLst/>
          </c:spPr>
          <c:invertIfNegative val="0"/>
          <c:val>
            <c:numRef>
              <c:f>'1.4 data'!$AK$22:$AK$30</c:f>
              <c:numCache>
                <c:formatCode>General</c:formatCode>
                <c:ptCount val="9"/>
                <c:pt idx="0">
                  <c:v>13.827</c:v>
                </c:pt>
                <c:pt idx="1">
                  <c:v>41.896000000000001</c:v>
                </c:pt>
                <c:pt idx="2">
                  <c:v>35.512</c:v>
                </c:pt>
                <c:pt idx="3">
                  <c:v>42.564999999999998</c:v>
                </c:pt>
                <c:pt idx="4">
                  <c:v>124.81399999999999</c:v>
                </c:pt>
                <c:pt idx="5">
                  <c:v>148.19300000000001</c:v>
                </c:pt>
                <c:pt idx="6">
                  <c:v>260.87900000000002</c:v>
                </c:pt>
                <c:pt idx="7">
                  <c:v>452.70499999999998</c:v>
                </c:pt>
                <c:pt idx="8">
                  <c:v>502.476</c:v>
                </c:pt>
              </c:numCache>
            </c:numRef>
          </c:val>
          <c:extLst>
            <c:ext xmlns:c16="http://schemas.microsoft.com/office/drawing/2014/chart" uri="{C3380CC4-5D6E-409C-BE32-E72D297353CC}">
              <c16:uniqueId val="{00000000-B307-461B-90E3-29E3632A0DCA}"/>
            </c:ext>
          </c:extLst>
        </c:ser>
        <c:ser>
          <c:idx val="6"/>
          <c:order val="1"/>
          <c:tx>
            <c:strRef>
              <c:f>'1.4 data'!$AJ$21</c:f>
              <c:strCache>
                <c:ptCount val="1"/>
                <c:pt idx="0">
                  <c:v>2019</c:v>
                </c:pt>
              </c:strCache>
            </c:strRef>
          </c:tx>
          <c:spPr>
            <a:solidFill>
              <a:schemeClr val="accent1"/>
            </a:solidFill>
            <a:ln>
              <a:noFill/>
            </a:ln>
            <a:effectLst/>
          </c:spPr>
          <c:invertIfNegative val="0"/>
          <c:val>
            <c:numRef>
              <c:f>'1.4 data'!$AJ$22:$AJ$30</c:f>
              <c:numCache>
                <c:formatCode>General</c:formatCode>
                <c:ptCount val="9"/>
                <c:pt idx="0">
                  <c:v>12.295</c:v>
                </c:pt>
                <c:pt idx="1">
                  <c:v>36.585999999999999</c:v>
                </c:pt>
                <c:pt idx="2">
                  <c:v>36.271999999999998</c:v>
                </c:pt>
                <c:pt idx="3">
                  <c:v>44.433</c:v>
                </c:pt>
                <c:pt idx="4">
                  <c:v>115.223</c:v>
                </c:pt>
                <c:pt idx="5">
                  <c:v>146.24199999999999</c:v>
                </c:pt>
                <c:pt idx="6">
                  <c:v>263.82900000000001</c:v>
                </c:pt>
                <c:pt idx="7">
                  <c:v>456.46100000000001</c:v>
                </c:pt>
                <c:pt idx="8">
                  <c:v>498.45699999999999</c:v>
                </c:pt>
              </c:numCache>
            </c:numRef>
          </c:val>
          <c:extLst>
            <c:ext xmlns:c16="http://schemas.microsoft.com/office/drawing/2014/chart" uri="{C3380CC4-5D6E-409C-BE32-E72D297353CC}">
              <c16:uniqueId val="{00000001-B307-461B-90E3-29E3632A0DCA}"/>
            </c:ext>
          </c:extLst>
        </c:ser>
        <c:ser>
          <c:idx val="5"/>
          <c:order val="2"/>
          <c:tx>
            <c:strRef>
              <c:f>'1.4 data'!$AI$21</c:f>
              <c:strCache>
                <c:ptCount val="1"/>
                <c:pt idx="0">
                  <c:v>2018</c:v>
                </c:pt>
              </c:strCache>
            </c:strRef>
          </c:tx>
          <c:spPr>
            <a:solidFill>
              <a:schemeClr val="accent6"/>
            </a:solidFill>
            <a:ln>
              <a:noFill/>
            </a:ln>
            <a:effectLst/>
          </c:spPr>
          <c:invertIfNegative val="0"/>
          <c:val>
            <c:numRef>
              <c:f>'1.4 data'!$AI$22:$AI$30</c:f>
              <c:numCache>
                <c:formatCode>General</c:formatCode>
                <c:ptCount val="9"/>
                <c:pt idx="0">
                  <c:v>11.404999999999999</c:v>
                </c:pt>
                <c:pt idx="1">
                  <c:v>36.194000000000003</c:v>
                </c:pt>
                <c:pt idx="2">
                  <c:v>37.363999999999997</c:v>
                </c:pt>
                <c:pt idx="3">
                  <c:v>44.094000000000001</c:v>
                </c:pt>
                <c:pt idx="4">
                  <c:v>108.607</c:v>
                </c:pt>
                <c:pt idx="5">
                  <c:v>143.36799999999999</c:v>
                </c:pt>
                <c:pt idx="6">
                  <c:v>256.85399999999998</c:v>
                </c:pt>
                <c:pt idx="7">
                  <c:v>440.84500000000003</c:v>
                </c:pt>
                <c:pt idx="8">
                  <c:v>483.78899999999999</c:v>
                </c:pt>
              </c:numCache>
            </c:numRef>
          </c:val>
          <c:extLst>
            <c:ext xmlns:c16="http://schemas.microsoft.com/office/drawing/2014/chart" uri="{C3380CC4-5D6E-409C-BE32-E72D297353CC}">
              <c16:uniqueId val="{00000002-B307-461B-90E3-29E3632A0DCA}"/>
            </c:ext>
          </c:extLst>
        </c:ser>
        <c:ser>
          <c:idx val="4"/>
          <c:order val="3"/>
          <c:tx>
            <c:strRef>
              <c:f>'1.4 data'!$AH$21</c:f>
              <c:strCache>
                <c:ptCount val="1"/>
                <c:pt idx="0">
                  <c:v>2017</c:v>
                </c:pt>
              </c:strCache>
            </c:strRef>
          </c:tx>
          <c:spPr>
            <a:solidFill>
              <a:schemeClr val="accent5"/>
            </a:solidFill>
            <a:ln>
              <a:solidFill>
                <a:schemeClr val="accent6"/>
              </a:solidFill>
            </a:ln>
            <a:effectLst/>
          </c:spPr>
          <c:invertIfNegative val="0"/>
          <c:cat>
            <c:strRef>
              <c:f>'1.4 data'!$AC$22:$AC$30</c:f>
              <c:strCache>
                <c:ptCount val="9"/>
                <c:pt idx="0">
                  <c:v>Northern Territory</c:v>
                </c:pt>
                <c:pt idx="1">
                  <c:v>Tasmania</c:v>
                </c:pt>
                <c:pt idx="2">
                  <c:v>Multi-State</c:v>
                </c:pt>
                <c:pt idx="3">
                  <c:v>Australian Capital Territory</c:v>
                </c:pt>
                <c:pt idx="4">
                  <c:v>South Australia</c:v>
                </c:pt>
                <c:pt idx="5">
                  <c:v>Western Australia</c:v>
                </c:pt>
                <c:pt idx="6">
                  <c:v>Queensland</c:v>
                </c:pt>
                <c:pt idx="7">
                  <c:v>Victoria</c:v>
                </c:pt>
                <c:pt idx="8">
                  <c:v>New South Wales</c:v>
                </c:pt>
              </c:strCache>
            </c:strRef>
          </c:cat>
          <c:val>
            <c:numRef>
              <c:f>'1.4 data'!$AH$22:$AH$30</c:f>
              <c:numCache>
                <c:formatCode>General</c:formatCode>
                <c:ptCount val="9"/>
                <c:pt idx="0">
                  <c:v>11.494999999999999</c:v>
                </c:pt>
                <c:pt idx="1">
                  <c:v>37.692999999999998</c:v>
                </c:pt>
                <c:pt idx="2">
                  <c:v>37.789000000000001</c:v>
                </c:pt>
                <c:pt idx="3">
                  <c:v>43.179000000000002</c:v>
                </c:pt>
                <c:pt idx="4">
                  <c:v>103.604</c:v>
                </c:pt>
                <c:pt idx="5">
                  <c:v>143.56299999999999</c:v>
                </c:pt>
                <c:pt idx="6">
                  <c:v>252.08199999999999</c:v>
                </c:pt>
                <c:pt idx="7">
                  <c:v>418.447</c:v>
                </c:pt>
                <c:pt idx="8">
                  <c:v>465.53100000000001</c:v>
                </c:pt>
              </c:numCache>
            </c:numRef>
          </c:val>
          <c:extLst>
            <c:ext xmlns:c16="http://schemas.microsoft.com/office/drawing/2014/chart" uri="{C3380CC4-5D6E-409C-BE32-E72D297353CC}">
              <c16:uniqueId val="{00000003-B307-461B-90E3-29E3632A0DCA}"/>
            </c:ext>
          </c:extLst>
        </c:ser>
        <c:ser>
          <c:idx val="3"/>
          <c:order val="4"/>
          <c:tx>
            <c:strRef>
              <c:f>'1.4 data'!$AG$21</c:f>
              <c:strCache>
                <c:ptCount val="1"/>
                <c:pt idx="0">
                  <c:v>2016</c:v>
                </c:pt>
              </c:strCache>
            </c:strRef>
          </c:tx>
          <c:spPr>
            <a:solidFill>
              <a:schemeClr val="tx2">
                <a:lumMod val="20000"/>
                <a:lumOff val="80000"/>
              </a:schemeClr>
            </a:solidFill>
            <a:ln>
              <a:noFill/>
            </a:ln>
            <a:effectLst/>
          </c:spPr>
          <c:invertIfNegative val="0"/>
          <c:cat>
            <c:strRef>
              <c:f>'1.4 data'!$AC$22:$AC$30</c:f>
              <c:strCache>
                <c:ptCount val="9"/>
                <c:pt idx="0">
                  <c:v>Northern Territory</c:v>
                </c:pt>
                <c:pt idx="1">
                  <c:v>Tasmania</c:v>
                </c:pt>
                <c:pt idx="2">
                  <c:v>Multi-State</c:v>
                </c:pt>
                <c:pt idx="3">
                  <c:v>Australian Capital Territory</c:v>
                </c:pt>
                <c:pt idx="4">
                  <c:v>South Australia</c:v>
                </c:pt>
                <c:pt idx="5">
                  <c:v>Western Australia</c:v>
                </c:pt>
                <c:pt idx="6">
                  <c:v>Queensland</c:v>
                </c:pt>
                <c:pt idx="7">
                  <c:v>Victoria</c:v>
                </c:pt>
                <c:pt idx="8">
                  <c:v>New South Wales</c:v>
                </c:pt>
              </c:strCache>
            </c:strRef>
          </c:cat>
          <c:val>
            <c:numRef>
              <c:f>'1.4 data'!$AG$22:$AG$30</c:f>
              <c:numCache>
                <c:formatCode>General</c:formatCode>
                <c:ptCount val="9"/>
                <c:pt idx="0">
                  <c:v>11.865</c:v>
                </c:pt>
                <c:pt idx="1">
                  <c:v>34.634</c:v>
                </c:pt>
                <c:pt idx="2">
                  <c:v>36.265000000000001</c:v>
                </c:pt>
                <c:pt idx="3">
                  <c:v>40.729999999999997</c:v>
                </c:pt>
                <c:pt idx="4">
                  <c:v>102.259</c:v>
                </c:pt>
                <c:pt idx="5">
                  <c:v>142.166</c:v>
                </c:pt>
                <c:pt idx="6">
                  <c:v>246.696</c:v>
                </c:pt>
                <c:pt idx="7">
                  <c:v>396.90499999999997</c:v>
                </c:pt>
                <c:pt idx="8">
                  <c:v>445.68900000000002</c:v>
                </c:pt>
              </c:numCache>
            </c:numRef>
          </c:val>
          <c:extLst>
            <c:ext xmlns:c16="http://schemas.microsoft.com/office/drawing/2014/chart" uri="{C3380CC4-5D6E-409C-BE32-E72D297353CC}">
              <c16:uniqueId val="{00000004-B307-461B-90E3-29E3632A0DCA}"/>
            </c:ext>
          </c:extLst>
        </c:ser>
        <c:ser>
          <c:idx val="2"/>
          <c:order val="5"/>
          <c:tx>
            <c:strRef>
              <c:f>'1.4 data'!$AF$21</c:f>
              <c:strCache>
                <c:ptCount val="1"/>
                <c:pt idx="0">
                  <c:v>2015</c:v>
                </c:pt>
              </c:strCache>
            </c:strRef>
          </c:tx>
          <c:spPr>
            <a:solidFill>
              <a:schemeClr val="tx2"/>
            </a:solidFill>
            <a:ln>
              <a:noFill/>
            </a:ln>
            <a:effectLst/>
          </c:spPr>
          <c:invertIfNegative val="0"/>
          <c:cat>
            <c:strRef>
              <c:f>'1.4 data'!$AC$22:$AC$30</c:f>
              <c:strCache>
                <c:ptCount val="9"/>
                <c:pt idx="0">
                  <c:v>Northern Territory</c:v>
                </c:pt>
                <c:pt idx="1">
                  <c:v>Tasmania</c:v>
                </c:pt>
                <c:pt idx="2">
                  <c:v>Multi-State</c:v>
                </c:pt>
                <c:pt idx="3">
                  <c:v>Australian Capital Territory</c:v>
                </c:pt>
                <c:pt idx="4">
                  <c:v>South Australia</c:v>
                </c:pt>
                <c:pt idx="5">
                  <c:v>Western Australia</c:v>
                </c:pt>
                <c:pt idx="6">
                  <c:v>Queensland</c:v>
                </c:pt>
                <c:pt idx="7">
                  <c:v>Victoria</c:v>
                </c:pt>
                <c:pt idx="8">
                  <c:v>New South Wales</c:v>
                </c:pt>
              </c:strCache>
            </c:strRef>
          </c:cat>
          <c:val>
            <c:numRef>
              <c:f>'1.4 data'!$AF$22:$AF$30</c:f>
              <c:numCache>
                <c:formatCode>General</c:formatCode>
                <c:ptCount val="9"/>
                <c:pt idx="0">
                  <c:v>11.938000000000001</c:v>
                </c:pt>
                <c:pt idx="1">
                  <c:v>32.268999999999998</c:v>
                </c:pt>
                <c:pt idx="2">
                  <c:v>34.883000000000003</c:v>
                </c:pt>
                <c:pt idx="3">
                  <c:v>39.659999999999997</c:v>
                </c:pt>
                <c:pt idx="4">
                  <c:v>96.668999999999997</c:v>
                </c:pt>
                <c:pt idx="5">
                  <c:v>140.452</c:v>
                </c:pt>
                <c:pt idx="6">
                  <c:v>242.81399999999999</c:v>
                </c:pt>
                <c:pt idx="7">
                  <c:v>380.99</c:v>
                </c:pt>
                <c:pt idx="8">
                  <c:v>430.45800000000003</c:v>
                </c:pt>
              </c:numCache>
            </c:numRef>
          </c:val>
          <c:extLst>
            <c:ext xmlns:c16="http://schemas.microsoft.com/office/drawing/2014/chart" uri="{C3380CC4-5D6E-409C-BE32-E72D297353CC}">
              <c16:uniqueId val="{00000005-B307-461B-90E3-29E3632A0DCA}"/>
            </c:ext>
          </c:extLst>
        </c:ser>
        <c:dLbls>
          <c:showLegendKey val="0"/>
          <c:showVal val="0"/>
          <c:showCatName val="0"/>
          <c:showSerName val="0"/>
          <c:showPercent val="0"/>
          <c:showBubbleSize val="0"/>
        </c:dLbls>
        <c:gapWidth val="182"/>
        <c:axId val="1131482191"/>
        <c:axId val="1131477615"/>
        <c:extLst>
          <c:ext xmlns:c15="http://schemas.microsoft.com/office/drawing/2012/chart" uri="{02D57815-91ED-43cb-92C2-25804820EDAC}">
            <c15:filteredBarSeries>
              <c15:ser>
                <c:idx val="1"/>
                <c:order val="6"/>
                <c:tx>
                  <c:strRef>
                    <c:extLst>
                      <c:ext uri="{02D57815-91ED-43cb-92C2-25804820EDAC}">
                        <c15:formulaRef>
                          <c15:sqref>'1.4 data'!$AE$21</c15:sqref>
                        </c15:formulaRef>
                      </c:ext>
                    </c:extLst>
                    <c:strCache>
                      <c:ptCount val="1"/>
                      <c:pt idx="0">
                        <c:v>2014</c:v>
                      </c:pt>
                    </c:strCache>
                  </c:strRef>
                </c:tx>
                <c:spPr>
                  <a:solidFill>
                    <a:schemeClr val="bg1">
                      <a:lumMod val="75000"/>
                    </a:schemeClr>
                  </a:solidFill>
                  <a:ln>
                    <a:noFill/>
                  </a:ln>
                  <a:effectLst/>
                </c:spPr>
                <c:invertIfNegative val="0"/>
                <c:cat>
                  <c:strRef>
                    <c:extLst>
                      <c:ext uri="{02D57815-91ED-43cb-92C2-25804820EDAC}">
                        <c15:formulaRef>
                          <c15:sqref>'1.4 data'!$AC$22:$AC$30</c15:sqref>
                        </c15:formulaRef>
                      </c:ext>
                    </c:extLst>
                    <c:strCache>
                      <c:ptCount val="9"/>
                      <c:pt idx="0">
                        <c:v>Northern Territory</c:v>
                      </c:pt>
                      <c:pt idx="1">
                        <c:v>Tasmania</c:v>
                      </c:pt>
                      <c:pt idx="2">
                        <c:v>Multi-State</c:v>
                      </c:pt>
                      <c:pt idx="3">
                        <c:v>Australian Capital Territory</c:v>
                      </c:pt>
                      <c:pt idx="4">
                        <c:v>South Australia</c:v>
                      </c:pt>
                      <c:pt idx="5">
                        <c:v>Western Australia</c:v>
                      </c:pt>
                      <c:pt idx="6">
                        <c:v>Queensland</c:v>
                      </c:pt>
                      <c:pt idx="7">
                        <c:v>Victoria</c:v>
                      </c:pt>
                      <c:pt idx="8">
                        <c:v>New South Wales</c:v>
                      </c:pt>
                    </c:strCache>
                  </c:strRef>
                </c:cat>
                <c:val>
                  <c:numRef>
                    <c:extLst>
                      <c:ext uri="{02D57815-91ED-43cb-92C2-25804820EDAC}">
                        <c15:formulaRef>
                          <c15:sqref>'1.4 data'!$AE$22:$AE$30</c15:sqref>
                        </c15:formulaRef>
                      </c:ext>
                    </c:extLst>
                    <c:numCache>
                      <c:formatCode>General</c:formatCode>
                      <c:ptCount val="9"/>
                      <c:pt idx="0">
                        <c:v>11.593</c:v>
                      </c:pt>
                      <c:pt idx="1">
                        <c:v>29.358000000000001</c:v>
                      </c:pt>
                      <c:pt idx="2">
                        <c:v>32.701000000000001</c:v>
                      </c:pt>
                      <c:pt idx="3">
                        <c:v>39.469000000000001</c:v>
                      </c:pt>
                      <c:pt idx="4">
                        <c:v>92.97</c:v>
                      </c:pt>
                      <c:pt idx="5">
                        <c:v>142.19999999999999</c:v>
                      </c:pt>
                      <c:pt idx="6">
                        <c:v>239.042</c:v>
                      </c:pt>
                      <c:pt idx="7">
                        <c:v>364.94200000000001</c:v>
                      </c:pt>
                      <c:pt idx="8">
                        <c:v>420.95499999999998</c:v>
                      </c:pt>
                    </c:numCache>
                  </c:numRef>
                </c:val>
                <c:extLst>
                  <c:ext xmlns:c16="http://schemas.microsoft.com/office/drawing/2014/chart" uri="{C3380CC4-5D6E-409C-BE32-E72D297353CC}">
                    <c16:uniqueId val="{00000006-B307-461B-90E3-29E3632A0DCA}"/>
                  </c:ext>
                </c:extLst>
              </c15:ser>
            </c15:filteredBarSeries>
            <c15:filteredBarSeries>
              <c15:ser>
                <c:idx val="0"/>
                <c:order val="7"/>
                <c:tx>
                  <c:strRef>
                    <c:extLst xmlns:c15="http://schemas.microsoft.com/office/drawing/2012/chart">
                      <c:ext xmlns:c15="http://schemas.microsoft.com/office/drawing/2012/chart" uri="{02D57815-91ED-43cb-92C2-25804820EDAC}">
                        <c15:formulaRef>
                          <c15:sqref>'1.4 data'!$AD$21</c15:sqref>
                        </c15:formulaRef>
                      </c:ext>
                    </c:extLst>
                    <c:strCache>
                      <c:ptCount val="1"/>
                      <c:pt idx="0">
                        <c:v>2013</c:v>
                      </c:pt>
                    </c:strCache>
                  </c:strRef>
                </c:tx>
                <c:spPr>
                  <a:solidFill>
                    <a:srgbClr val="00ABAB"/>
                  </a:solidFill>
                  <a:ln>
                    <a:noFill/>
                  </a:ln>
                  <a:effectLst/>
                </c:spPr>
                <c:invertIfNegative val="0"/>
                <c:cat>
                  <c:strRef>
                    <c:extLst xmlns:c15="http://schemas.microsoft.com/office/drawing/2012/chart">
                      <c:ext xmlns:c15="http://schemas.microsoft.com/office/drawing/2012/chart" uri="{02D57815-91ED-43cb-92C2-25804820EDAC}">
                        <c15:formulaRef>
                          <c15:sqref>'1.4 data'!$AC$22:$AC$30</c15:sqref>
                        </c15:formulaRef>
                      </c:ext>
                    </c:extLst>
                    <c:strCache>
                      <c:ptCount val="9"/>
                      <c:pt idx="0">
                        <c:v>Northern Territory</c:v>
                      </c:pt>
                      <c:pt idx="1">
                        <c:v>Tasmania</c:v>
                      </c:pt>
                      <c:pt idx="2">
                        <c:v>Multi-State</c:v>
                      </c:pt>
                      <c:pt idx="3">
                        <c:v>Australian Capital Territory</c:v>
                      </c:pt>
                      <c:pt idx="4">
                        <c:v>South Australia</c:v>
                      </c:pt>
                      <c:pt idx="5">
                        <c:v>Western Australia</c:v>
                      </c:pt>
                      <c:pt idx="6">
                        <c:v>Queensland</c:v>
                      </c:pt>
                      <c:pt idx="7">
                        <c:v>Victoria</c:v>
                      </c:pt>
                      <c:pt idx="8">
                        <c:v>New South Wales</c:v>
                      </c:pt>
                    </c:strCache>
                  </c:strRef>
                </c:cat>
                <c:val>
                  <c:numRef>
                    <c:extLst xmlns:c15="http://schemas.microsoft.com/office/drawing/2012/chart">
                      <c:ext xmlns:c15="http://schemas.microsoft.com/office/drawing/2012/chart" uri="{02D57815-91ED-43cb-92C2-25804820EDAC}">
                        <c15:formulaRef>
                          <c15:sqref>'1.4 data'!$AD$22:$AD$30</c15:sqref>
                        </c15:formulaRef>
                      </c:ext>
                    </c:extLst>
                    <c:numCache>
                      <c:formatCode>General</c:formatCode>
                      <c:ptCount val="9"/>
                      <c:pt idx="0">
                        <c:v>10.865</c:v>
                      </c:pt>
                      <c:pt idx="1">
                        <c:v>26.908000000000001</c:v>
                      </c:pt>
                      <c:pt idx="2">
                        <c:v>28.888000000000002</c:v>
                      </c:pt>
                      <c:pt idx="3">
                        <c:v>37.380000000000003</c:v>
                      </c:pt>
                      <c:pt idx="4">
                        <c:v>90.200999999999993</c:v>
                      </c:pt>
                      <c:pt idx="5">
                        <c:v>138.107</c:v>
                      </c:pt>
                      <c:pt idx="6">
                        <c:v>230.73500000000001</c:v>
                      </c:pt>
                      <c:pt idx="7">
                        <c:v>344.65800000000002</c:v>
                      </c:pt>
                      <c:pt idx="8">
                        <c:v>406.03399999999999</c:v>
                      </c:pt>
                    </c:numCache>
                  </c:numRef>
                </c:val>
                <c:extLst xmlns:c15="http://schemas.microsoft.com/office/drawing/2012/chart">
                  <c:ext xmlns:c16="http://schemas.microsoft.com/office/drawing/2014/chart" uri="{C3380CC4-5D6E-409C-BE32-E72D297353CC}">
                    <c16:uniqueId val="{00000007-B307-461B-90E3-29E3632A0DCA}"/>
                  </c:ext>
                </c:extLst>
              </c15:ser>
            </c15:filteredBarSeries>
          </c:ext>
        </c:extLst>
      </c:barChart>
      <c:catAx>
        <c:axId val="1131482191"/>
        <c:scaling>
          <c:orientation val="minMax"/>
        </c:scaling>
        <c:delete val="0"/>
        <c:axPos val="l"/>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131477615"/>
        <c:crosses val="autoZero"/>
        <c:auto val="1"/>
        <c:lblAlgn val="r"/>
        <c:lblOffset val="100"/>
        <c:noMultiLvlLbl val="0"/>
      </c:catAx>
      <c:valAx>
        <c:axId val="1131477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1314821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0.86304</cdr:x>
      <cdr:y>0.90886</cdr:y>
    </cdr:from>
    <cdr:to>
      <cdr:x>1</cdr:x>
      <cdr:y>0.96456</cdr:y>
    </cdr:to>
    <cdr:sp macro="" textlink="">
      <cdr:nvSpPr>
        <cdr:cNvPr id="2" name="TextBox 1"/>
        <cdr:cNvSpPr txBox="1"/>
      </cdr:nvSpPr>
      <cdr:spPr>
        <a:xfrm xmlns:a="http://schemas.openxmlformats.org/drawingml/2006/main">
          <a:off x="4981574" y="3419475"/>
          <a:ext cx="79057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Thousands</a:t>
          </a:r>
        </a:p>
      </cdr:txBody>
    </cdr:sp>
  </cdr:relSizeAnchor>
</c:userShapes>
</file>

<file path=word/drawings/drawing10.xml><?xml version="1.0" encoding="utf-8"?>
<c:userShapes xmlns:c="http://schemas.openxmlformats.org/drawingml/2006/chart">
  <cdr:relSizeAnchor xmlns:cdr="http://schemas.openxmlformats.org/drawingml/2006/chartDrawing">
    <cdr:from>
      <cdr:x>0.08673</cdr:x>
      <cdr:y>0.48368</cdr:y>
    </cdr:from>
    <cdr:to>
      <cdr:x>0.97345</cdr:x>
      <cdr:y>0.60237</cdr:y>
    </cdr:to>
    <cdr:sp macro="" textlink="">
      <cdr:nvSpPr>
        <cdr:cNvPr id="2" name="Rectangle 1">
          <a:extLst xmlns:a="http://schemas.openxmlformats.org/drawingml/2006/main">
            <a:ext uri="{FF2B5EF4-FFF2-40B4-BE49-F238E27FC236}">
              <a16:creationId xmlns:a16="http://schemas.microsoft.com/office/drawing/2014/main" id="{4E567613-C394-41DD-9AAC-1F87D01D2792}"/>
            </a:ext>
          </a:extLst>
        </cdr:cNvPr>
        <cdr:cNvSpPr/>
      </cdr:nvSpPr>
      <cdr:spPr>
        <a:xfrm xmlns:a="http://schemas.openxmlformats.org/drawingml/2006/main">
          <a:off x="466726" y="1552576"/>
          <a:ext cx="4772025" cy="381000"/>
        </a:xfrm>
        <a:prstGeom xmlns:a="http://schemas.openxmlformats.org/drawingml/2006/main" prst="rect">
          <a:avLst/>
        </a:prstGeom>
        <a:solidFill xmlns:a="http://schemas.openxmlformats.org/drawingml/2006/main">
          <a:schemeClr val="bg1">
            <a:lumMod val="75000"/>
            <a:alpha val="2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11.xml><?xml version="1.0" encoding="utf-8"?>
<c:userShapes xmlns:c="http://schemas.openxmlformats.org/drawingml/2006/chart">
  <cdr:relSizeAnchor xmlns:cdr="http://schemas.openxmlformats.org/drawingml/2006/chartDrawing">
    <cdr:from>
      <cdr:x>0.44341</cdr:x>
      <cdr:y>0.94282</cdr:y>
    </cdr:from>
    <cdr:to>
      <cdr:x>0.45528</cdr:x>
      <cdr:y>0.96685</cdr:y>
    </cdr:to>
    <cdr:sp macro="" textlink="">
      <cdr:nvSpPr>
        <cdr:cNvPr id="25" name="Diamond 24"/>
        <cdr:cNvSpPr/>
      </cdr:nvSpPr>
      <cdr:spPr>
        <a:xfrm xmlns:a="http://schemas.openxmlformats.org/drawingml/2006/main">
          <a:off x="4079850" y="4412357"/>
          <a:ext cx="109218" cy="112459"/>
        </a:xfrm>
        <a:prstGeom xmlns:a="http://schemas.openxmlformats.org/drawingml/2006/main" prst="diamond">
          <a:avLst/>
        </a:prstGeom>
        <a:solidFill xmlns:a="http://schemas.openxmlformats.org/drawingml/2006/main">
          <a:srgbClr val="00ABAB"/>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0.44752</cdr:x>
      <cdr:y>0.93207</cdr:y>
    </cdr:from>
    <cdr:to>
      <cdr:x>0.50621</cdr:x>
      <cdr:y>0.97054</cdr:y>
    </cdr:to>
    <cdr:sp macro="" textlink="">
      <cdr:nvSpPr>
        <cdr:cNvPr id="26" name="TextBox 2"/>
        <cdr:cNvSpPr txBox="1"/>
      </cdr:nvSpPr>
      <cdr:spPr>
        <a:xfrm xmlns:a="http://schemas.openxmlformats.org/drawingml/2006/main">
          <a:off x="4117711" y="436205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2017</a:t>
          </a:r>
        </a:p>
      </cdr:txBody>
    </cdr:sp>
  </cdr:relSizeAnchor>
  <cdr:relSizeAnchor xmlns:cdr="http://schemas.openxmlformats.org/drawingml/2006/chartDrawing">
    <cdr:from>
      <cdr:x>0.49885</cdr:x>
      <cdr:y>0.93207</cdr:y>
    </cdr:from>
    <cdr:to>
      <cdr:x>0.55754</cdr:x>
      <cdr:y>0.97054</cdr:y>
    </cdr:to>
    <cdr:sp macro="" textlink="">
      <cdr:nvSpPr>
        <cdr:cNvPr id="30" name="TextBox 2">
          <a:extLst xmlns:a="http://schemas.openxmlformats.org/drawingml/2006/main">
            <a:ext uri="{FF2B5EF4-FFF2-40B4-BE49-F238E27FC236}">
              <a16:creationId xmlns:a16="http://schemas.microsoft.com/office/drawing/2014/main" id="{D8D5241D-927C-4D18-BD26-66788C4A16DF}"/>
            </a:ext>
          </a:extLst>
        </cdr:cNvPr>
        <cdr:cNvSpPr txBox="1"/>
      </cdr:nvSpPr>
      <cdr:spPr>
        <a:xfrm xmlns:a="http://schemas.openxmlformats.org/drawingml/2006/main">
          <a:off x="4590037" y="436205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dr:relSizeAnchor xmlns:cdr="http://schemas.openxmlformats.org/drawingml/2006/chartDrawing">
    <cdr:from>
      <cdr:x>0.55019</cdr:x>
      <cdr:y>0.93207</cdr:y>
    </cdr:from>
    <cdr:to>
      <cdr:x>0.60888</cdr:x>
      <cdr:y>0.97054</cdr:y>
    </cdr:to>
    <cdr:sp macro="" textlink="">
      <cdr:nvSpPr>
        <cdr:cNvPr id="31" name="TextBox 2">
          <a:extLst xmlns:a="http://schemas.openxmlformats.org/drawingml/2006/main">
            <a:ext uri="{FF2B5EF4-FFF2-40B4-BE49-F238E27FC236}">
              <a16:creationId xmlns:a16="http://schemas.microsoft.com/office/drawing/2014/main" id="{AA3B981E-013D-4F85-B4F0-B476DE35B021}"/>
            </a:ext>
          </a:extLst>
        </cdr:cNvPr>
        <cdr:cNvSpPr txBox="1"/>
      </cdr:nvSpPr>
      <cdr:spPr>
        <a:xfrm xmlns:a="http://schemas.openxmlformats.org/drawingml/2006/main">
          <a:off x="5062363" y="436205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2019</a:t>
          </a:r>
        </a:p>
      </cdr:txBody>
    </cdr:sp>
  </cdr:relSizeAnchor>
  <cdr:relSizeAnchor xmlns:cdr="http://schemas.openxmlformats.org/drawingml/2006/chartDrawing">
    <cdr:from>
      <cdr:x>0.60152</cdr:x>
      <cdr:y>0.93207</cdr:y>
    </cdr:from>
    <cdr:to>
      <cdr:x>0.66021</cdr:x>
      <cdr:y>0.97054</cdr:y>
    </cdr:to>
    <cdr:sp macro="" textlink="">
      <cdr:nvSpPr>
        <cdr:cNvPr id="53" name="TextBox 2">
          <a:extLst xmlns:a="http://schemas.openxmlformats.org/drawingml/2006/main">
            <a:ext uri="{FF2B5EF4-FFF2-40B4-BE49-F238E27FC236}">
              <a16:creationId xmlns:a16="http://schemas.microsoft.com/office/drawing/2014/main" id="{DB91F39B-53CB-4409-9DA8-E3A30C326D96}"/>
            </a:ext>
          </a:extLst>
        </cdr:cNvPr>
        <cdr:cNvSpPr txBox="1"/>
      </cdr:nvSpPr>
      <cdr:spPr>
        <a:xfrm xmlns:a="http://schemas.openxmlformats.org/drawingml/2006/main">
          <a:off x="5534688" y="436205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dr:relSizeAnchor xmlns:cdr="http://schemas.openxmlformats.org/drawingml/2006/chartDrawing">
    <cdr:from>
      <cdr:x>0.54621</cdr:x>
      <cdr:y>0.94377</cdr:y>
    </cdr:from>
    <cdr:to>
      <cdr:x>0.55808</cdr:x>
      <cdr:y>0.9678</cdr:y>
    </cdr:to>
    <cdr:sp macro="" textlink="">
      <cdr:nvSpPr>
        <cdr:cNvPr id="81" name="Diamond 80">
          <a:extLst xmlns:a="http://schemas.openxmlformats.org/drawingml/2006/main">
            <a:ext uri="{FF2B5EF4-FFF2-40B4-BE49-F238E27FC236}">
              <a16:creationId xmlns:a16="http://schemas.microsoft.com/office/drawing/2014/main" id="{0AEBA5D1-2FB0-41F3-9F0F-385E2C224248}"/>
            </a:ext>
          </a:extLst>
        </cdr:cNvPr>
        <cdr:cNvSpPr/>
      </cdr:nvSpPr>
      <cdr:spPr>
        <a:xfrm xmlns:a="http://schemas.openxmlformats.org/drawingml/2006/main">
          <a:off x="5025728" y="4416803"/>
          <a:ext cx="109218" cy="112459"/>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0.49481</cdr:x>
      <cdr:y>0.94548</cdr:y>
    </cdr:from>
    <cdr:to>
      <cdr:x>0.50668</cdr:x>
      <cdr:y>0.96951</cdr:y>
    </cdr:to>
    <cdr:sp macro="" textlink="">
      <cdr:nvSpPr>
        <cdr:cNvPr id="82" name="Diamond 81">
          <a:extLst xmlns:a="http://schemas.openxmlformats.org/drawingml/2006/main">
            <a:ext uri="{FF2B5EF4-FFF2-40B4-BE49-F238E27FC236}">
              <a16:creationId xmlns:a16="http://schemas.microsoft.com/office/drawing/2014/main" id="{196A59FB-C262-4FE1-A5D4-3ED5561A34C6}"/>
            </a:ext>
          </a:extLst>
        </cdr:cNvPr>
        <cdr:cNvSpPr/>
      </cdr:nvSpPr>
      <cdr:spPr>
        <a:xfrm xmlns:a="http://schemas.openxmlformats.org/drawingml/2006/main">
          <a:off x="4552789" y="4424805"/>
          <a:ext cx="109218" cy="112460"/>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0.59761</cdr:x>
      <cdr:y>0.94377</cdr:y>
    </cdr:from>
    <cdr:to>
      <cdr:x>0.60948</cdr:x>
      <cdr:y>0.9678</cdr:y>
    </cdr:to>
    <cdr:sp macro="" textlink="">
      <cdr:nvSpPr>
        <cdr:cNvPr id="83" name="Diamond 82">
          <a:extLst xmlns:a="http://schemas.openxmlformats.org/drawingml/2006/main">
            <a:ext uri="{FF2B5EF4-FFF2-40B4-BE49-F238E27FC236}">
              <a16:creationId xmlns:a16="http://schemas.microsoft.com/office/drawing/2014/main" id="{A6E021AA-5FB8-41F6-BC1E-09798FF38A4D}"/>
            </a:ext>
          </a:extLst>
        </cdr:cNvPr>
        <cdr:cNvSpPr/>
      </cdr:nvSpPr>
      <cdr:spPr>
        <a:xfrm xmlns:a="http://schemas.openxmlformats.org/drawingml/2006/main">
          <a:off x="5498667" y="4416803"/>
          <a:ext cx="109218" cy="112459"/>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0.44142</cdr:x>
      <cdr:y>0.92133</cdr:y>
    </cdr:from>
    <cdr:to>
      <cdr:x>0.45329</cdr:x>
      <cdr:y>0.94536</cdr:y>
    </cdr:to>
    <cdr:sp macro="" textlink="">
      <cdr:nvSpPr>
        <cdr:cNvPr id="25" name="Diamond 24"/>
        <cdr:cNvSpPr/>
      </cdr:nvSpPr>
      <cdr:spPr>
        <a:xfrm xmlns:a="http://schemas.openxmlformats.org/drawingml/2006/main">
          <a:off x="4061562" y="4311773"/>
          <a:ext cx="109218" cy="112459"/>
        </a:xfrm>
        <a:prstGeom xmlns:a="http://schemas.openxmlformats.org/drawingml/2006/main" prst="diamond">
          <a:avLst/>
        </a:prstGeom>
        <a:solidFill xmlns:a="http://schemas.openxmlformats.org/drawingml/2006/main">
          <a:srgbClr val="00ABAB"/>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0.44553</cdr:x>
      <cdr:y>0.91253</cdr:y>
    </cdr:from>
    <cdr:to>
      <cdr:x>0.50422</cdr:x>
      <cdr:y>0.951</cdr:y>
    </cdr:to>
    <cdr:sp macro="" textlink="">
      <cdr:nvSpPr>
        <cdr:cNvPr id="26" name="TextBox 2"/>
        <cdr:cNvSpPr txBox="1"/>
      </cdr:nvSpPr>
      <cdr:spPr>
        <a:xfrm xmlns:a="http://schemas.openxmlformats.org/drawingml/2006/main">
          <a:off x="4099422" y="427061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2017</a:t>
          </a:r>
        </a:p>
      </cdr:txBody>
    </cdr:sp>
  </cdr:relSizeAnchor>
  <cdr:relSizeAnchor xmlns:cdr="http://schemas.openxmlformats.org/drawingml/2006/chartDrawing">
    <cdr:from>
      <cdr:x>0.49687</cdr:x>
      <cdr:y>0.91253</cdr:y>
    </cdr:from>
    <cdr:to>
      <cdr:x>0.55556</cdr:x>
      <cdr:y>0.951</cdr:y>
    </cdr:to>
    <cdr:sp macro="" textlink="">
      <cdr:nvSpPr>
        <cdr:cNvPr id="30" name="TextBox 2">
          <a:extLst xmlns:a="http://schemas.openxmlformats.org/drawingml/2006/main">
            <a:ext uri="{FF2B5EF4-FFF2-40B4-BE49-F238E27FC236}">
              <a16:creationId xmlns:a16="http://schemas.microsoft.com/office/drawing/2014/main" id="{D8D5241D-927C-4D18-BD26-66788C4A16DF}"/>
            </a:ext>
          </a:extLst>
        </cdr:cNvPr>
        <cdr:cNvSpPr txBox="1"/>
      </cdr:nvSpPr>
      <cdr:spPr>
        <a:xfrm xmlns:a="http://schemas.openxmlformats.org/drawingml/2006/main">
          <a:off x="4571748" y="427061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dr:relSizeAnchor xmlns:cdr="http://schemas.openxmlformats.org/drawingml/2006/chartDrawing">
    <cdr:from>
      <cdr:x>0.5482</cdr:x>
      <cdr:y>0.91253</cdr:y>
    </cdr:from>
    <cdr:to>
      <cdr:x>0.60689</cdr:x>
      <cdr:y>0.951</cdr:y>
    </cdr:to>
    <cdr:sp macro="" textlink="">
      <cdr:nvSpPr>
        <cdr:cNvPr id="31" name="TextBox 2">
          <a:extLst xmlns:a="http://schemas.openxmlformats.org/drawingml/2006/main">
            <a:ext uri="{FF2B5EF4-FFF2-40B4-BE49-F238E27FC236}">
              <a16:creationId xmlns:a16="http://schemas.microsoft.com/office/drawing/2014/main" id="{AA3B981E-013D-4F85-B4F0-B476DE35B021}"/>
            </a:ext>
          </a:extLst>
        </cdr:cNvPr>
        <cdr:cNvSpPr txBox="1"/>
      </cdr:nvSpPr>
      <cdr:spPr>
        <a:xfrm xmlns:a="http://schemas.openxmlformats.org/drawingml/2006/main">
          <a:off x="5044074" y="427061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2019</a:t>
          </a:r>
        </a:p>
      </cdr:txBody>
    </cdr:sp>
  </cdr:relSizeAnchor>
  <cdr:relSizeAnchor xmlns:cdr="http://schemas.openxmlformats.org/drawingml/2006/chartDrawing">
    <cdr:from>
      <cdr:x>0.59953</cdr:x>
      <cdr:y>0.91253</cdr:y>
    </cdr:from>
    <cdr:to>
      <cdr:x>0.65822</cdr:x>
      <cdr:y>0.951</cdr:y>
    </cdr:to>
    <cdr:sp macro="" textlink="">
      <cdr:nvSpPr>
        <cdr:cNvPr id="53" name="TextBox 2">
          <a:extLst xmlns:a="http://schemas.openxmlformats.org/drawingml/2006/main">
            <a:ext uri="{FF2B5EF4-FFF2-40B4-BE49-F238E27FC236}">
              <a16:creationId xmlns:a16="http://schemas.microsoft.com/office/drawing/2014/main" id="{DB91F39B-53CB-4409-9DA8-E3A30C326D96}"/>
            </a:ext>
          </a:extLst>
        </cdr:cNvPr>
        <cdr:cNvSpPr txBox="1"/>
      </cdr:nvSpPr>
      <cdr:spPr>
        <a:xfrm xmlns:a="http://schemas.openxmlformats.org/drawingml/2006/main">
          <a:off x="5516399" y="4270618"/>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dr:relSizeAnchor xmlns:cdr="http://schemas.openxmlformats.org/drawingml/2006/chartDrawing">
    <cdr:from>
      <cdr:x>0.54422</cdr:x>
      <cdr:y>0.92133</cdr:y>
    </cdr:from>
    <cdr:to>
      <cdr:x>0.55609</cdr:x>
      <cdr:y>0.94536</cdr:y>
    </cdr:to>
    <cdr:sp macro="" textlink="">
      <cdr:nvSpPr>
        <cdr:cNvPr id="81" name="Diamond 80">
          <a:extLst xmlns:a="http://schemas.openxmlformats.org/drawingml/2006/main">
            <a:ext uri="{FF2B5EF4-FFF2-40B4-BE49-F238E27FC236}">
              <a16:creationId xmlns:a16="http://schemas.microsoft.com/office/drawing/2014/main" id="{0AEBA5D1-2FB0-41F3-9F0F-385E2C224248}"/>
            </a:ext>
          </a:extLst>
        </cdr:cNvPr>
        <cdr:cNvSpPr/>
      </cdr:nvSpPr>
      <cdr:spPr>
        <a:xfrm xmlns:a="http://schemas.openxmlformats.org/drawingml/2006/main">
          <a:off x="5007440" y="4311773"/>
          <a:ext cx="109218" cy="112459"/>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0.49282</cdr:x>
      <cdr:y>0.92133</cdr:y>
    </cdr:from>
    <cdr:to>
      <cdr:x>0.50469</cdr:x>
      <cdr:y>0.94536</cdr:y>
    </cdr:to>
    <cdr:sp macro="" textlink="">
      <cdr:nvSpPr>
        <cdr:cNvPr id="82" name="Diamond 81">
          <a:extLst xmlns:a="http://schemas.openxmlformats.org/drawingml/2006/main">
            <a:ext uri="{FF2B5EF4-FFF2-40B4-BE49-F238E27FC236}">
              <a16:creationId xmlns:a16="http://schemas.microsoft.com/office/drawing/2014/main" id="{196A59FB-C262-4FE1-A5D4-3ED5561A34C6}"/>
            </a:ext>
          </a:extLst>
        </cdr:cNvPr>
        <cdr:cNvSpPr/>
      </cdr:nvSpPr>
      <cdr:spPr>
        <a:xfrm xmlns:a="http://schemas.openxmlformats.org/drawingml/2006/main">
          <a:off x="4534501" y="4311773"/>
          <a:ext cx="109218" cy="112460"/>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0.59562</cdr:x>
      <cdr:y>0.92133</cdr:y>
    </cdr:from>
    <cdr:to>
      <cdr:x>0.60749</cdr:x>
      <cdr:y>0.94536</cdr:y>
    </cdr:to>
    <cdr:sp macro="" textlink="">
      <cdr:nvSpPr>
        <cdr:cNvPr id="83" name="Diamond 82">
          <a:extLst xmlns:a="http://schemas.openxmlformats.org/drawingml/2006/main">
            <a:ext uri="{FF2B5EF4-FFF2-40B4-BE49-F238E27FC236}">
              <a16:creationId xmlns:a16="http://schemas.microsoft.com/office/drawing/2014/main" id="{A6E021AA-5FB8-41F6-BC1E-09798FF38A4D}"/>
            </a:ext>
          </a:extLst>
        </cdr:cNvPr>
        <cdr:cNvSpPr/>
      </cdr:nvSpPr>
      <cdr:spPr>
        <a:xfrm xmlns:a="http://schemas.openxmlformats.org/drawingml/2006/main">
          <a:off x="5480379" y="4311773"/>
          <a:ext cx="109218" cy="112459"/>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0.51773</cdr:x>
      <cdr:y>0.92647</cdr:y>
    </cdr:from>
    <cdr:to>
      <cdr:x>0.5296</cdr:x>
      <cdr:y>0.9505</cdr:y>
    </cdr:to>
    <cdr:sp macro="" textlink="">
      <cdr:nvSpPr>
        <cdr:cNvPr id="24" name="Diamond 23">
          <a:extLst xmlns:a="http://schemas.openxmlformats.org/drawingml/2006/main">
            <a:ext uri="{FF2B5EF4-FFF2-40B4-BE49-F238E27FC236}">
              <a16:creationId xmlns:a16="http://schemas.microsoft.com/office/drawing/2014/main" id="{5E2D9F3E-546C-4B82-A105-A8AE272DDB3E}"/>
            </a:ext>
          </a:extLst>
        </cdr:cNvPr>
        <cdr:cNvSpPr/>
      </cdr:nvSpPr>
      <cdr:spPr>
        <a:xfrm xmlns:a="http://schemas.openxmlformats.org/drawingml/2006/main">
          <a:off x="4763678" y="4335853"/>
          <a:ext cx="109217" cy="112459"/>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0.4327</cdr:x>
      <cdr:y>0.92647</cdr:y>
    </cdr:from>
    <cdr:to>
      <cdr:x>0.44457</cdr:x>
      <cdr:y>0.9505</cdr:y>
    </cdr:to>
    <cdr:sp macro="" textlink="">
      <cdr:nvSpPr>
        <cdr:cNvPr id="25" name="Diamond 24">
          <a:extLst xmlns:a="http://schemas.openxmlformats.org/drawingml/2006/main">
            <a:ext uri="{FF2B5EF4-FFF2-40B4-BE49-F238E27FC236}">
              <a16:creationId xmlns:a16="http://schemas.microsoft.com/office/drawing/2014/main" id="{C699B4AC-498E-48BA-A286-434C7DA49CB1}"/>
            </a:ext>
          </a:extLst>
        </cdr:cNvPr>
        <cdr:cNvSpPr/>
      </cdr:nvSpPr>
      <cdr:spPr>
        <a:xfrm xmlns:a="http://schemas.openxmlformats.org/drawingml/2006/main">
          <a:off x="3981328" y="4335853"/>
          <a:ext cx="109218" cy="112459"/>
        </a:xfrm>
        <a:prstGeom xmlns:a="http://schemas.openxmlformats.org/drawingml/2006/main" prst="diamond">
          <a:avLst/>
        </a:prstGeom>
        <a:solidFill xmlns:a="http://schemas.openxmlformats.org/drawingml/2006/main">
          <a:srgbClr val="00ABAB"/>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0.47521</cdr:x>
      <cdr:y>0.92647</cdr:y>
    </cdr:from>
    <cdr:to>
      <cdr:x>0.48708</cdr:x>
      <cdr:y>0.9505</cdr:y>
    </cdr:to>
    <cdr:sp macro="" textlink="">
      <cdr:nvSpPr>
        <cdr:cNvPr id="32" name="Diamond 31">
          <a:extLst xmlns:a="http://schemas.openxmlformats.org/drawingml/2006/main">
            <a:ext uri="{FF2B5EF4-FFF2-40B4-BE49-F238E27FC236}">
              <a16:creationId xmlns:a16="http://schemas.microsoft.com/office/drawing/2014/main" id="{2642E3C0-2365-4F10-A0DD-E51B5109F11F}"/>
            </a:ext>
          </a:extLst>
        </cdr:cNvPr>
        <cdr:cNvSpPr/>
      </cdr:nvSpPr>
      <cdr:spPr>
        <a:xfrm xmlns:a="http://schemas.openxmlformats.org/drawingml/2006/main">
          <a:off x="4372503" y="4335853"/>
          <a:ext cx="109218" cy="112459"/>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0.43563</cdr:x>
      <cdr:y>0.91448</cdr:y>
    </cdr:from>
    <cdr:to>
      <cdr:x>0.49432</cdr:x>
      <cdr:y>0.95294</cdr:y>
    </cdr:to>
    <cdr:sp macro="" textlink="">
      <cdr:nvSpPr>
        <cdr:cNvPr id="2" name="TextBox 1">
          <a:extLst xmlns:a="http://schemas.openxmlformats.org/drawingml/2006/main">
            <a:ext uri="{FF2B5EF4-FFF2-40B4-BE49-F238E27FC236}">
              <a16:creationId xmlns:a16="http://schemas.microsoft.com/office/drawing/2014/main" id="{D01BE9BB-4545-4418-9C15-93F9487E006C}"/>
            </a:ext>
          </a:extLst>
        </cdr:cNvPr>
        <cdr:cNvSpPr txBox="1"/>
      </cdr:nvSpPr>
      <cdr:spPr>
        <a:xfrm xmlns:a="http://schemas.openxmlformats.org/drawingml/2006/main">
          <a:off x="4008307" y="4279703"/>
          <a:ext cx="540000" cy="180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rPr>
            <a:t>2017</a:t>
          </a:r>
        </a:p>
      </cdr:txBody>
    </cdr:sp>
  </cdr:relSizeAnchor>
  <cdr:relSizeAnchor xmlns:cdr="http://schemas.openxmlformats.org/drawingml/2006/chartDrawing">
    <cdr:from>
      <cdr:x>0.52065</cdr:x>
      <cdr:y>0.91582</cdr:y>
    </cdr:from>
    <cdr:to>
      <cdr:x>0.57934</cdr:x>
      <cdr:y>0.95428</cdr:y>
    </cdr:to>
    <cdr:sp macro="" textlink="">
      <cdr:nvSpPr>
        <cdr:cNvPr id="35" name="TextBox 34">
          <a:extLst xmlns:a="http://schemas.openxmlformats.org/drawingml/2006/main">
            <a:ext uri="{FF2B5EF4-FFF2-40B4-BE49-F238E27FC236}">
              <a16:creationId xmlns:a16="http://schemas.microsoft.com/office/drawing/2014/main" id="{49FE45BE-E281-49BA-9645-3A3AE550C977}"/>
            </a:ext>
          </a:extLst>
        </cdr:cNvPr>
        <cdr:cNvSpPr txBox="1"/>
      </cdr:nvSpPr>
      <cdr:spPr>
        <a:xfrm xmlns:a="http://schemas.openxmlformats.org/drawingml/2006/main">
          <a:off x="4790587" y="4285976"/>
          <a:ext cx="540000" cy="180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rPr>
            <a:t>2019</a:t>
          </a:r>
        </a:p>
      </cdr:txBody>
    </cdr:sp>
  </cdr:relSizeAnchor>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dr:relSizeAnchor xmlns:cdr="http://schemas.openxmlformats.org/drawingml/2006/chartDrawing">
    <cdr:from>
      <cdr:x>0.47814</cdr:x>
      <cdr:y>0.91535</cdr:y>
    </cdr:from>
    <cdr:to>
      <cdr:x>0.53683</cdr:x>
      <cdr:y>0.95381</cdr:y>
    </cdr:to>
    <cdr:sp macro="" textlink="">
      <cdr:nvSpPr>
        <cdr:cNvPr id="21" name="TextBox 2">
          <a:extLst xmlns:a="http://schemas.openxmlformats.org/drawingml/2006/main">
            <a:ext uri="{FF2B5EF4-FFF2-40B4-BE49-F238E27FC236}">
              <a16:creationId xmlns:a16="http://schemas.microsoft.com/office/drawing/2014/main" id="{ABE90AA1-FF22-4CCC-8DDA-C92153042417}"/>
            </a:ext>
          </a:extLst>
        </cdr:cNvPr>
        <cdr:cNvSpPr txBox="1"/>
      </cdr:nvSpPr>
      <cdr:spPr>
        <a:xfrm xmlns:a="http://schemas.openxmlformats.org/drawingml/2006/main">
          <a:off x="4399447" y="4283776"/>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dr:relSizeAnchor xmlns:cdr="http://schemas.openxmlformats.org/drawingml/2006/chartDrawing">
    <cdr:from>
      <cdr:x>0.56024</cdr:x>
      <cdr:y>0.92647</cdr:y>
    </cdr:from>
    <cdr:to>
      <cdr:x>0.57211</cdr:x>
      <cdr:y>0.9505</cdr:y>
    </cdr:to>
    <cdr:sp macro="" textlink="">
      <cdr:nvSpPr>
        <cdr:cNvPr id="83" name="Diamond 82">
          <a:extLst xmlns:a="http://schemas.openxmlformats.org/drawingml/2006/main">
            <a:ext uri="{FF2B5EF4-FFF2-40B4-BE49-F238E27FC236}">
              <a16:creationId xmlns:a16="http://schemas.microsoft.com/office/drawing/2014/main" id="{A6E021AA-5FB8-41F6-BC1E-09798FF38A4D}"/>
            </a:ext>
          </a:extLst>
        </cdr:cNvPr>
        <cdr:cNvSpPr/>
      </cdr:nvSpPr>
      <cdr:spPr>
        <a:xfrm xmlns:a="http://schemas.openxmlformats.org/drawingml/2006/main">
          <a:off x="5154852" y="4335853"/>
          <a:ext cx="109218" cy="112459"/>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0.56316</cdr:x>
      <cdr:y>0.91535</cdr:y>
    </cdr:from>
    <cdr:to>
      <cdr:x>0.62185</cdr:x>
      <cdr:y>0.95381</cdr:y>
    </cdr:to>
    <cdr:sp macro="" textlink="">
      <cdr:nvSpPr>
        <cdr:cNvPr id="1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5181728" y="4283776"/>
          <a:ext cx="540000" cy="180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userShapes>
</file>

<file path=word/drawings/drawing14.xml><?xml version="1.0" encoding="utf-8"?>
<c:userShapes xmlns:c="http://schemas.openxmlformats.org/drawingml/2006/chart">
  <cdr:relSizeAnchor xmlns:cdr="http://schemas.openxmlformats.org/drawingml/2006/chartDrawing">
    <cdr:from>
      <cdr:x>0.51912</cdr:x>
      <cdr:y>0.9304</cdr:y>
    </cdr:from>
    <cdr:to>
      <cdr:x>0.53099</cdr:x>
      <cdr:y>0.95443</cdr:y>
    </cdr:to>
    <cdr:sp macro="" textlink="">
      <cdr:nvSpPr>
        <cdr:cNvPr id="24" name="Diamond 23">
          <a:extLst xmlns:a="http://schemas.openxmlformats.org/drawingml/2006/main">
            <a:ext uri="{FF2B5EF4-FFF2-40B4-BE49-F238E27FC236}">
              <a16:creationId xmlns:a16="http://schemas.microsoft.com/office/drawing/2014/main" id="{5E2D9F3E-546C-4B82-A105-A8AE272DDB3E}"/>
            </a:ext>
          </a:extLst>
        </cdr:cNvPr>
        <cdr:cNvSpPr/>
      </cdr:nvSpPr>
      <cdr:spPr>
        <a:xfrm xmlns:a="http://schemas.openxmlformats.org/drawingml/2006/main">
          <a:off x="4776509" y="4354206"/>
          <a:ext cx="109217" cy="112459"/>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0.56159</cdr:x>
      <cdr:y>0.9304</cdr:y>
    </cdr:from>
    <cdr:to>
      <cdr:x>0.57346</cdr:x>
      <cdr:y>0.95443</cdr:y>
    </cdr:to>
    <cdr:sp macro="" textlink="">
      <cdr:nvSpPr>
        <cdr:cNvPr id="33" name="Diamond 32">
          <a:extLst xmlns:a="http://schemas.openxmlformats.org/drawingml/2006/main">
            <a:ext uri="{FF2B5EF4-FFF2-40B4-BE49-F238E27FC236}">
              <a16:creationId xmlns:a16="http://schemas.microsoft.com/office/drawing/2014/main" id="{1A29F243-5884-4BAD-91CA-3CB535AEEAEA}"/>
            </a:ext>
          </a:extLst>
        </cdr:cNvPr>
        <cdr:cNvSpPr/>
      </cdr:nvSpPr>
      <cdr:spPr>
        <a:xfrm xmlns:a="http://schemas.openxmlformats.org/drawingml/2006/main">
          <a:off x="5167312" y="4354206"/>
          <a:ext cx="109217" cy="112459"/>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0.47783</cdr:x>
      <cdr:y>0.9184</cdr:y>
    </cdr:from>
    <cdr:to>
      <cdr:x>0.53261</cdr:x>
      <cdr:y>0.94917</cdr:y>
    </cdr:to>
    <cdr:sp macro="" textlink="">
      <cdr:nvSpPr>
        <cdr:cNvPr id="34" name="TextBox 33">
          <a:extLst xmlns:a="http://schemas.openxmlformats.org/drawingml/2006/main">
            <a:ext uri="{FF2B5EF4-FFF2-40B4-BE49-F238E27FC236}">
              <a16:creationId xmlns:a16="http://schemas.microsoft.com/office/drawing/2014/main" id="{9A777931-0E38-4A99-8A18-F8DF99550D58}"/>
            </a:ext>
          </a:extLst>
        </cdr:cNvPr>
        <cdr:cNvSpPr txBox="1"/>
      </cdr:nvSpPr>
      <cdr:spPr>
        <a:xfrm xmlns:a="http://schemas.openxmlformats.org/drawingml/2006/main">
          <a:off x="4396593" y="4298056"/>
          <a:ext cx="504000" cy="14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rPr>
            <a:t>2018</a:t>
          </a:r>
        </a:p>
      </cdr:txBody>
    </cdr:sp>
  </cdr:relSizeAnchor>
  <cdr:relSizeAnchor xmlns:cdr="http://schemas.openxmlformats.org/drawingml/2006/chartDrawing">
    <cdr:from>
      <cdr:x>0.51974</cdr:x>
      <cdr:y>0.9184</cdr:y>
    </cdr:from>
    <cdr:to>
      <cdr:x>0.57452</cdr:x>
      <cdr:y>0.94917</cdr:y>
    </cdr:to>
    <cdr:sp macro="" textlink="">
      <cdr:nvSpPr>
        <cdr:cNvPr id="35" name="TextBox 34">
          <a:extLst xmlns:a="http://schemas.openxmlformats.org/drawingml/2006/main">
            <a:ext uri="{FF2B5EF4-FFF2-40B4-BE49-F238E27FC236}">
              <a16:creationId xmlns:a16="http://schemas.microsoft.com/office/drawing/2014/main" id="{49FE45BE-E281-49BA-9645-3A3AE550C977}"/>
            </a:ext>
          </a:extLst>
        </cdr:cNvPr>
        <cdr:cNvSpPr txBox="1"/>
      </cdr:nvSpPr>
      <cdr:spPr>
        <a:xfrm xmlns:a="http://schemas.openxmlformats.org/drawingml/2006/main">
          <a:off x="4782244" y="4298056"/>
          <a:ext cx="504000" cy="14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rPr>
            <a:t>2019</a:t>
          </a:r>
        </a:p>
      </cdr:txBody>
    </cdr:sp>
  </cdr:relSizeAnchor>
  <cdr:relSizeAnchor xmlns:cdr="http://schemas.openxmlformats.org/drawingml/2006/chartDrawing">
    <cdr:from>
      <cdr:x>0.56166</cdr:x>
      <cdr:y>0.9184</cdr:y>
    </cdr:from>
    <cdr:to>
      <cdr:x>0.61643</cdr:x>
      <cdr:y>0.94917</cdr:y>
    </cdr:to>
    <cdr:sp macro="" textlink="">
      <cdr:nvSpPr>
        <cdr:cNvPr id="36" name="TextBox 35">
          <a:extLst xmlns:a="http://schemas.openxmlformats.org/drawingml/2006/main">
            <a:ext uri="{FF2B5EF4-FFF2-40B4-BE49-F238E27FC236}">
              <a16:creationId xmlns:a16="http://schemas.microsoft.com/office/drawing/2014/main" id="{8953DF45-7A36-43F0-81C7-5919109FEF17}"/>
            </a:ext>
          </a:extLst>
        </cdr:cNvPr>
        <cdr:cNvSpPr txBox="1"/>
      </cdr:nvSpPr>
      <cdr:spPr>
        <a:xfrm xmlns:a="http://schemas.openxmlformats.org/drawingml/2006/main">
          <a:off x="5167896" y="4298056"/>
          <a:ext cx="504000" cy="14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rPr>
            <a:t>2020</a:t>
          </a:r>
        </a:p>
      </cdr:txBody>
    </cdr:sp>
  </cdr:relSizeAnchor>
  <cdr:relSizeAnchor xmlns:cdr="http://schemas.openxmlformats.org/drawingml/2006/chartDrawing">
    <cdr:from>
      <cdr:x>0.43417</cdr:x>
      <cdr:y>0.9304</cdr:y>
    </cdr:from>
    <cdr:to>
      <cdr:x>0.44604</cdr:x>
      <cdr:y>0.95443</cdr:y>
    </cdr:to>
    <cdr:sp macro="" textlink="">
      <cdr:nvSpPr>
        <cdr:cNvPr id="4" name="Diamond 24">
          <a:extLst xmlns:a="http://schemas.openxmlformats.org/drawingml/2006/main">
            <a:ext uri="{FF2B5EF4-FFF2-40B4-BE49-F238E27FC236}">
              <a16:creationId xmlns:a16="http://schemas.microsoft.com/office/drawing/2014/main" id="{C699B4AC-498E-48BA-A286-434C7DA49CB1}"/>
            </a:ext>
          </a:extLst>
        </cdr:cNvPr>
        <cdr:cNvSpPr/>
      </cdr:nvSpPr>
      <cdr:spPr>
        <a:xfrm xmlns:a="http://schemas.openxmlformats.org/drawingml/2006/main">
          <a:off x="3994901" y="4354206"/>
          <a:ext cx="109218" cy="112459"/>
        </a:xfrm>
        <a:prstGeom xmlns:a="http://schemas.openxmlformats.org/drawingml/2006/main" prst="diamond">
          <a:avLst/>
        </a:prstGeom>
        <a:solidFill xmlns:a="http://schemas.openxmlformats.org/drawingml/2006/main">
          <a:srgbClr val="00ABAB"/>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0.47665</cdr:x>
      <cdr:y>0.9304</cdr:y>
    </cdr:from>
    <cdr:to>
      <cdr:x>0.48852</cdr:x>
      <cdr:y>0.95443</cdr:y>
    </cdr:to>
    <cdr:sp macro="" textlink="">
      <cdr:nvSpPr>
        <cdr:cNvPr id="5" name="Diamond 31">
          <a:extLst xmlns:a="http://schemas.openxmlformats.org/drawingml/2006/main">
            <a:ext uri="{FF2B5EF4-FFF2-40B4-BE49-F238E27FC236}">
              <a16:creationId xmlns:a16="http://schemas.microsoft.com/office/drawing/2014/main" id="{2642E3C0-2365-4F10-A0DD-E51B5109F11F}"/>
            </a:ext>
          </a:extLst>
        </cdr:cNvPr>
        <cdr:cNvSpPr/>
      </cdr:nvSpPr>
      <cdr:spPr>
        <a:xfrm xmlns:a="http://schemas.openxmlformats.org/drawingml/2006/main">
          <a:off x="4385705" y="4354206"/>
          <a:ext cx="109218" cy="112459"/>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0.43592</cdr:x>
      <cdr:y>0.9184</cdr:y>
    </cdr:from>
    <cdr:to>
      <cdr:x>0.49069</cdr:x>
      <cdr:y>0.94917</cdr:y>
    </cdr:to>
    <cdr:sp macro="" textlink="">
      <cdr:nvSpPr>
        <cdr:cNvPr id="6" name="TextBox 1">
          <a:extLst xmlns:a="http://schemas.openxmlformats.org/drawingml/2006/main">
            <a:ext uri="{FF2B5EF4-FFF2-40B4-BE49-F238E27FC236}">
              <a16:creationId xmlns:a16="http://schemas.microsoft.com/office/drawing/2014/main" id="{D01BE9BB-4545-4418-9C15-93F9487E006C}"/>
            </a:ext>
          </a:extLst>
        </cdr:cNvPr>
        <cdr:cNvSpPr txBox="1"/>
      </cdr:nvSpPr>
      <cdr:spPr>
        <a:xfrm xmlns:a="http://schemas.openxmlformats.org/drawingml/2006/main">
          <a:off x="4010942" y="4298056"/>
          <a:ext cx="504000" cy="14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rPr>
            <a:t>2017</a:t>
          </a:r>
        </a:p>
      </cdr:txBody>
    </cdr:sp>
  </cdr:relSizeAnchor>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0.86304</cdr:x>
      <cdr:y>0.90886</cdr:y>
    </cdr:from>
    <cdr:to>
      <cdr:x>1</cdr:x>
      <cdr:y>0.96456</cdr:y>
    </cdr:to>
    <cdr:sp macro="" textlink="">
      <cdr:nvSpPr>
        <cdr:cNvPr id="2" name="TextBox 1"/>
        <cdr:cNvSpPr txBox="1"/>
      </cdr:nvSpPr>
      <cdr:spPr>
        <a:xfrm xmlns:a="http://schemas.openxmlformats.org/drawingml/2006/main">
          <a:off x="4981574" y="3419475"/>
          <a:ext cx="790575"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Thousands</a:t>
          </a:r>
        </a:p>
      </cdr:txBody>
    </cdr:sp>
  </cdr:relSizeAnchor>
</c:userShapes>
</file>

<file path=word/drawings/drawing3.xml><?xml version="1.0" encoding="utf-8"?>
<c:userShapes xmlns:c="http://schemas.openxmlformats.org/drawingml/2006/chart">
  <cdr:relSizeAnchor xmlns:cdr="http://schemas.openxmlformats.org/drawingml/2006/chartDrawing">
    <cdr:from>
      <cdr:x>0.06542</cdr:x>
      <cdr:y>0.01608</cdr:y>
    </cdr:from>
    <cdr:to>
      <cdr:x>0.51028</cdr:x>
      <cdr:y>0.09968</cdr:y>
    </cdr:to>
    <cdr:sp macro="" textlink="">
      <cdr:nvSpPr>
        <cdr:cNvPr id="2" name="TextBox 1"/>
        <cdr:cNvSpPr txBox="1"/>
      </cdr:nvSpPr>
      <cdr:spPr>
        <a:xfrm xmlns:a="http://schemas.openxmlformats.org/drawingml/2006/main">
          <a:off x="333376" y="47626"/>
          <a:ext cx="22669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 billions</a:t>
          </a:r>
        </a:p>
      </cdr:txBody>
    </cdr:sp>
  </cdr:relSizeAnchor>
</c:userShapes>
</file>

<file path=word/drawings/drawing4.xml><?xml version="1.0" encoding="utf-8"?>
<c:userShapes xmlns:c="http://schemas.openxmlformats.org/drawingml/2006/chart">
  <cdr:relSizeAnchor xmlns:cdr="http://schemas.openxmlformats.org/drawingml/2006/chartDrawing">
    <cdr:from>
      <cdr:x>0.06542</cdr:x>
      <cdr:y>0.01608</cdr:y>
    </cdr:from>
    <cdr:to>
      <cdr:x>0.51028</cdr:x>
      <cdr:y>0.09968</cdr:y>
    </cdr:to>
    <cdr:sp macro="" textlink="">
      <cdr:nvSpPr>
        <cdr:cNvPr id="2" name="TextBox 1"/>
        <cdr:cNvSpPr txBox="1"/>
      </cdr:nvSpPr>
      <cdr:spPr>
        <a:xfrm xmlns:a="http://schemas.openxmlformats.org/drawingml/2006/main">
          <a:off x="333376" y="47626"/>
          <a:ext cx="226695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 billions</a:t>
          </a:r>
        </a:p>
      </cdr:txBody>
    </cdr:sp>
  </cdr:relSizeAnchor>
</c:userShapes>
</file>

<file path=word/drawings/drawing5.xml><?xml version="1.0" encoding="utf-8"?>
<c:userShapes xmlns:c="http://schemas.openxmlformats.org/drawingml/2006/chart">
  <cdr:relSizeAnchor xmlns:cdr="http://schemas.openxmlformats.org/drawingml/2006/chartDrawing">
    <cdr:from>
      <cdr:x>0.0909</cdr:x>
      <cdr:y>0.31455</cdr:y>
    </cdr:from>
    <cdr:to>
      <cdr:x>0.32604</cdr:x>
      <cdr:y>0.42771</cdr:y>
    </cdr:to>
    <cdr:sp macro="" textlink="">
      <cdr:nvSpPr>
        <cdr:cNvPr id="2" name="TextBox 2">
          <a:extLst xmlns:a="http://schemas.openxmlformats.org/drawingml/2006/main">
            <a:ext uri="{FF2B5EF4-FFF2-40B4-BE49-F238E27FC236}">
              <a16:creationId xmlns:a16="http://schemas.microsoft.com/office/drawing/2014/main" id="{00000000-0008-0000-2C00-000003000000}"/>
            </a:ext>
          </a:extLst>
        </cdr:cNvPr>
        <cdr:cNvSpPr txBox="1"/>
      </cdr:nvSpPr>
      <cdr:spPr>
        <a:xfrm xmlns:a="http://schemas.openxmlformats.org/drawingml/2006/main">
          <a:off x="481495" y="961612"/>
          <a:ext cx="1245431" cy="34594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800" b="0" i="0" u="none" strike="noStrike">
              <a:solidFill>
                <a:srgbClr val="000000"/>
              </a:solidFill>
              <a:latin typeface="Verdana" panose="020B0604030504040204" pitchFamily="34" charset="0"/>
              <a:ea typeface="Verdana" panose="020B0604030504040204" pitchFamily="34" charset="0"/>
              <a:cs typeface="Verdana" panose="020B0604030504040204" pitchFamily="34" charset="0"/>
            </a:rPr>
            <a:t>Average (2019 and </a:t>
          </a:r>
        </a:p>
        <a:p xmlns:a="http://schemas.openxmlformats.org/drawingml/2006/main">
          <a:r>
            <a:rPr lang="en-US" sz="800" b="0" i="0" u="none" strike="noStrike">
              <a:solidFill>
                <a:srgbClr val="000000"/>
              </a:solidFill>
              <a:latin typeface="Verdana" panose="020B0604030504040204" pitchFamily="34" charset="0"/>
              <a:ea typeface="Verdana" panose="020B0604030504040204" pitchFamily="34" charset="0"/>
              <a:cs typeface="Verdana" panose="020B0604030504040204" pitchFamily="34" charset="0"/>
            </a:rPr>
            <a:t>2020): 51%</a:t>
          </a:r>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0.54767</cdr:x>
      <cdr:y>0.92098</cdr:y>
    </cdr:from>
    <cdr:to>
      <cdr:x>0.60636</cdr:x>
      <cdr:y>0.96714</cdr:y>
    </cdr:to>
    <cdr:sp macro="" textlink="">
      <cdr:nvSpPr>
        <cdr:cNvPr id="31" name="TextBox 2">
          <a:extLst xmlns:a="http://schemas.openxmlformats.org/drawingml/2006/main">
            <a:ext uri="{FF2B5EF4-FFF2-40B4-BE49-F238E27FC236}">
              <a16:creationId xmlns:a16="http://schemas.microsoft.com/office/drawing/2014/main" id="{AA3B981E-013D-4F85-B4F0-B476DE35B021}"/>
            </a:ext>
          </a:extLst>
        </cdr:cNvPr>
        <cdr:cNvSpPr txBox="1"/>
      </cdr:nvSpPr>
      <cdr:spPr>
        <a:xfrm xmlns:a="http://schemas.openxmlformats.org/drawingml/2006/main">
          <a:off x="5039169" y="4310150"/>
          <a:ext cx="540000" cy="216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2019</a:t>
          </a:r>
        </a:p>
      </cdr:txBody>
    </cdr:sp>
  </cdr:relSizeAnchor>
  <cdr:relSizeAnchor xmlns:cdr="http://schemas.openxmlformats.org/drawingml/2006/chartDrawing">
    <cdr:from>
      <cdr:x>0.59258</cdr:x>
      <cdr:y>0.92098</cdr:y>
    </cdr:from>
    <cdr:to>
      <cdr:x>0.65127</cdr:x>
      <cdr:y>0.96714</cdr:y>
    </cdr:to>
    <cdr:sp macro="" textlink="">
      <cdr:nvSpPr>
        <cdr:cNvPr id="53" name="TextBox 2">
          <a:extLst xmlns:a="http://schemas.openxmlformats.org/drawingml/2006/main">
            <a:ext uri="{FF2B5EF4-FFF2-40B4-BE49-F238E27FC236}">
              <a16:creationId xmlns:a16="http://schemas.microsoft.com/office/drawing/2014/main" id="{DB91F39B-53CB-4409-9DA8-E3A30C326D96}"/>
            </a:ext>
          </a:extLst>
        </cdr:cNvPr>
        <cdr:cNvSpPr txBox="1"/>
      </cdr:nvSpPr>
      <cdr:spPr>
        <a:xfrm xmlns:a="http://schemas.openxmlformats.org/drawingml/2006/main">
          <a:off x="5452392" y="4310150"/>
          <a:ext cx="540000" cy="216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dr:relSizeAnchor xmlns:cdr="http://schemas.openxmlformats.org/drawingml/2006/chartDrawing">
    <cdr:from>
      <cdr:x>0.54592</cdr:x>
      <cdr:y>0.93334</cdr:y>
    </cdr:from>
    <cdr:to>
      <cdr:x>0.55766</cdr:x>
      <cdr:y>0.95642</cdr:y>
    </cdr:to>
    <cdr:sp macro="" textlink="">
      <cdr:nvSpPr>
        <cdr:cNvPr id="81" name="Diamond 80">
          <a:extLst xmlns:a="http://schemas.openxmlformats.org/drawingml/2006/main">
            <a:ext uri="{FF2B5EF4-FFF2-40B4-BE49-F238E27FC236}">
              <a16:creationId xmlns:a16="http://schemas.microsoft.com/office/drawing/2014/main" id="{0AEBA5D1-2FB0-41F3-9F0F-385E2C224248}"/>
            </a:ext>
          </a:extLst>
        </cdr:cNvPr>
        <cdr:cNvSpPr/>
      </cdr:nvSpPr>
      <cdr:spPr>
        <a:xfrm xmlns:a="http://schemas.openxmlformats.org/drawingml/2006/main">
          <a:off x="5023103" y="4367983"/>
          <a:ext cx="108000" cy="108000"/>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0.59065</cdr:x>
      <cdr:y>0.93334</cdr:y>
    </cdr:from>
    <cdr:to>
      <cdr:x>0.60239</cdr:x>
      <cdr:y>0.95642</cdr:y>
    </cdr:to>
    <cdr:sp macro="" textlink="">
      <cdr:nvSpPr>
        <cdr:cNvPr id="83" name="Diamond 82">
          <a:extLst xmlns:a="http://schemas.openxmlformats.org/drawingml/2006/main">
            <a:ext uri="{FF2B5EF4-FFF2-40B4-BE49-F238E27FC236}">
              <a16:creationId xmlns:a16="http://schemas.microsoft.com/office/drawing/2014/main" id="{A6E021AA-5FB8-41F6-BC1E-09798FF38A4D}"/>
            </a:ext>
          </a:extLst>
        </cdr:cNvPr>
        <cdr:cNvSpPr/>
      </cdr:nvSpPr>
      <cdr:spPr>
        <a:xfrm xmlns:a="http://schemas.openxmlformats.org/drawingml/2006/main">
          <a:off x="5434659" y="4367983"/>
          <a:ext cx="108000" cy="108000"/>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dr:relSizeAnchor xmlns:cdr="http://schemas.openxmlformats.org/drawingml/2006/chartDrawing">
    <cdr:from>
      <cdr:x>0.50119</cdr:x>
      <cdr:y>0.93334</cdr:y>
    </cdr:from>
    <cdr:to>
      <cdr:x>0.51293</cdr:x>
      <cdr:y>0.95642</cdr:y>
    </cdr:to>
    <cdr:sp macro="" textlink="">
      <cdr:nvSpPr>
        <cdr:cNvPr id="7" name="Diamond 6">
          <a:extLst xmlns:a="http://schemas.openxmlformats.org/drawingml/2006/main">
            <a:ext uri="{FF2B5EF4-FFF2-40B4-BE49-F238E27FC236}">
              <a16:creationId xmlns:a16="http://schemas.microsoft.com/office/drawing/2014/main" id="{4E9A952B-E48C-43BB-BE87-4CBFF5CC27D3}"/>
            </a:ext>
          </a:extLst>
        </cdr:cNvPr>
        <cdr:cNvSpPr/>
      </cdr:nvSpPr>
      <cdr:spPr>
        <a:xfrm xmlns:a="http://schemas.openxmlformats.org/drawingml/2006/main">
          <a:off x="4611547" y="4367983"/>
          <a:ext cx="108000" cy="108000"/>
        </a:xfrm>
        <a:prstGeom xmlns:a="http://schemas.openxmlformats.org/drawingml/2006/main" prst="diamond">
          <a:avLst/>
        </a:prstGeom>
        <a:solidFill xmlns:a="http://schemas.openxmlformats.org/drawingml/2006/main">
          <a:schemeClr val="bg1">
            <a:lumMod val="75000"/>
          </a:schemeClr>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0.50276</cdr:x>
      <cdr:y>0.92098</cdr:y>
    </cdr:from>
    <cdr:to>
      <cdr:x>0.56145</cdr:x>
      <cdr:y>0.96714</cdr:y>
    </cdr:to>
    <cdr:sp macro="" textlink="">
      <cdr:nvSpPr>
        <cdr:cNvPr id="8" name="TextBox 1">
          <a:extLst xmlns:a="http://schemas.openxmlformats.org/drawingml/2006/main">
            <a:ext uri="{FF2B5EF4-FFF2-40B4-BE49-F238E27FC236}">
              <a16:creationId xmlns:a16="http://schemas.microsoft.com/office/drawing/2014/main" id="{A3B88511-3FFF-4EC4-886A-101EC1ABDA0C}"/>
            </a:ext>
          </a:extLst>
        </cdr:cNvPr>
        <cdr:cNvSpPr txBox="1"/>
      </cdr:nvSpPr>
      <cdr:spPr>
        <a:xfrm xmlns:a="http://schemas.openxmlformats.org/drawingml/2006/main">
          <a:off x="4625945" y="4310150"/>
          <a:ext cx="540000" cy="216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userShapes>
</file>

<file path=word/drawings/drawing7.xml><?xml version="1.0" encoding="utf-8"?>
<c:userShapes xmlns:c="http://schemas.openxmlformats.org/drawingml/2006/chart">
  <cdr:relSizeAnchor xmlns:cdr="http://schemas.openxmlformats.org/drawingml/2006/chartDrawing">
    <cdr:from>
      <cdr:x>0.51006</cdr:x>
      <cdr:y>0.92261</cdr:y>
    </cdr:from>
    <cdr:to>
      <cdr:x>0.57247</cdr:x>
      <cdr:y>0.9884</cdr:y>
    </cdr:to>
    <cdr:sp macro="" textlink="">
      <cdr:nvSpPr>
        <cdr:cNvPr id="31" name="TextBox 2">
          <a:extLst xmlns:a="http://schemas.openxmlformats.org/drawingml/2006/main">
            <a:ext uri="{FF2B5EF4-FFF2-40B4-BE49-F238E27FC236}">
              <a16:creationId xmlns:a16="http://schemas.microsoft.com/office/drawing/2014/main" id="{AA3B981E-013D-4F85-B4F0-B476DE35B021}"/>
            </a:ext>
          </a:extLst>
        </cdr:cNvPr>
        <cdr:cNvSpPr txBox="1"/>
      </cdr:nvSpPr>
      <cdr:spPr>
        <a:xfrm xmlns:a="http://schemas.openxmlformats.org/drawingml/2006/main">
          <a:off x="4693139" y="4317769"/>
          <a:ext cx="574285" cy="30789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2019</a:t>
          </a:r>
        </a:p>
      </cdr:txBody>
    </cdr:sp>
  </cdr:relSizeAnchor>
  <cdr:relSizeAnchor xmlns:cdr="http://schemas.openxmlformats.org/drawingml/2006/chartDrawing">
    <cdr:from>
      <cdr:x>0.55684</cdr:x>
      <cdr:y>0.92261</cdr:y>
    </cdr:from>
    <cdr:to>
      <cdr:x>0.61416</cdr:x>
      <cdr:y>0.9884</cdr:y>
    </cdr:to>
    <cdr:sp macro="" textlink="">
      <cdr:nvSpPr>
        <cdr:cNvPr id="80" name="TextBox 2">
          <a:extLst xmlns:a="http://schemas.openxmlformats.org/drawingml/2006/main">
            <a:ext uri="{FF2B5EF4-FFF2-40B4-BE49-F238E27FC236}">
              <a16:creationId xmlns:a16="http://schemas.microsoft.com/office/drawing/2014/main" id="{1623A419-3B36-4F16-ABFC-4AAB2D02861C}"/>
            </a:ext>
          </a:extLst>
        </cdr:cNvPr>
        <cdr:cNvSpPr txBox="1"/>
      </cdr:nvSpPr>
      <cdr:spPr>
        <a:xfrm xmlns:a="http://schemas.openxmlformats.org/drawingml/2006/main">
          <a:off x="5123568" y="4317769"/>
          <a:ext cx="527424" cy="30789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dr:relSizeAnchor xmlns:cdr="http://schemas.openxmlformats.org/drawingml/2006/chartDrawing">
    <cdr:from>
      <cdr:x>0.5082</cdr:x>
      <cdr:y>0.94377</cdr:y>
    </cdr:from>
    <cdr:to>
      <cdr:x>0.51993</cdr:x>
      <cdr:y>0.96685</cdr:y>
    </cdr:to>
    <cdr:sp macro="" textlink="">
      <cdr:nvSpPr>
        <cdr:cNvPr id="81" name="Diamond 80">
          <a:extLst xmlns:a="http://schemas.openxmlformats.org/drawingml/2006/main">
            <a:ext uri="{FF2B5EF4-FFF2-40B4-BE49-F238E27FC236}">
              <a16:creationId xmlns:a16="http://schemas.microsoft.com/office/drawing/2014/main" id="{0AEBA5D1-2FB0-41F3-9F0F-385E2C224248}"/>
            </a:ext>
          </a:extLst>
        </cdr:cNvPr>
        <cdr:cNvSpPr/>
      </cdr:nvSpPr>
      <cdr:spPr>
        <a:xfrm xmlns:a="http://schemas.openxmlformats.org/drawingml/2006/main">
          <a:off x="4675992" y="4416815"/>
          <a:ext cx="108000" cy="108000"/>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0.46052</cdr:x>
      <cdr:y>0.94377</cdr:y>
    </cdr:from>
    <cdr:to>
      <cdr:x>0.47225</cdr:x>
      <cdr:y>0.96685</cdr:y>
    </cdr:to>
    <cdr:sp macro="" textlink="">
      <cdr:nvSpPr>
        <cdr:cNvPr id="82" name="Diamond 81">
          <a:extLst xmlns:a="http://schemas.openxmlformats.org/drawingml/2006/main">
            <a:ext uri="{FF2B5EF4-FFF2-40B4-BE49-F238E27FC236}">
              <a16:creationId xmlns:a16="http://schemas.microsoft.com/office/drawing/2014/main" id="{196A59FB-C262-4FE1-A5D4-3ED5561A34C6}"/>
            </a:ext>
          </a:extLst>
        </cdr:cNvPr>
        <cdr:cNvSpPr/>
      </cdr:nvSpPr>
      <cdr:spPr>
        <a:xfrm xmlns:a="http://schemas.openxmlformats.org/drawingml/2006/main">
          <a:off x="4237282" y="4416815"/>
          <a:ext cx="108000" cy="108000"/>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0.55424</cdr:x>
      <cdr:y>0.94377</cdr:y>
    </cdr:from>
    <cdr:to>
      <cdr:x>0.56597</cdr:x>
      <cdr:y>0.96685</cdr:y>
    </cdr:to>
    <cdr:sp macro="" textlink="">
      <cdr:nvSpPr>
        <cdr:cNvPr id="83" name="Diamond 82">
          <a:extLst xmlns:a="http://schemas.openxmlformats.org/drawingml/2006/main">
            <a:ext uri="{FF2B5EF4-FFF2-40B4-BE49-F238E27FC236}">
              <a16:creationId xmlns:a16="http://schemas.microsoft.com/office/drawing/2014/main" id="{A6E021AA-5FB8-41F6-BC1E-09798FF38A4D}"/>
            </a:ext>
          </a:extLst>
        </cdr:cNvPr>
        <cdr:cNvSpPr/>
      </cdr:nvSpPr>
      <cdr:spPr>
        <a:xfrm xmlns:a="http://schemas.openxmlformats.org/drawingml/2006/main">
          <a:off x="5099613" y="4416815"/>
          <a:ext cx="108000" cy="108000"/>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0.46262</cdr:x>
      <cdr:y>0.92261</cdr:y>
    </cdr:from>
    <cdr:to>
      <cdr:x>0.5184</cdr:x>
      <cdr:y>0.9884</cdr:y>
    </cdr:to>
    <cdr:sp macro="" textlink="">
      <cdr:nvSpPr>
        <cdr:cNvPr id="6" name="TextBox 2">
          <a:extLst xmlns:a="http://schemas.openxmlformats.org/drawingml/2006/main">
            <a:ext uri="{FF2B5EF4-FFF2-40B4-BE49-F238E27FC236}">
              <a16:creationId xmlns:a16="http://schemas.microsoft.com/office/drawing/2014/main" id="{D8D5241D-927C-4D18-BD26-66788C4A16DF}"/>
            </a:ext>
          </a:extLst>
        </cdr:cNvPr>
        <cdr:cNvSpPr txBox="1"/>
      </cdr:nvSpPr>
      <cdr:spPr>
        <a:xfrm xmlns:a="http://schemas.openxmlformats.org/drawingml/2006/main">
          <a:off x="4256635" y="4317769"/>
          <a:ext cx="513211" cy="30789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userShapes>
</file>

<file path=word/drawings/drawing8.xml><?xml version="1.0" encoding="utf-8"?>
<c:userShapes xmlns:c="http://schemas.openxmlformats.org/drawingml/2006/chart">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dr:relSizeAnchor xmlns:cdr="http://schemas.openxmlformats.org/drawingml/2006/chartDrawing">
    <cdr:from>
      <cdr:x>0.46787</cdr:x>
      <cdr:y>0.94792</cdr:y>
    </cdr:from>
    <cdr:to>
      <cdr:x>0.54127</cdr:x>
      <cdr:y>0.98638</cdr:y>
    </cdr:to>
    <cdr:sp macro="" textlink="">
      <cdr:nvSpPr>
        <cdr:cNvPr id="31" name="TextBox 2">
          <a:extLst xmlns:a="http://schemas.openxmlformats.org/drawingml/2006/main">
            <a:ext uri="{FF2B5EF4-FFF2-40B4-BE49-F238E27FC236}">
              <a16:creationId xmlns:a16="http://schemas.microsoft.com/office/drawing/2014/main" id="{DD7C4FC3-1336-451A-9941-1AE498D162ED}"/>
            </a:ext>
          </a:extLst>
        </cdr:cNvPr>
        <cdr:cNvSpPr txBox="1"/>
      </cdr:nvSpPr>
      <cdr:spPr>
        <a:xfrm xmlns:a="http://schemas.openxmlformats.org/drawingml/2006/main">
          <a:off x="4304929" y="4436204"/>
          <a:ext cx="675378" cy="180000"/>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2019</a:t>
          </a:r>
        </a:p>
      </cdr:txBody>
    </cdr:sp>
  </cdr:relSizeAnchor>
  <cdr:relSizeAnchor xmlns:cdr="http://schemas.openxmlformats.org/drawingml/2006/chartDrawing">
    <cdr:from>
      <cdr:x>0.51298</cdr:x>
      <cdr:y>0.94792</cdr:y>
    </cdr:from>
    <cdr:to>
      <cdr:x>0.58037</cdr:x>
      <cdr:y>0.98638</cdr:y>
    </cdr:to>
    <cdr:sp macro="" textlink="">
      <cdr:nvSpPr>
        <cdr:cNvPr id="33" name="TextBox 2">
          <a:extLst xmlns:a="http://schemas.openxmlformats.org/drawingml/2006/main">
            <a:ext uri="{FF2B5EF4-FFF2-40B4-BE49-F238E27FC236}">
              <a16:creationId xmlns:a16="http://schemas.microsoft.com/office/drawing/2014/main" id="{82D6D9AE-A334-48F4-A133-59427C317671}"/>
            </a:ext>
          </a:extLst>
        </cdr:cNvPr>
        <cdr:cNvSpPr txBox="1"/>
      </cdr:nvSpPr>
      <cdr:spPr>
        <a:xfrm xmlns:a="http://schemas.openxmlformats.org/drawingml/2006/main">
          <a:off x="4719993" y="4436204"/>
          <a:ext cx="620103" cy="180000"/>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dr:relSizeAnchor xmlns:cdr="http://schemas.openxmlformats.org/drawingml/2006/chartDrawing">
    <cdr:from>
      <cdr:x>0.46502</cdr:x>
      <cdr:y>0.95539</cdr:y>
    </cdr:from>
    <cdr:to>
      <cdr:x>0.47676</cdr:x>
      <cdr:y>0.97847</cdr:y>
    </cdr:to>
    <cdr:sp macro="" textlink="">
      <cdr:nvSpPr>
        <cdr:cNvPr id="34" name="Diamond 33">
          <a:extLst xmlns:a="http://schemas.openxmlformats.org/drawingml/2006/main">
            <a:ext uri="{FF2B5EF4-FFF2-40B4-BE49-F238E27FC236}">
              <a16:creationId xmlns:a16="http://schemas.microsoft.com/office/drawing/2014/main" id="{F87E75A4-7E9F-48C6-B674-B52710021F6B}"/>
            </a:ext>
          </a:extLst>
        </cdr:cNvPr>
        <cdr:cNvSpPr/>
      </cdr:nvSpPr>
      <cdr:spPr>
        <a:xfrm xmlns:a="http://schemas.openxmlformats.org/drawingml/2006/main">
          <a:off x="4278731" y="4471196"/>
          <a:ext cx="108000" cy="108000"/>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0.41734</cdr:x>
      <cdr:y>0.95539</cdr:y>
    </cdr:from>
    <cdr:to>
      <cdr:x>0.42908</cdr:x>
      <cdr:y>0.97847</cdr:y>
    </cdr:to>
    <cdr:sp macro="" textlink="">
      <cdr:nvSpPr>
        <cdr:cNvPr id="36" name="Diamond 35">
          <a:extLst xmlns:a="http://schemas.openxmlformats.org/drawingml/2006/main">
            <a:ext uri="{FF2B5EF4-FFF2-40B4-BE49-F238E27FC236}">
              <a16:creationId xmlns:a16="http://schemas.microsoft.com/office/drawing/2014/main" id="{F4131E20-937D-4308-9574-4811A260C045}"/>
            </a:ext>
          </a:extLst>
        </cdr:cNvPr>
        <cdr:cNvSpPr/>
      </cdr:nvSpPr>
      <cdr:spPr>
        <a:xfrm xmlns:a="http://schemas.openxmlformats.org/drawingml/2006/main">
          <a:off x="3840021" y="4471196"/>
          <a:ext cx="108000" cy="108000"/>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0.42044</cdr:x>
      <cdr:y>0.94792</cdr:y>
    </cdr:from>
    <cdr:to>
      <cdr:x>0.48603</cdr:x>
      <cdr:y>0.98638</cdr:y>
    </cdr:to>
    <cdr:sp macro="" textlink="">
      <cdr:nvSpPr>
        <cdr:cNvPr id="50" name="TextBox 2">
          <a:extLst xmlns:a="http://schemas.openxmlformats.org/drawingml/2006/main">
            <a:ext uri="{FF2B5EF4-FFF2-40B4-BE49-F238E27FC236}">
              <a16:creationId xmlns:a16="http://schemas.microsoft.com/office/drawing/2014/main" id="{85CD4627-9F90-4126-BB6D-C6AE487FEDE1}"/>
            </a:ext>
          </a:extLst>
        </cdr:cNvPr>
        <cdr:cNvSpPr txBox="1"/>
      </cdr:nvSpPr>
      <cdr:spPr>
        <a:xfrm xmlns:a="http://schemas.openxmlformats.org/drawingml/2006/main">
          <a:off x="3868519" y="4436204"/>
          <a:ext cx="603554" cy="180000"/>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dr:relSizeAnchor xmlns:cdr="http://schemas.openxmlformats.org/drawingml/2006/chartDrawing">
    <cdr:from>
      <cdr:x>0.50992</cdr:x>
      <cdr:y>0.95539</cdr:y>
    </cdr:from>
    <cdr:to>
      <cdr:x>0.52166</cdr:x>
      <cdr:y>0.97847</cdr:y>
    </cdr:to>
    <cdr:sp macro="" textlink="">
      <cdr:nvSpPr>
        <cdr:cNvPr id="52" name="Diamond 51">
          <a:extLst xmlns:a="http://schemas.openxmlformats.org/drawingml/2006/main">
            <a:ext uri="{FF2B5EF4-FFF2-40B4-BE49-F238E27FC236}">
              <a16:creationId xmlns:a16="http://schemas.microsoft.com/office/drawing/2014/main" id="{3725F7B1-EA43-4E8E-BFE9-C82F49C6EBC8}"/>
            </a:ext>
          </a:extLst>
        </cdr:cNvPr>
        <cdr:cNvSpPr/>
      </cdr:nvSpPr>
      <cdr:spPr>
        <a:xfrm xmlns:a="http://schemas.openxmlformats.org/drawingml/2006/main">
          <a:off x="4691863" y="4471196"/>
          <a:ext cx="108000" cy="108000"/>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drawings/drawing9.xml><?xml version="1.0" encoding="utf-8"?>
<c:userShapes xmlns:c="http://schemas.openxmlformats.org/drawingml/2006/chart">
  <cdr:relSizeAnchor xmlns:cdr="http://schemas.openxmlformats.org/drawingml/2006/chartDrawing">
    <cdr:from>
      <cdr:x>0.59854</cdr:x>
      <cdr:y>0.95552</cdr:y>
    </cdr:from>
    <cdr:to>
      <cdr:x>0.63602</cdr:x>
      <cdr:y>1</cdr:y>
    </cdr:to>
    <cdr:sp macro="" textlink="">
      <cdr:nvSpPr>
        <cdr:cNvPr id="19" name="TextBox 2">
          <a:extLst xmlns:a="http://schemas.openxmlformats.org/drawingml/2006/main">
            <a:ext uri="{FF2B5EF4-FFF2-40B4-BE49-F238E27FC236}">
              <a16:creationId xmlns:a16="http://schemas.microsoft.com/office/drawing/2014/main" id="{6D5DAF6F-1A49-481F-8E48-7370A05B18E4}"/>
            </a:ext>
          </a:extLst>
        </cdr:cNvPr>
        <cdr:cNvSpPr txBox="1"/>
      </cdr:nvSpPr>
      <cdr:spPr>
        <a:xfrm xmlns:a="http://schemas.openxmlformats.org/drawingml/2006/main">
          <a:off x="7541640" y="9360877"/>
          <a:ext cx="472272" cy="2481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dr:relSizeAnchor xmlns:cdr="http://schemas.openxmlformats.org/drawingml/2006/chartDrawing">
    <cdr:from>
      <cdr:x>0.47085</cdr:x>
      <cdr:y>0.93424</cdr:y>
    </cdr:from>
    <cdr:to>
      <cdr:x>0.541</cdr:x>
      <cdr:y>1</cdr:y>
    </cdr:to>
    <cdr:sp macro="" textlink="">
      <cdr:nvSpPr>
        <cdr:cNvPr id="31" name="TextBox 2">
          <a:extLst xmlns:a="http://schemas.openxmlformats.org/drawingml/2006/main">
            <a:ext uri="{FF2B5EF4-FFF2-40B4-BE49-F238E27FC236}">
              <a16:creationId xmlns:a16="http://schemas.microsoft.com/office/drawing/2014/main" id="{DD7C4FC3-1336-451A-9941-1AE498D162ED}"/>
            </a:ext>
          </a:extLst>
        </cdr:cNvPr>
        <cdr:cNvSpPr txBox="1"/>
      </cdr:nvSpPr>
      <cdr:spPr>
        <a:xfrm xmlns:a="http://schemas.openxmlformats.org/drawingml/2006/main">
          <a:off x="4332361" y="4372196"/>
          <a:ext cx="645501" cy="30775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2019</a:t>
          </a:r>
        </a:p>
      </cdr:txBody>
    </cdr:sp>
  </cdr:relSizeAnchor>
  <cdr:relSizeAnchor xmlns:cdr="http://schemas.openxmlformats.org/drawingml/2006/chartDrawing">
    <cdr:from>
      <cdr:x>0.51596</cdr:x>
      <cdr:y>0.93424</cdr:y>
    </cdr:from>
    <cdr:to>
      <cdr:x>0.58037</cdr:x>
      <cdr:y>1</cdr:y>
    </cdr:to>
    <cdr:sp macro="" textlink="">
      <cdr:nvSpPr>
        <cdr:cNvPr id="33" name="TextBox 2">
          <a:extLst xmlns:a="http://schemas.openxmlformats.org/drawingml/2006/main">
            <a:ext uri="{FF2B5EF4-FFF2-40B4-BE49-F238E27FC236}">
              <a16:creationId xmlns:a16="http://schemas.microsoft.com/office/drawing/2014/main" id="{82D6D9AE-A334-48F4-A133-59427C317671}"/>
            </a:ext>
          </a:extLst>
        </cdr:cNvPr>
        <cdr:cNvSpPr txBox="1"/>
      </cdr:nvSpPr>
      <cdr:spPr>
        <a:xfrm xmlns:a="http://schemas.openxmlformats.org/drawingml/2006/main">
          <a:off x="4747425" y="4372196"/>
          <a:ext cx="592671" cy="30775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2020</a:t>
          </a:r>
        </a:p>
      </cdr:txBody>
    </cdr:sp>
  </cdr:relSizeAnchor>
  <cdr:relSizeAnchor xmlns:cdr="http://schemas.openxmlformats.org/drawingml/2006/chartDrawing">
    <cdr:from>
      <cdr:x>0.469</cdr:x>
      <cdr:y>0.95344</cdr:y>
    </cdr:from>
    <cdr:to>
      <cdr:x>0.48073</cdr:x>
      <cdr:y>0.97652</cdr:y>
    </cdr:to>
    <cdr:sp macro="" textlink="">
      <cdr:nvSpPr>
        <cdr:cNvPr id="34" name="Diamond 33">
          <a:extLst xmlns:a="http://schemas.openxmlformats.org/drawingml/2006/main">
            <a:ext uri="{FF2B5EF4-FFF2-40B4-BE49-F238E27FC236}">
              <a16:creationId xmlns:a16="http://schemas.microsoft.com/office/drawing/2014/main" id="{F87E75A4-7E9F-48C6-B674-B52710021F6B}"/>
            </a:ext>
          </a:extLst>
        </cdr:cNvPr>
        <cdr:cNvSpPr/>
      </cdr:nvSpPr>
      <cdr:spPr>
        <a:xfrm xmlns:a="http://schemas.openxmlformats.org/drawingml/2006/main">
          <a:off x="4315307" y="4462052"/>
          <a:ext cx="108000" cy="108000"/>
        </a:xfrm>
        <a:prstGeom xmlns:a="http://schemas.openxmlformats.org/drawingml/2006/main" prst="diamond">
          <a:avLst/>
        </a:prstGeom>
        <a:solidFill xmlns:a="http://schemas.openxmlformats.org/drawingml/2006/main">
          <a:srgbClr val="002776"/>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0.42132</cdr:x>
      <cdr:y>0.95344</cdr:y>
    </cdr:from>
    <cdr:to>
      <cdr:x>0.43305</cdr:x>
      <cdr:y>0.97652</cdr:y>
    </cdr:to>
    <cdr:sp macro="" textlink="">
      <cdr:nvSpPr>
        <cdr:cNvPr id="36" name="Diamond 35">
          <a:extLst xmlns:a="http://schemas.openxmlformats.org/drawingml/2006/main">
            <a:ext uri="{FF2B5EF4-FFF2-40B4-BE49-F238E27FC236}">
              <a16:creationId xmlns:a16="http://schemas.microsoft.com/office/drawing/2014/main" id="{F4131E20-937D-4308-9574-4811A260C045}"/>
            </a:ext>
          </a:extLst>
        </cdr:cNvPr>
        <cdr:cNvSpPr/>
      </cdr:nvSpPr>
      <cdr:spPr>
        <a:xfrm xmlns:a="http://schemas.openxmlformats.org/drawingml/2006/main">
          <a:off x="3876597" y="4462052"/>
          <a:ext cx="108000" cy="108000"/>
        </a:xfrm>
        <a:prstGeom xmlns:a="http://schemas.openxmlformats.org/drawingml/2006/main" prst="diamond">
          <a:avLst/>
        </a:prstGeom>
        <a:solidFill xmlns:a="http://schemas.openxmlformats.org/drawingml/2006/main">
          <a:srgbClr val="BFBFBF"/>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0.42342</cdr:x>
      <cdr:y>0.93424</cdr:y>
    </cdr:from>
    <cdr:to>
      <cdr:x>0.48611</cdr:x>
      <cdr:y>1</cdr:y>
    </cdr:to>
    <cdr:sp macro="" textlink="">
      <cdr:nvSpPr>
        <cdr:cNvPr id="50" name="TextBox 2">
          <a:extLst xmlns:a="http://schemas.openxmlformats.org/drawingml/2006/main">
            <a:ext uri="{FF2B5EF4-FFF2-40B4-BE49-F238E27FC236}">
              <a16:creationId xmlns:a16="http://schemas.microsoft.com/office/drawing/2014/main" id="{85CD4627-9F90-4126-BB6D-C6AE487FEDE1}"/>
            </a:ext>
          </a:extLst>
        </cdr:cNvPr>
        <cdr:cNvSpPr txBox="1"/>
      </cdr:nvSpPr>
      <cdr:spPr>
        <a:xfrm xmlns:a="http://schemas.openxmlformats.org/drawingml/2006/main">
          <a:off x="3895951" y="4372196"/>
          <a:ext cx="576854" cy="307754"/>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800">
              <a:latin typeface="Verdana" panose="020B0604030504040204" pitchFamily="34" charset="0"/>
              <a:ea typeface="Verdana" panose="020B0604030504040204" pitchFamily="34" charset="0"/>
              <a:cs typeface="Verdana" panose="020B0604030504040204" pitchFamily="34" charset="0"/>
            </a:rPr>
            <a:t>2018</a:t>
          </a:r>
        </a:p>
      </cdr:txBody>
    </cdr:sp>
  </cdr:relSizeAnchor>
  <cdr:relSizeAnchor xmlns:cdr="http://schemas.openxmlformats.org/drawingml/2006/chartDrawing">
    <cdr:from>
      <cdr:x>0.5139</cdr:x>
      <cdr:y>0.95344</cdr:y>
    </cdr:from>
    <cdr:to>
      <cdr:x>0.52563</cdr:x>
      <cdr:y>0.97652</cdr:y>
    </cdr:to>
    <cdr:sp macro="" textlink="">
      <cdr:nvSpPr>
        <cdr:cNvPr id="52" name="Diamond 51">
          <a:extLst xmlns:a="http://schemas.openxmlformats.org/drawingml/2006/main">
            <a:ext uri="{FF2B5EF4-FFF2-40B4-BE49-F238E27FC236}">
              <a16:creationId xmlns:a16="http://schemas.microsoft.com/office/drawing/2014/main" id="{3725F7B1-EA43-4E8E-BFE9-C82F49C6EBC8}"/>
            </a:ext>
          </a:extLst>
        </cdr:cNvPr>
        <cdr:cNvSpPr/>
      </cdr:nvSpPr>
      <cdr:spPr>
        <a:xfrm xmlns:a="http://schemas.openxmlformats.org/drawingml/2006/main">
          <a:off x="4728439" y="4462052"/>
          <a:ext cx="108000" cy="108000"/>
        </a:xfrm>
        <a:prstGeom xmlns:a="http://schemas.openxmlformats.org/drawingml/2006/main" prst="diamond">
          <a:avLst/>
        </a:prstGeom>
        <a:solidFill xmlns:a="http://schemas.openxmlformats.org/drawingml/2006/main">
          <a:srgbClr val="53565A"/>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userShape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word/theme/themeOverride1.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Deloitte Standard">
    <a:dk1>
      <a:sysClr val="windowText" lastClr="000000"/>
    </a:dk1>
    <a:lt1>
      <a:srgbClr val="FFFFFF"/>
    </a:lt1>
    <a:dk2>
      <a:srgbClr val="002776"/>
    </a:dk2>
    <a:lt2>
      <a:srgbClr val="FFFFFF"/>
    </a:lt2>
    <a:accent1>
      <a:srgbClr val="81BC00"/>
    </a:accent1>
    <a:accent2>
      <a:srgbClr val="00A1DE"/>
    </a:accent2>
    <a:accent3>
      <a:srgbClr val="313131"/>
    </a:accent3>
    <a:accent4>
      <a:srgbClr val="3C8A2E"/>
    </a:accent4>
    <a:accent5>
      <a:srgbClr val="575757"/>
    </a:accent5>
    <a:accent6>
      <a:srgbClr val="8C8C8C"/>
    </a:accent6>
    <a:hlink>
      <a:srgbClr val="0070C0"/>
    </a:hlink>
    <a:folHlink>
      <a:srgbClr val="7030A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FD51A-8BEF-4269-AE8F-0ED1A62EB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132</Pages>
  <Words>36811</Words>
  <Characters>209829</Characters>
  <Application>Microsoft Office Word</Application>
  <DocSecurity>0</DocSecurity>
  <Lines>1748</Lines>
  <Paragraphs>492</Paragraphs>
  <ScaleCrop>false</ScaleCrop>
  <Company/>
  <LinksUpToDate>false</LinksUpToDate>
  <CharactersWithSpaces>246148</CharactersWithSpaces>
  <SharedDoc>false</SharedDoc>
  <HLinks>
    <vt:vector size="774" baseType="variant">
      <vt:variant>
        <vt:i4>1507407</vt:i4>
      </vt:variant>
      <vt:variant>
        <vt:i4>984</vt:i4>
      </vt:variant>
      <vt:variant>
        <vt:i4>0</vt:i4>
      </vt:variant>
      <vt:variant>
        <vt:i4>5</vt:i4>
      </vt:variant>
      <vt:variant>
        <vt:lpwstr>http://www.deloitte.com/au/deloitte-access-economics</vt:lpwstr>
      </vt:variant>
      <vt:variant>
        <vt:lpwstr/>
      </vt:variant>
      <vt:variant>
        <vt:i4>1769582</vt:i4>
      </vt:variant>
      <vt:variant>
        <vt:i4>981</vt:i4>
      </vt:variant>
      <vt:variant>
        <vt:i4>0</vt:i4>
      </vt:variant>
      <vt:variant>
        <vt:i4>5</vt:i4>
      </vt:variant>
      <vt:variant>
        <vt:lpwstr>mailto:HEcosting@deloitte.com.au</vt:lpwstr>
      </vt:variant>
      <vt:variant>
        <vt:lpwstr/>
      </vt:variant>
      <vt:variant>
        <vt:i4>1441840</vt:i4>
      </vt:variant>
      <vt:variant>
        <vt:i4>740</vt:i4>
      </vt:variant>
      <vt:variant>
        <vt:i4>0</vt:i4>
      </vt:variant>
      <vt:variant>
        <vt:i4>5</vt:i4>
      </vt:variant>
      <vt:variant>
        <vt:lpwstr/>
      </vt:variant>
      <vt:variant>
        <vt:lpwstr>_Toc105774324</vt:lpwstr>
      </vt:variant>
      <vt:variant>
        <vt:i4>1441840</vt:i4>
      </vt:variant>
      <vt:variant>
        <vt:i4>734</vt:i4>
      </vt:variant>
      <vt:variant>
        <vt:i4>0</vt:i4>
      </vt:variant>
      <vt:variant>
        <vt:i4>5</vt:i4>
      </vt:variant>
      <vt:variant>
        <vt:lpwstr/>
      </vt:variant>
      <vt:variant>
        <vt:lpwstr>_Toc105774323</vt:lpwstr>
      </vt:variant>
      <vt:variant>
        <vt:i4>1441840</vt:i4>
      </vt:variant>
      <vt:variant>
        <vt:i4>728</vt:i4>
      </vt:variant>
      <vt:variant>
        <vt:i4>0</vt:i4>
      </vt:variant>
      <vt:variant>
        <vt:i4>5</vt:i4>
      </vt:variant>
      <vt:variant>
        <vt:lpwstr/>
      </vt:variant>
      <vt:variant>
        <vt:lpwstr>_Toc105774322</vt:lpwstr>
      </vt:variant>
      <vt:variant>
        <vt:i4>1441840</vt:i4>
      </vt:variant>
      <vt:variant>
        <vt:i4>722</vt:i4>
      </vt:variant>
      <vt:variant>
        <vt:i4>0</vt:i4>
      </vt:variant>
      <vt:variant>
        <vt:i4>5</vt:i4>
      </vt:variant>
      <vt:variant>
        <vt:lpwstr/>
      </vt:variant>
      <vt:variant>
        <vt:lpwstr>_Toc105774321</vt:lpwstr>
      </vt:variant>
      <vt:variant>
        <vt:i4>1441840</vt:i4>
      </vt:variant>
      <vt:variant>
        <vt:i4>716</vt:i4>
      </vt:variant>
      <vt:variant>
        <vt:i4>0</vt:i4>
      </vt:variant>
      <vt:variant>
        <vt:i4>5</vt:i4>
      </vt:variant>
      <vt:variant>
        <vt:lpwstr/>
      </vt:variant>
      <vt:variant>
        <vt:lpwstr>_Toc105774320</vt:lpwstr>
      </vt:variant>
      <vt:variant>
        <vt:i4>1376304</vt:i4>
      </vt:variant>
      <vt:variant>
        <vt:i4>710</vt:i4>
      </vt:variant>
      <vt:variant>
        <vt:i4>0</vt:i4>
      </vt:variant>
      <vt:variant>
        <vt:i4>5</vt:i4>
      </vt:variant>
      <vt:variant>
        <vt:lpwstr/>
      </vt:variant>
      <vt:variant>
        <vt:lpwstr>_Toc105774319</vt:lpwstr>
      </vt:variant>
      <vt:variant>
        <vt:i4>1376304</vt:i4>
      </vt:variant>
      <vt:variant>
        <vt:i4>704</vt:i4>
      </vt:variant>
      <vt:variant>
        <vt:i4>0</vt:i4>
      </vt:variant>
      <vt:variant>
        <vt:i4>5</vt:i4>
      </vt:variant>
      <vt:variant>
        <vt:lpwstr/>
      </vt:variant>
      <vt:variant>
        <vt:lpwstr>_Toc105774318</vt:lpwstr>
      </vt:variant>
      <vt:variant>
        <vt:i4>1376304</vt:i4>
      </vt:variant>
      <vt:variant>
        <vt:i4>698</vt:i4>
      </vt:variant>
      <vt:variant>
        <vt:i4>0</vt:i4>
      </vt:variant>
      <vt:variant>
        <vt:i4>5</vt:i4>
      </vt:variant>
      <vt:variant>
        <vt:lpwstr/>
      </vt:variant>
      <vt:variant>
        <vt:lpwstr>_Toc105774317</vt:lpwstr>
      </vt:variant>
      <vt:variant>
        <vt:i4>1376304</vt:i4>
      </vt:variant>
      <vt:variant>
        <vt:i4>692</vt:i4>
      </vt:variant>
      <vt:variant>
        <vt:i4>0</vt:i4>
      </vt:variant>
      <vt:variant>
        <vt:i4>5</vt:i4>
      </vt:variant>
      <vt:variant>
        <vt:lpwstr/>
      </vt:variant>
      <vt:variant>
        <vt:lpwstr>_Toc105774316</vt:lpwstr>
      </vt:variant>
      <vt:variant>
        <vt:i4>1376304</vt:i4>
      </vt:variant>
      <vt:variant>
        <vt:i4>686</vt:i4>
      </vt:variant>
      <vt:variant>
        <vt:i4>0</vt:i4>
      </vt:variant>
      <vt:variant>
        <vt:i4>5</vt:i4>
      </vt:variant>
      <vt:variant>
        <vt:lpwstr/>
      </vt:variant>
      <vt:variant>
        <vt:lpwstr>_Toc105774315</vt:lpwstr>
      </vt:variant>
      <vt:variant>
        <vt:i4>1376304</vt:i4>
      </vt:variant>
      <vt:variant>
        <vt:i4>680</vt:i4>
      </vt:variant>
      <vt:variant>
        <vt:i4>0</vt:i4>
      </vt:variant>
      <vt:variant>
        <vt:i4>5</vt:i4>
      </vt:variant>
      <vt:variant>
        <vt:lpwstr/>
      </vt:variant>
      <vt:variant>
        <vt:lpwstr>_Toc105774314</vt:lpwstr>
      </vt:variant>
      <vt:variant>
        <vt:i4>1376304</vt:i4>
      </vt:variant>
      <vt:variant>
        <vt:i4>674</vt:i4>
      </vt:variant>
      <vt:variant>
        <vt:i4>0</vt:i4>
      </vt:variant>
      <vt:variant>
        <vt:i4>5</vt:i4>
      </vt:variant>
      <vt:variant>
        <vt:lpwstr/>
      </vt:variant>
      <vt:variant>
        <vt:lpwstr>_Toc105774313</vt:lpwstr>
      </vt:variant>
      <vt:variant>
        <vt:i4>1376304</vt:i4>
      </vt:variant>
      <vt:variant>
        <vt:i4>668</vt:i4>
      </vt:variant>
      <vt:variant>
        <vt:i4>0</vt:i4>
      </vt:variant>
      <vt:variant>
        <vt:i4>5</vt:i4>
      </vt:variant>
      <vt:variant>
        <vt:lpwstr/>
      </vt:variant>
      <vt:variant>
        <vt:lpwstr>_Toc105774312</vt:lpwstr>
      </vt:variant>
      <vt:variant>
        <vt:i4>1376304</vt:i4>
      </vt:variant>
      <vt:variant>
        <vt:i4>662</vt:i4>
      </vt:variant>
      <vt:variant>
        <vt:i4>0</vt:i4>
      </vt:variant>
      <vt:variant>
        <vt:i4>5</vt:i4>
      </vt:variant>
      <vt:variant>
        <vt:lpwstr/>
      </vt:variant>
      <vt:variant>
        <vt:lpwstr>_Toc105774311</vt:lpwstr>
      </vt:variant>
      <vt:variant>
        <vt:i4>1376304</vt:i4>
      </vt:variant>
      <vt:variant>
        <vt:i4>656</vt:i4>
      </vt:variant>
      <vt:variant>
        <vt:i4>0</vt:i4>
      </vt:variant>
      <vt:variant>
        <vt:i4>5</vt:i4>
      </vt:variant>
      <vt:variant>
        <vt:lpwstr/>
      </vt:variant>
      <vt:variant>
        <vt:lpwstr>_Toc105774310</vt:lpwstr>
      </vt:variant>
      <vt:variant>
        <vt:i4>1310768</vt:i4>
      </vt:variant>
      <vt:variant>
        <vt:i4>650</vt:i4>
      </vt:variant>
      <vt:variant>
        <vt:i4>0</vt:i4>
      </vt:variant>
      <vt:variant>
        <vt:i4>5</vt:i4>
      </vt:variant>
      <vt:variant>
        <vt:lpwstr/>
      </vt:variant>
      <vt:variant>
        <vt:lpwstr>_Toc105774309</vt:lpwstr>
      </vt:variant>
      <vt:variant>
        <vt:i4>1310768</vt:i4>
      </vt:variant>
      <vt:variant>
        <vt:i4>644</vt:i4>
      </vt:variant>
      <vt:variant>
        <vt:i4>0</vt:i4>
      </vt:variant>
      <vt:variant>
        <vt:i4>5</vt:i4>
      </vt:variant>
      <vt:variant>
        <vt:lpwstr/>
      </vt:variant>
      <vt:variant>
        <vt:lpwstr>_Toc105774308</vt:lpwstr>
      </vt:variant>
      <vt:variant>
        <vt:i4>1310768</vt:i4>
      </vt:variant>
      <vt:variant>
        <vt:i4>638</vt:i4>
      </vt:variant>
      <vt:variant>
        <vt:i4>0</vt:i4>
      </vt:variant>
      <vt:variant>
        <vt:i4>5</vt:i4>
      </vt:variant>
      <vt:variant>
        <vt:lpwstr/>
      </vt:variant>
      <vt:variant>
        <vt:lpwstr>_Toc105774307</vt:lpwstr>
      </vt:variant>
      <vt:variant>
        <vt:i4>1310768</vt:i4>
      </vt:variant>
      <vt:variant>
        <vt:i4>632</vt:i4>
      </vt:variant>
      <vt:variant>
        <vt:i4>0</vt:i4>
      </vt:variant>
      <vt:variant>
        <vt:i4>5</vt:i4>
      </vt:variant>
      <vt:variant>
        <vt:lpwstr/>
      </vt:variant>
      <vt:variant>
        <vt:lpwstr>_Toc105774306</vt:lpwstr>
      </vt:variant>
      <vt:variant>
        <vt:i4>1310768</vt:i4>
      </vt:variant>
      <vt:variant>
        <vt:i4>626</vt:i4>
      </vt:variant>
      <vt:variant>
        <vt:i4>0</vt:i4>
      </vt:variant>
      <vt:variant>
        <vt:i4>5</vt:i4>
      </vt:variant>
      <vt:variant>
        <vt:lpwstr/>
      </vt:variant>
      <vt:variant>
        <vt:lpwstr>_Toc105774305</vt:lpwstr>
      </vt:variant>
      <vt:variant>
        <vt:i4>1114162</vt:i4>
      </vt:variant>
      <vt:variant>
        <vt:i4>620</vt:i4>
      </vt:variant>
      <vt:variant>
        <vt:i4>0</vt:i4>
      </vt:variant>
      <vt:variant>
        <vt:i4>5</vt:i4>
      </vt:variant>
      <vt:variant>
        <vt:lpwstr/>
      </vt:variant>
      <vt:variant>
        <vt:lpwstr>_Toc105774151</vt:lpwstr>
      </vt:variant>
      <vt:variant>
        <vt:i4>1114162</vt:i4>
      </vt:variant>
      <vt:variant>
        <vt:i4>614</vt:i4>
      </vt:variant>
      <vt:variant>
        <vt:i4>0</vt:i4>
      </vt:variant>
      <vt:variant>
        <vt:i4>5</vt:i4>
      </vt:variant>
      <vt:variant>
        <vt:lpwstr/>
      </vt:variant>
      <vt:variant>
        <vt:lpwstr>_Toc105774150</vt:lpwstr>
      </vt:variant>
      <vt:variant>
        <vt:i4>1048626</vt:i4>
      </vt:variant>
      <vt:variant>
        <vt:i4>608</vt:i4>
      </vt:variant>
      <vt:variant>
        <vt:i4>0</vt:i4>
      </vt:variant>
      <vt:variant>
        <vt:i4>5</vt:i4>
      </vt:variant>
      <vt:variant>
        <vt:lpwstr/>
      </vt:variant>
      <vt:variant>
        <vt:lpwstr>_Toc105774149</vt:lpwstr>
      </vt:variant>
      <vt:variant>
        <vt:i4>1048626</vt:i4>
      </vt:variant>
      <vt:variant>
        <vt:i4>602</vt:i4>
      </vt:variant>
      <vt:variant>
        <vt:i4>0</vt:i4>
      </vt:variant>
      <vt:variant>
        <vt:i4>5</vt:i4>
      </vt:variant>
      <vt:variant>
        <vt:lpwstr/>
      </vt:variant>
      <vt:variant>
        <vt:lpwstr>_Toc105774148</vt:lpwstr>
      </vt:variant>
      <vt:variant>
        <vt:i4>1048626</vt:i4>
      </vt:variant>
      <vt:variant>
        <vt:i4>596</vt:i4>
      </vt:variant>
      <vt:variant>
        <vt:i4>0</vt:i4>
      </vt:variant>
      <vt:variant>
        <vt:i4>5</vt:i4>
      </vt:variant>
      <vt:variant>
        <vt:lpwstr/>
      </vt:variant>
      <vt:variant>
        <vt:lpwstr>_Toc105774147</vt:lpwstr>
      </vt:variant>
      <vt:variant>
        <vt:i4>1703994</vt:i4>
      </vt:variant>
      <vt:variant>
        <vt:i4>590</vt:i4>
      </vt:variant>
      <vt:variant>
        <vt:i4>0</vt:i4>
      </vt:variant>
      <vt:variant>
        <vt:i4>5</vt:i4>
      </vt:variant>
      <vt:variant>
        <vt:lpwstr/>
      </vt:variant>
      <vt:variant>
        <vt:lpwstr>_Toc105773993</vt:lpwstr>
      </vt:variant>
      <vt:variant>
        <vt:i4>1114161</vt:i4>
      </vt:variant>
      <vt:variant>
        <vt:i4>581</vt:i4>
      </vt:variant>
      <vt:variant>
        <vt:i4>0</vt:i4>
      </vt:variant>
      <vt:variant>
        <vt:i4>5</vt:i4>
      </vt:variant>
      <vt:variant>
        <vt:lpwstr/>
      </vt:variant>
      <vt:variant>
        <vt:lpwstr>_Toc105776271</vt:lpwstr>
      </vt:variant>
      <vt:variant>
        <vt:i4>1114161</vt:i4>
      </vt:variant>
      <vt:variant>
        <vt:i4>575</vt:i4>
      </vt:variant>
      <vt:variant>
        <vt:i4>0</vt:i4>
      </vt:variant>
      <vt:variant>
        <vt:i4>5</vt:i4>
      </vt:variant>
      <vt:variant>
        <vt:lpwstr/>
      </vt:variant>
      <vt:variant>
        <vt:lpwstr>_Toc105776270</vt:lpwstr>
      </vt:variant>
      <vt:variant>
        <vt:i4>1048625</vt:i4>
      </vt:variant>
      <vt:variant>
        <vt:i4>569</vt:i4>
      </vt:variant>
      <vt:variant>
        <vt:i4>0</vt:i4>
      </vt:variant>
      <vt:variant>
        <vt:i4>5</vt:i4>
      </vt:variant>
      <vt:variant>
        <vt:lpwstr/>
      </vt:variant>
      <vt:variant>
        <vt:lpwstr>_Toc105776269</vt:lpwstr>
      </vt:variant>
      <vt:variant>
        <vt:i4>1048625</vt:i4>
      </vt:variant>
      <vt:variant>
        <vt:i4>563</vt:i4>
      </vt:variant>
      <vt:variant>
        <vt:i4>0</vt:i4>
      </vt:variant>
      <vt:variant>
        <vt:i4>5</vt:i4>
      </vt:variant>
      <vt:variant>
        <vt:lpwstr/>
      </vt:variant>
      <vt:variant>
        <vt:lpwstr>_Toc105776268</vt:lpwstr>
      </vt:variant>
      <vt:variant>
        <vt:i4>1048625</vt:i4>
      </vt:variant>
      <vt:variant>
        <vt:i4>557</vt:i4>
      </vt:variant>
      <vt:variant>
        <vt:i4>0</vt:i4>
      </vt:variant>
      <vt:variant>
        <vt:i4>5</vt:i4>
      </vt:variant>
      <vt:variant>
        <vt:lpwstr/>
      </vt:variant>
      <vt:variant>
        <vt:lpwstr>_Toc105776267</vt:lpwstr>
      </vt:variant>
      <vt:variant>
        <vt:i4>1048625</vt:i4>
      </vt:variant>
      <vt:variant>
        <vt:i4>551</vt:i4>
      </vt:variant>
      <vt:variant>
        <vt:i4>0</vt:i4>
      </vt:variant>
      <vt:variant>
        <vt:i4>5</vt:i4>
      </vt:variant>
      <vt:variant>
        <vt:lpwstr/>
      </vt:variant>
      <vt:variant>
        <vt:lpwstr>_Toc105776265</vt:lpwstr>
      </vt:variant>
      <vt:variant>
        <vt:i4>1048625</vt:i4>
      </vt:variant>
      <vt:variant>
        <vt:i4>545</vt:i4>
      </vt:variant>
      <vt:variant>
        <vt:i4>0</vt:i4>
      </vt:variant>
      <vt:variant>
        <vt:i4>5</vt:i4>
      </vt:variant>
      <vt:variant>
        <vt:lpwstr/>
      </vt:variant>
      <vt:variant>
        <vt:lpwstr>_Toc105776264</vt:lpwstr>
      </vt:variant>
      <vt:variant>
        <vt:i4>1048625</vt:i4>
      </vt:variant>
      <vt:variant>
        <vt:i4>539</vt:i4>
      </vt:variant>
      <vt:variant>
        <vt:i4>0</vt:i4>
      </vt:variant>
      <vt:variant>
        <vt:i4>5</vt:i4>
      </vt:variant>
      <vt:variant>
        <vt:lpwstr/>
      </vt:variant>
      <vt:variant>
        <vt:lpwstr>_Toc105776263</vt:lpwstr>
      </vt:variant>
      <vt:variant>
        <vt:i4>1048625</vt:i4>
      </vt:variant>
      <vt:variant>
        <vt:i4>533</vt:i4>
      </vt:variant>
      <vt:variant>
        <vt:i4>0</vt:i4>
      </vt:variant>
      <vt:variant>
        <vt:i4>5</vt:i4>
      </vt:variant>
      <vt:variant>
        <vt:lpwstr/>
      </vt:variant>
      <vt:variant>
        <vt:lpwstr>_Toc105776261</vt:lpwstr>
      </vt:variant>
      <vt:variant>
        <vt:i4>1048625</vt:i4>
      </vt:variant>
      <vt:variant>
        <vt:i4>527</vt:i4>
      </vt:variant>
      <vt:variant>
        <vt:i4>0</vt:i4>
      </vt:variant>
      <vt:variant>
        <vt:i4>5</vt:i4>
      </vt:variant>
      <vt:variant>
        <vt:lpwstr/>
      </vt:variant>
      <vt:variant>
        <vt:lpwstr>_Toc105776260</vt:lpwstr>
      </vt:variant>
      <vt:variant>
        <vt:i4>1245233</vt:i4>
      </vt:variant>
      <vt:variant>
        <vt:i4>521</vt:i4>
      </vt:variant>
      <vt:variant>
        <vt:i4>0</vt:i4>
      </vt:variant>
      <vt:variant>
        <vt:i4>5</vt:i4>
      </vt:variant>
      <vt:variant>
        <vt:lpwstr/>
      </vt:variant>
      <vt:variant>
        <vt:lpwstr>_Toc105776259</vt:lpwstr>
      </vt:variant>
      <vt:variant>
        <vt:i4>1245233</vt:i4>
      </vt:variant>
      <vt:variant>
        <vt:i4>515</vt:i4>
      </vt:variant>
      <vt:variant>
        <vt:i4>0</vt:i4>
      </vt:variant>
      <vt:variant>
        <vt:i4>5</vt:i4>
      </vt:variant>
      <vt:variant>
        <vt:lpwstr/>
      </vt:variant>
      <vt:variant>
        <vt:lpwstr>_Toc105776258</vt:lpwstr>
      </vt:variant>
      <vt:variant>
        <vt:i4>1245233</vt:i4>
      </vt:variant>
      <vt:variant>
        <vt:i4>509</vt:i4>
      </vt:variant>
      <vt:variant>
        <vt:i4>0</vt:i4>
      </vt:variant>
      <vt:variant>
        <vt:i4>5</vt:i4>
      </vt:variant>
      <vt:variant>
        <vt:lpwstr/>
      </vt:variant>
      <vt:variant>
        <vt:lpwstr>_Toc105776257</vt:lpwstr>
      </vt:variant>
      <vt:variant>
        <vt:i4>1245233</vt:i4>
      </vt:variant>
      <vt:variant>
        <vt:i4>503</vt:i4>
      </vt:variant>
      <vt:variant>
        <vt:i4>0</vt:i4>
      </vt:variant>
      <vt:variant>
        <vt:i4>5</vt:i4>
      </vt:variant>
      <vt:variant>
        <vt:lpwstr/>
      </vt:variant>
      <vt:variant>
        <vt:lpwstr>_Toc105776256</vt:lpwstr>
      </vt:variant>
      <vt:variant>
        <vt:i4>1245233</vt:i4>
      </vt:variant>
      <vt:variant>
        <vt:i4>497</vt:i4>
      </vt:variant>
      <vt:variant>
        <vt:i4>0</vt:i4>
      </vt:variant>
      <vt:variant>
        <vt:i4>5</vt:i4>
      </vt:variant>
      <vt:variant>
        <vt:lpwstr/>
      </vt:variant>
      <vt:variant>
        <vt:lpwstr>_Toc105776255</vt:lpwstr>
      </vt:variant>
      <vt:variant>
        <vt:i4>1245233</vt:i4>
      </vt:variant>
      <vt:variant>
        <vt:i4>491</vt:i4>
      </vt:variant>
      <vt:variant>
        <vt:i4>0</vt:i4>
      </vt:variant>
      <vt:variant>
        <vt:i4>5</vt:i4>
      </vt:variant>
      <vt:variant>
        <vt:lpwstr/>
      </vt:variant>
      <vt:variant>
        <vt:lpwstr>_Toc105776254</vt:lpwstr>
      </vt:variant>
      <vt:variant>
        <vt:i4>1245233</vt:i4>
      </vt:variant>
      <vt:variant>
        <vt:i4>485</vt:i4>
      </vt:variant>
      <vt:variant>
        <vt:i4>0</vt:i4>
      </vt:variant>
      <vt:variant>
        <vt:i4>5</vt:i4>
      </vt:variant>
      <vt:variant>
        <vt:lpwstr/>
      </vt:variant>
      <vt:variant>
        <vt:lpwstr>_Toc105776253</vt:lpwstr>
      </vt:variant>
      <vt:variant>
        <vt:i4>1245233</vt:i4>
      </vt:variant>
      <vt:variant>
        <vt:i4>479</vt:i4>
      </vt:variant>
      <vt:variant>
        <vt:i4>0</vt:i4>
      </vt:variant>
      <vt:variant>
        <vt:i4>5</vt:i4>
      </vt:variant>
      <vt:variant>
        <vt:lpwstr/>
      </vt:variant>
      <vt:variant>
        <vt:lpwstr>_Toc105776252</vt:lpwstr>
      </vt:variant>
      <vt:variant>
        <vt:i4>1245233</vt:i4>
      </vt:variant>
      <vt:variant>
        <vt:i4>473</vt:i4>
      </vt:variant>
      <vt:variant>
        <vt:i4>0</vt:i4>
      </vt:variant>
      <vt:variant>
        <vt:i4>5</vt:i4>
      </vt:variant>
      <vt:variant>
        <vt:lpwstr/>
      </vt:variant>
      <vt:variant>
        <vt:lpwstr>_Toc105776251</vt:lpwstr>
      </vt:variant>
      <vt:variant>
        <vt:i4>1245233</vt:i4>
      </vt:variant>
      <vt:variant>
        <vt:i4>467</vt:i4>
      </vt:variant>
      <vt:variant>
        <vt:i4>0</vt:i4>
      </vt:variant>
      <vt:variant>
        <vt:i4>5</vt:i4>
      </vt:variant>
      <vt:variant>
        <vt:lpwstr/>
      </vt:variant>
      <vt:variant>
        <vt:lpwstr>_Toc105776250</vt:lpwstr>
      </vt:variant>
      <vt:variant>
        <vt:i4>1179697</vt:i4>
      </vt:variant>
      <vt:variant>
        <vt:i4>461</vt:i4>
      </vt:variant>
      <vt:variant>
        <vt:i4>0</vt:i4>
      </vt:variant>
      <vt:variant>
        <vt:i4>5</vt:i4>
      </vt:variant>
      <vt:variant>
        <vt:lpwstr/>
      </vt:variant>
      <vt:variant>
        <vt:lpwstr>_Toc105776249</vt:lpwstr>
      </vt:variant>
      <vt:variant>
        <vt:i4>1179697</vt:i4>
      </vt:variant>
      <vt:variant>
        <vt:i4>455</vt:i4>
      </vt:variant>
      <vt:variant>
        <vt:i4>0</vt:i4>
      </vt:variant>
      <vt:variant>
        <vt:i4>5</vt:i4>
      </vt:variant>
      <vt:variant>
        <vt:lpwstr/>
      </vt:variant>
      <vt:variant>
        <vt:lpwstr>_Toc105776248</vt:lpwstr>
      </vt:variant>
      <vt:variant>
        <vt:i4>1179697</vt:i4>
      </vt:variant>
      <vt:variant>
        <vt:i4>449</vt:i4>
      </vt:variant>
      <vt:variant>
        <vt:i4>0</vt:i4>
      </vt:variant>
      <vt:variant>
        <vt:i4>5</vt:i4>
      </vt:variant>
      <vt:variant>
        <vt:lpwstr/>
      </vt:variant>
      <vt:variant>
        <vt:lpwstr>_Toc105776246</vt:lpwstr>
      </vt:variant>
      <vt:variant>
        <vt:i4>1179697</vt:i4>
      </vt:variant>
      <vt:variant>
        <vt:i4>443</vt:i4>
      </vt:variant>
      <vt:variant>
        <vt:i4>0</vt:i4>
      </vt:variant>
      <vt:variant>
        <vt:i4>5</vt:i4>
      </vt:variant>
      <vt:variant>
        <vt:lpwstr/>
      </vt:variant>
      <vt:variant>
        <vt:lpwstr>_Toc105776245</vt:lpwstr>
      </vt:variant>
      <vt:variant>
        <vt:i4>1179697</vt:i4>
      </vt:variant>
      <vt:variant>
        <vt:i4>437</vt:i4>
      </vt:variant>
      <vt:variant>
        <vt:i4>0</vt:i4>
      </vt:variant>
      <vt:variant>
        <vt:i4>5</vt:i4>
      </vt:variant>
      <vt:variant>
        <vt:lpwstr/>
      </vt:variant>
      <vt:variant>
        <vt:lpwstr>_Toc105776244</vt:lpwstr>
      </vt:variant>
      <vt:variant>
        <vt:i4>1179697</vt:i4>
      </vt:variant>
      <vt:variant>
        <vt:i4>431</vt:i4>
      </vt:variant>
      <vt:variant>
        <vt:i4>0</vt:i4>
      </vt:variant>
      <vt:variant>
        <vt:i4>5</vt:i4>
      </vt:variant>
      <vt:variant>
        <vt:lpwstr/>
      </vt:variant>
      <vt:variant>
        <vt:lpwstr>_Toc105776243</vt:lpwstr>
      </vt:variant>
      <vt:variant>
        <vt:i4>1179697</vt:i4>
      </vt:variant>
      <vt:variant>
        <vt:i4>425</vt:i4>
      </vt:variant>
      <vt:variant>
        <vt:i4>0</vt:i4>
      </vt:variant>
      <vt:variant>
        <vt:i4>5</vt:i4>
      </vt:variant>
      <vt:variant>
        <vt:lpwstr/>
      </vt:variant>
      <vt:variant>
        <vt:lpwstr>_Toc105776242</vt:lpwstr>
      </vt:variant>
      <vt:variant>
        <vt:i4>1179697</vt:i4>
      </vt:variant>
      <vt:variant>
        <vt:i4>419</vt:i4>
      </vt:variant>
      <vt:variant>
        <vt:i4>0</vt:i4>
      </vt:variant>
      <vt:variant>
        <vt:i4>5</vt:i4>
      </vt:variant>
      <vt:variant>
        <vt:lpwstr/>
      </vt:variant>
      <vt:variant>
        <vt:lpwstr>_Toc105776241</vt:lpwstr>
      </vt:variant>
      <vt:variant>
        <vt:i4>1179697</vt:i4>
      </vt:variant>
      <vt:variant>
        <vt:i4>413</vt:i4>
      </vt:variant>
      <vt:variant>
        <vt:i4>0</vt:i4>
      </vt:variant>
      <vt:variant>
        <vt:i4>5</vt:i4>
      </vt:variant>
      <vt:variant>
        <vt:lpwstr/>
      </vt:variant>
      <vt:variant>
        <vt:lpwstr>_Toc105776240</vt:lpwstr>
      </vt:variant>
      <vt:variant>
        <vt:i4>1376305</vt:i4>
      </vt:variant>
      <vt:variant>
        <vt:i4>407</vt:i4>
      </vt:variant>
      <vt:variant>
        <vt:i4>0</vt:i4>
      </vt:variant>
      <vt:variant>
        <vt:i4>5</vt:i4>
      </vt:variant>
      <vt:variant>
        <vt:lpwstr/>
      </vt:variant>
      <vt:variant>
        <vt:lpwstr>_Toc105776239</vt:lpwstr>
      </vt:variant>
      <vt:variant>
        <vt:i4>1376305</vt:i4>
      </vt:variant>
      <vt:variant>
        <vt:i4>401</vt:i4>
      </vt:variant>
      <vt:variant>
        <vt:i4>0</vt:i4>
      </vt:variant>
      <vt:variant>
        <vt:i4>5</vt:i4>
      </vt:variant>
      <vt:variant>
        <vt:lpwstr/>
      </vt:variant>
      <vt:variant>
        <vt:lpwstr>_Toc105776238</vt:lpwstr>
      </vt:variant>
      <vt:variant>
        <vt:i4>1376305</vt:i4>
      </vt:variant>
      <vt:variant>
        <vt:i4>395</vt:i4>
      </vt:variant>
      <vt:variant>
        <vt:i4>0</vt:i4>
      </vt:variant>
      <vt:variant>
        <vt:i4>5</vt:i4>
      </vt:variant>
      <vt:variant>
        <vt:lpwstr/>
      </vt:variant>
      <vt:variant>
        <vt:lpwstr>_Toc105776237</vt:lpwstr>
      </vt:variant>
      <vt:variant>
        <vt:i4>1376305</vt:i4>
      </vt:variant>
      <vt:variant>
        <vt:i4>389</vt:i4>
      </vt:variant>
      <vt:variant>
        <vt:i4>0</vt:i4>
      </vt:variant>
      <vt:variant>
        <vt:i4>5</vt:i4>
      </vt:variant>
      <vt:variant>
        <vt:lpwstr/>
      </vt:variant>
      <vt:variant>
        <vt:lpwstr>_Toc105776236</vt:lpwstr>
      </vt:variant>
      <vt:variant>
        <vt:i4>1376305</vt:i4>
      </vt:variant>
      <vt:variant>
        <vt:i4>383</vt:i4>
      </vt:variant>
      <vt:variant>
        <vt:i4>0</vt:i4>
      </vt:variant>
      <vt:variant>
        <vt:i4>5</vt:i4>
      </vt:variant>
      <vt:variant>
        <vt:lpwstr/>
      </vt:variant>
      <vt:variant>
        <vt:lpwstr>_Toc105776235</vt:lpwstr>
      </vt:variant>
      <vt:variant>
        <vt:i4>1376305</vt:i4>
      </vt:variant>
      <vt:variant>
        <vt:i4>377</vt:i4>
      </vt:variant>
      <vt:variant>
        <vt:i4>0</vt:i4>
      </vt:variant>
      <vt:variant>
        <vt:i4>5</vt:i4>
      </vt:variant>
      <vt:variant>
        <vt:lpwstr/>
      </vt:variant>
      <vt:variant>
        <vt:lpwstr>_Toc105776234</vt:lpwstr>
      </vt:variant>
      <vt:variant>
        <vt:i4>1376305</vt:i4>
      </vt:variant>
      <vt:variant>
        <vt:i4>371</vt:i4>
      </vt:variant>
      <vt:variant>
        <vt:i4>0</vt:i4>
      </vt:variant>
      <vt:variant>
        <vt:i4>5</vt:i4>
      </vt:variant>
      <vt:variant>
        <vt:lpwstr/>
      </vt:variant>
      <vt:variant>
        <vt:lpwstr>_Toc105776233</vt:lpwstr>
      </vt:variant>
      <vt:variant>
        <vt:i4>1376305</vt:i4>
      </vt:variant>
      <vt:variant>
        <vt:i4>365</vt:i4>
      </vt:variant>
      <vt:variant>
        <vt:i4>0</vt:i4>
      </vt:variant>
      <vt:variant>
        <vt:i4>5</vt:i4>
      </vt:variant>
      <vt:variant>
        <vt:lpwstr/>
      </vt:variant>
      <vt:variant>
        <vt:lpwstr>_Toc105776232</vt:lpwstr>
      </vt:variant>
      <vt:variant>
        <vt:i4>1376305</vt:i4>
      </vt:variant>
      <vt:variant>
        <vt:i4>359</vt:i4>
      </vt:variant>
      <vt:variant>
        <vt:i4>0</vt:i4>
      </vt:variant>
      <vt:variant>
        <vt:i4>5</vt:i4>
      </vt:variant>
      <vt:variant>
        <vt:lpwstr/>
      </vt:variant>
      <vt:variant>
        <vt:lpwstr>_Toc105776231</vt:lpwstr>
      </vt:variant>
      <vt:variant>
        <vt:i4>1376305</vt:i4>
      </vt:variant>
      <vt:variant>
        <vt:i4>353</vt:i4>
      </vt:variant>
      <vt:variant>
        <vt:i4>0</vt:i4>
      </vt:variant>
      <vt:variant>
        <vt:i4>5</vt:i4>
      </vt:variant>
      <vt:variant>
        <vt:lpwstr/>
      </vt:variant>
      <vt:variant>
        <vt:lpwstr>_Toc105776230</vt:lpwstr>
      </vt:variant>
      <vt:variant>
        <vt:i4>1310769</vt:i4>
      </vt:variant>
      <vt:variant>
        <vt:i4>347</vt:i4>
      </vt:variant>
      <vt:variant>
        <vt:i4>0</vt:i4>
      </vt:variant>
      <vt:variant>
        <vt:i4>5</vt:i4>
      </vt:variant>
      <vt:variant>
        <vt:lpwstr/>
      </vt:variant>
      <vt:variant>
        <vt:lpwstr>_Toc105776229</vt:lpwstr>
      </vt:variant>
      <vt:variant>
        <vt:i4>1310769</vt:i4>
      </vt:variant>
      <vt:variant>
        <vt:i4>341</vt:i4>
      </vt:variant>
      <vt:variant>
        <vt:i4>0</vt:i4>
      </vt:variant>
      <vt:variant>
        <vt:i4>5</vt:i4>
      </vt:variant>
      <vt:variant>
        <vt:lpwstr/>
      </vt:variant>
      <vt:variant>
        <vt:lpwstr>_Toc105776227</vt:lpwstr>
      </vt:variant>
      <vt:variant>
        <vt:i4>1310769</vt:i4>
      </vt:variant>
      <vt:variant>
        <vt:i4>335</vt:i4>
      </vt:variant>
      <vt:variant>
        <vt:i4>0</vt:i4>
      </vt:variant>
      <vt:variant>
        <vt:i4>5</vt:i4>
      </vt:variant>
      <vt:variant>
        <vt:lpwstr/>
      </vt:variant>
      <vt:variant>
        <vt:lpwstr>_Toc105776226</vt:lpwstr>
      </vt:variant>
      <vt:variant>
        <vt:i4>1310769</vt:i4>
      </vt:variant>
      <vt:variant>
        <vt:i4>329</vt:i4>
      </vt:variant>
      <vt:variant>
        <vt:i4>0</vt:i4>
      </vt:variant>
      <vt:variant>
        <vt:i4>5</vt:i4>
      </vt:variant>
      <vt:variant>
        <vt:lpwstr/>
      </vt:variant>
      <vt:variant>
        <vt:lpwstr>_Toc105776225</vt:lpwstr>
      </vt:variant>
      <vt:variant>
        <vt:i4>1310769</vt:i4>
      </vt:variant>
      <vt:variant>
        <vt:i4>323</vt:i4>
      </vt:variant>
      <vt:variant>
        <vt:i4>0</vt:i4>
      </vt:variant>
      <vt:variant>
        <vt:i4>5</vt:i4>
      </vt:variant>
      <vt:variant>
        <vt:lpwstr/>
      </vt:variant>
      <vt:variant>
        <vt:lpwstr>_Toc105776224</vt:lpwstr>
      </vt:variant>
      <vt:variant>
        <vt:i4>1310769</vt:i4>
      </vt:variant>
      <vt:variant>
        <vt:i4>317</vt:i4>
      </vt:variant>
      <vt:variant>
        <vt:i4>0</vt:i4>
      </vt:variant>
      <vt:variant>
        <vt:i4>5</vt:i4>
      </vt:variant>
      <vt:variant>
        <vt:lpwstr/>
      </vt:variant>
      <vt:variant>
        <vt:lpwstr>_Toc105776223</vt:lpwstr>
      </vt:variant>
      <vt:variant>
        <vt:i4>1310769</vt:i4>
      </vt:variant>
      <vt:variant>
        <vt:i4>311</vt:i4>
      </vt:variant>
      <vt:variant>
        <vt:i4>0</vt:i4>
      </vt:variant>
      <vt:variant>
        <vt:i4>5</vt:i4>
      </vt:variant>
      <vt:variant>
        <vt:lpwstr/>
      </vt:variant>
      <vt:variant>
        <vt:lpwstr>_Toc105776222</vt:lpwstr>
      </vt:variant>
      <vt:variant>
        <vt:i4>1310769</vt:i4>
      </vt:variant>
      <vt:variant>
        <vt:i4>305</vt:i4>
      </vt:variant>
      <vt:variant>
        <vt:i4>0</vt:i4>
      </vt:variant>
      <vt:variant>
        <vt:i4>5</vt:i4>
      </vt:variant>
      <vt:variant>
        <vt:lpwstr/>
      </vt:variant>
      <vt:variant>
        <vt:lpwstr>_Toc105776221</vt:lpwstr>
      </vt:variant>
      <vt:variant>
        <vt:i4>1310769</vt:i4>
      </vt:variant>
      <vt:variant>
        <vt:i4>299</vt:i4>
      </vt:variant>
      <vt:variant>
        <vt:i4>0</vt:i4>
      </vt:variant>
      <vt:variant>
        <vt:i4>5</vt:i4>
      </vt:variant>
      <vt:variant>
        <vt:lpwstr/>
      </vt:variant>
      <vt:variant>
        <vt:lpwstr>_Toc105776220</vt:lpwstr>
      </vt:variant>
      <vt:variant>
        <vt:i4>1507377</vt:i4>
      </vt:variant>
      <vt:variant>
        <vt:i4>293</vt:i4>
      </vt:variant>
      <vt:variant>
        <vt:i4>0</vt:i4>
      </vt:variant>
      <vt:variant>
        <vt:i4>5</vt:i4>
      </vt:variant>
      <vt:variant>
        <vt:lpwstr/>
      </vt:variant>
      <vt:variant>
        <vt:lpwstr>_Toc105776219</vt:lpwstr>
      </vt:variant>
      <vt:variant>
        <vt:i4>1507377</vt:i4>
      </vt:variant>
      <vt:variant>
        <vt:i4>287</vt:i4>
      </vt:variant>
      <vt:variant>
        <vt:i4>0</vt:i4>
      </vt:variant>
      <vt:variant>
        <vt:i4>5</vt:i4>
      </vt:variant>
      <vt:variant>
        <vt:lpwstr/>
      </vt:variant>
      <vt:variant>
        <vt:lpwstr>_Toc105776218</vt:lpwstr>
      </vt:variant>
      <vt:variant>
        <vt:i4>1507377</vt:i4>
      </vt:variant>
      <vt:variant>
        <vt:i4>281</vt:i4>
      </vt:variant>
      <vt:variant>
        <vt:i4>0</vt:i4>
      </vt:variant>
      <vt:variant>
        <vt:i4>5</vt:i4>
      </vt:variant>
      <vt:variant>
        <vt:lpwstr/>
      </vt:variant>
      <vt:variant>
        <vt:lpwstr>_Toc105776217</vt:lpwstr>
      </vt:variant>
      <vt:variant>
        <vt:i4>1507377</vt:i4>
      </vt:variant>
      <vt:variant>
        <vt:i4>275</vt:i4>
      </vt:variant>
      <vt:variant>
        <vt:i4>0</vt:i4>
      </vt:variant>
      <vt:variant>
        <vt:i4>5</vt:i4>
      </vt:variant>
      <vt:variant>
        <vt:lpwstr/>
      </vt:variant>
      <vt:variant>
        <vt:lpwstr>_Toc105776216</vt:lpwstr>
      </vt:variant>
      <vt:variant>
        <vt:i4>1507377</vt:i4>
      </vt:variant>
      <vt:variant>
        <vt:i4>269</vt:i4>
      </vt:variant>
      <vt:variant>
        <vt:i4>0</vt:i4>
      </vt:variant>
      <vt:variant>
        <vt:i4>5</vt:i4>
      </vt:variant>
      <vt:variant>
        <vt:lpwstr/>
      </vt:variant>
      <vt:variant>
        <vt:lpwstr>_Toc105776215</vt:lpwstr>
      </vt:variant>
      <vt:variant>
        <vt:i4>1507377</vt:i4>
      </vt:variant>
      <vt:variant>
        <vt:i4>263</vt:i4>
      </vt:variant>
      <vt:variant>
        <vt:i4>0</vt:i4>
      </vt:variant>
      <vt:variant>
        <vt:i4>5</vt:i4>
      </vt:variant>
      <vt:variant>
        <vt:lpwstr/>
      </vt:variant>
      <vt:variant>
        <vt:lpwstr>_Toc105776214</vt:lpwstr>
      </vt:variant>
      <vt:variant>
        <vt:i4>1507377</vt:i4>
      </vt:variant>
      <vt:variant>
        <vt:i4>257</vt:i4>
      </vt:variant>
      <vt:variant>
        <vt:i4>0</vt:i4>
      </vt:variant>
      <vt:variant>
        <vt:i4>5</vt:i4>
      </vt:variant>
      <vt:variant>
        <vt:lpwstr/>
      </vt:variant>
      <vt:variant>
        <vt:lpwstr>_Toc105776213</vt:lpwstr>
      </vt:variant>
      <vt:variant>
        <vt:i4>1507377</vt:i4>
      </vt:variant>
      <vt:variant>
        <vt:i4>251</vt:i4>
      </vt:variant>
      <vt:variant>
        <vt:i4>0</vt:i4>
      </vt:variant>
      <vt:variant>
        <vt:i4>5</vt:i4>
      </vt:variant>
      <vt:variant>
        <vt:lpwstr/>
      </vt:variant>
      <vt:variant>
        <vt:lpwstr>_Toc105776212</vt:lpwstr>
      </vt:variant>
      <vt:variant>
        <vt:i4>1507377</vt:i4>
      </vt:variant>
      <vt:variant>
        <vt:i4>245</vt:i4>
      </vt:variant>
      <vt:variant>
        <vt:i4>0</vt:i4>
      </vt:variant>
      <vt:variant>
        <vt:i4>5</vt:i4>
      </vt:variant>
      <vt:variant>
        <vt:lpwstr/>
      </vt:variant>
      <vt:variant>
        <vt:lpwstr>_Toc105776211</vt:lpwstr>
      </vt:variant>
      <vt:variant>
        <vt:i4>1507377</vt:i4>
      </vt:variant>
      <vt:variant>
        <vt:i4>239</vt:i4>
      </vt:variant>
      <vt:variant>
        <vt:i4>0</vt:i4>
      </vt:variant>
      <vt:variant>
        <vt:i4>5</vt:i4>
      </vt:variant>
      <vt:variant>
        <vt:lpwstr/>
      </vt:variant>
      <vt:variant>
        <vt:lpwstr>_Toc105776210</vt:lpwstr>
      </vt:variant>
      <vt:variant>
        <vt:i4>1441841</vt:i4>
      </vt:variant>
      <vt:variant>
        <vt:i4>230</vt:i4>
      </vt:variant>
      <vt:variant>
        <vt:i4>0</vt:i4>
      </vt:variant>
      <vt:variant>
        <vt:i4>5</vt:i4>
      </vt:variant>
      <vt:variant>
        <vt:lpwstr/>
      </vt:variant>
      <vt:variant>
        <vt:lpwstr>_Toc105776209</vt:lpwstr>
      </vt:variant>
      <vt:variant>
        <vt:i4>1441841</vt:i4>
      </vt:variant>
      <vt:variant>
        <vt:i4>224</vt:i4>
      </vt:variant>
      <vt:variant>
        <vt:i4>0</vt:i4>
      </vt:variant>
      <vt:variant>
        <vt:i4>5</vt:i4>
      </vt:variant>
      <vt:variant>
        <vt:lpwstr/>
      </vt:variant>
      <vt:variant>
        <vt:lpwstr>_Toc105776208</vt:lpwstr>
      </vt:variant>
      <vt:variant>
        <vt:i4>1441841</vt:i4>
      </vt:variant>
      <vt:variant>
        <vt:i4>218</vt:i4>
      </vt:variant>
      <vt:variant>
        <vt:i4>0</vt:i4>
      </vt:variant>
      <vt:variant>
        <vt:i4>5</vt:i4>
      </vt:variant>
      <vt:variant>
        <vt:lpwstr/>
      </vt:variant>
      <vt:variant>
        <vt:lpwstr>_Toc105776207</vt:lpwstr>
      </vt:variant>
      <vt:variant>
        <vt:i4>1441841</vt:i4>
      </vt:variant>
      <vt:variant>
        <vt:i4>212</vt:i4>
      </vt:variant>
      <vt:variant>
        <vt:i4>0</vt:i4>
      </vt:variant>
      <vt:variant>
        <vt:i4>5</vt:i4>
      </vt:variant>
      <vt:variant>
        <vt:lpwstr/>
      </vt:variant>
      <vt:variant>
        <vt:lpwstr>_Toc105776206</vt:lpwstr>
      </vt:variant>
      <vt:variant>
        <vt:i4>1441841</vt:i4>
      </vt:variant>
      <vt:variant>
        <vt:i4>206</vt:i4>
      </vt:variant>
      <vt:variant>
        <vt:i4>0</vt:i4>
      </vt:variant>
      <vt:variant>
        <vt:i4>5</vt:i4>
      </vt:variant>
      <vt:variant>
        <vt:lpwstr/>
      </vt:variant>
      <vt:variant>
        <vt:lpwstr>_Toc105776205</vt:lpwstr>
      </vt:variant>
      <vt:variant>
        <vt:i4>1441841</vt:i4>
      </vt:variant>
      <vt:variant>
        <vt:i4>200</vt:i4>
      </vt:variant>
      <vt:variant>
        <vt:i4>0</vt:i4>
      </vt:variant>
      <vt:variant>
        <vt:i4>5</vt:i4>
      </vt:variant>
      <vt:variant>
        <vt:lpwstr/>
      </vt:variant>
      <vt:variant>
        <vt:lpwstr>_Toc105776204</vt:lpwstr>
      </vt:variant>
      <vt:variant>
        <vt:i4>1441841</vt:i4>
      </vt:variant>
      <vt:variant>
        <vt:i4>194</vt:i4>
      </vt:variant>
      <vt:variant>
        <vt:i4>0</vt:i4>
      </vt:variant>
      <vt:variant>
        <vt:i4>5</vt:i4>
      </vt:variant>
      <vt:variant>
        <vt:lpwstr/>
      </vt:variant>
      <vt:variant>
        <vt:lpwstr>_Toc105776203</vt:lpwstr>
      </vt:variant>
      <vt:variant>
        <vt:i4>1441841</vt:i4>
      </vt:variant>
      <vt:variant>
        <vt:i4>188</vt:i4>
      </vt:variant>
      <vt:variant>
        <vt:i4>0</vt:i4>
      </vt:variant>
      <vt:variant>
        <vt:i4>5</vt:i4>
      </vt:variant>
      <vt:variant>
        <vt:lpwstr/>
      </vt:variant>
      <vt:variant>
        <vt:lpwstr>_Toc105776202</vt:lpwstr>
      </vt:variant>
      <vt:variant>
        <vt:i4>1441841</vt:i4>
      </vt:variant>
      <vt:variant>
        <vt:i4>182</vt:i4>
      </vt:variant>
      <vt:variant>
        <vt:i4>0</vt:i4>
      </vt:variant>
      <vt:variant>
        <vt:i4>5</vt:i4>
      </vt:variant>
      <vt:variant>
        <vt:lpwstr/>
      </vt:variant>
      <vt:variant>
        <vt:lpwstr>_Toc105776201</vt:lpwstr>
      </vt:variant>
      <vt:variant>
        <vt:i4>1441841</vt:i4>
      </vt:variant>
      <vt:variant>
        <vt:i4>176</vt:i4>
      </vt:variant>
      <vt:variant>
        <vt:i4>0</vt:i4>
      </vt:variant>
      <vt:variant>
        <vt:i4>5</vt:i4>
      </vt:variant>
      <vt:variant>
        <vt:lpwstr/>
      </vt:variant>
      <vt:variant>
        <vt:lpwstr>_Toc105776200</vt:lpwstr>
      </vt:variant>
      <vt:variant>
        <vt:i4>2031666</vt:i4>
      </vt:variant>
      <vt:variant>
        <vt:i4>170</vt:i4>
      </vt:variant>
      <vt:variant>
        <vt:i4>0</vt:i4>
      </vt:variant>
      <vt:variant>
        <vt:i4>5</vt:i4>
      </vt:variant>
      <vt:variant>
        <vt:lpwstr/>
      </vt:variant>
      <vt:variant>
        <vt:lpwstr>_Toc105776199</vt:lpwstr>
      </vt:variant>
      <vt:variant>
        <vt:i4>2031666</vt:i4>
      </vt:variant>
      <vt:variant>
        <vt:i4>164</vt:i4>
      </vt:variant>
      <vt:variant>
        <vt:i4>0</vt:i4>
      </vt:variant>
      <vt:variant>
        <vt:i4>5</vt:i4>
      </vt:variant>
      <vt:variant>
        <vt:lpwstr/>
      </vt:variant>
      <vt:variant>
        <vt:lpwstr>_Toc105776198</vt:lpwstr>
      </vt:variant>
      <vt:variant>
        <vt:i4>2031666</vt:i4>
      </vt:variant>
      <vt:variant>
        <vt:i4>158</vt:i4>
      </vt:variant>
      <vt:variant>
        <vt:i4>0</vt:i4>
      </vt:variant>
      <vt:variant>
        <vt:i4>5</vt:i4>
      </vt:variant>
      <vt:variant>
        <vt:lpwstr/>
      </vt:variant>
      <vt:variant>
        <vt:lpwstr>_Toc105776197</vt:lpwstr>
      </vt:variant>
      <vt:variant>
        <vt:i4>2031666</vt:i4>
      </vt:variant>
      <vt:variant>
        <vt:i4>152</vt:i4>
      </vt:variant>
      <vt:variant>
        <vt:i4>0</vt:i4>
      </vt:variant>
      <vt:variant>
        <vt:i4>5</vt:i4>
      </vt:variant>
      <vt:variant>
        <vt:lpwstr/>
      </vt:variant>
      <vt:variant>
        <vt:lpwstr>_Toc105776196</vt:lpwstr>
      </vt:variant>
      <vt:variant>
        <vt:i4>2031666</vt:i4>
      </vt:variant>
      <vt:variant>
        <vt:i4>146</vt:i4>
      </vt:variant>
      <vt:variant>
        <vt:i4>0</vt:i4>
      </vt:variant>
      <vt:variant>
        <vt:i4>5</vt:i4>
      </vt:variant>
      <vt:variant>
        <vt:lpwstr/>
      </vt:variant>
      <vt:variant>
        <vt:lpwstr>_Toc105776195</vt:lpwstr>
      </vt:variant>
      <vt:variant>
        <vt:i4>2031666</vt:i4>
      </vt:variant>
      <vt:variant>
        <vt:i4>140</vt:i4>
      </vt:variant>
      <vt:variant>
        <vt:i4>0</vt:i4>
      </vt:variant>
      <vt:variant>
        <vt:i4>5</vt:i4>
      </vt:variant>
      <vt:variant>
        <vt:lpwstr/>
      </vt:variant>
      <vt:variant>
        <vt:lpwstr>_Toc105776194</vt:lpwstr>
      </vt:variant>
      <vt:variant>
        <vt:i4>2031666</vt:i4>
      </vt:variant>
      <vt:variant>
        <vt:i4>134</vt:i4>
      </vt:variant>
      <vt:variant>
        <vt:i4>0</vt:i4>
      </vt:variant>
      <vt:variant>
        <vt:i4>5</vt:i4>
      </vt:variant>
      <vt:variant>
        <vt:lpwstr/>
      </vt:variant>
      <vt:variant>
        <vt:lpwstr>_Toc105776193</vt:lpwstr>
      </vt:variant>
      <vt:variant>
        <vt:i4>2031666</vt:i4>
      </vt:variant>
      <vt:variant>
        <vt:i4>128</vt:i4>
      </vt:variant>
      <vt:variant>
        <vt:i4>0</vt:i4>
      </vt:variant>
      <vt:variant>
        <vt:i4>5</vt:i4>
      </vt:variant>
      <vt:variant>
        <vt:lpwstr/>
      </vt:variant>
      <vt:variant>
        <vt:lpwstr>_Toc105776192</vt:lpwstr>
      </vt:variant>
      <vt:variant>
        <vt:i4>2031666</vt:i4>
      </vt:variant>
      <vt:variant>
        <vt:i4>122</vt:i4>
      </vt:variant>
      <vt:variant>
        <vt:i4>0</vt:i4>
      </vt:variant>
      <vt:variant>
        <vt:i4>5</vt:i4>
      </vt:variant>
      <vt:variant>
        <vt:lpwstr/>
      </vt:variant>
      <vt:variant>
        <vt:lpwstr>_Toc105776191</vt:lpwstr>
      </vt:variant>
      <vt:variant>
        <vt:i4>2031666</vt:i4>
      </vt:variant>
      <vt:variant>
        <vt:i4>116</vt:i4>
      </vt:variant>
      <vt:variant>
        <vt:i4>0</vt:i4>
      </vt:variant>
      <vt:variant>
        <vt:i4>5</vt:i4>
      </vt:variant>
      <vt:variant>
        <vt:lpwstr/>
      </vt:variant>
      <vt:variant>
        <vt:lpwstr>_Toc105776190</vt:lpwstr>
      </vt:variant>
      <vt:variant>
        <vt:i4>1966130</vt:i4>
      </vt:variant>
      <vt:variant>
        <vt:i4>110</vt:i4>
      </vt:variant>
      <vt:variant>
        <vt:i4>0</vt:i4>
      </vt:variant>
      <vt:variant>
        <vt:i4>5</vt:i4>
      </vt:variant>
      <vt:variant>
        <vt:lpwstr/>
      </vt:variant>
      <vt:variant>
        <vt:lpwstr>_Toc105776189</vt:lpwstr>
      </vt:variant>
      <vt:variant>
        <vt:i4>1966130</vt:i4>
      </vt:variant>
      <vt:variant>
        <vt:i4>104</vt:i4>
      </vt:variant>
      <vt:variant>
        <vt:i4>0</vt:i4>
      </vt:variant>
      <vt:variant>
        <vt:i4>5</vt:i4>
      </vt:variant>
      <vt:variant>
        <vt:lpwstr/>
      </vt:variant>
      <vt:variant>
        <vt:lpwstr>_Toc105776188</vt:lpwstr>
      </vt:variant>
      <vt:variant>
        <vt:i4>1966130</vt:i4>
      </vt:variant>
      <vt:variant>
        <vt:i4>98</vt:i4>
      </vt:variant>
      <vt:variant>
        <vt:i4>0</vt:i4>
      </vt:variant>
      <vt:variant>
        <vt:i4>5</vt:i4>
      </vt:variant>
      <vt:variant>
        <vt:lpwstr/>
      </vt:variant>
      <vt:variant>
        <vt:lpwstr>_Toc105776187</vt:lpwstr>
      </vt:variant>
      <vt:variant>
        <vt:i4>1966130</vt:i4>
      </vt:variant>
      <vt:variant>
        <vt:i4>92</vt:i4>
      </vt:variant>
      <vt:variant>
        <vt:i4>0</vt:i4>
      </vt:variant>
      <vt:variant>
        <vt:i4>5</vt:i4>
      </vt:variant>
      <vt:variant>
        <vt:lpwstr/>
      </vt:variant>
      <vt:variant>
        <vt:lpwstr>_Toc105776186</vt:lpwstr>
      </vt:variant>
      <vt:variant>
        <vt:i4>1966130</vt:i4>
      </vt:variant>
      <vt:variant>
        <vt:i4>86</vt:i4>
      </vt:variant>
      <vt:variant>
        <vt:i4>0</vt:i4>
      </vt:variant>
      <vt:variant>
        <vt:i4>5</vt:i4>
      </vt:variant>
      <vt:variant>
        <vt:lpwstr/>
      </vt:variant>
      <vt:variant>
        <vt:lpwstr>_Toc105776185</vt:lpwstr>
      </vt:variant>
      <vt:variant>
        <vt:i4>1966130</vt:i4>
      </vt:variant>
      <vt:variant>
        <vt:i4>80</vt:i4>
      </vt:variant>
      <vt:variant>
        <vt:i4>0</vt:i4>
      </vt:variant>
      <vt:variant>
        <vt:i4>5</vt:i4>
      </vt:variant>
      <vt:variant>
        <vt:lpwstr/>
      </vt:variant>
      <vt:variant>
        <vt:lpwstr>_Toc105776184</vt:lpwstr>
      </vt:variant>
      <vt:variant>
        <vt:i4>1966130</vt:i4>
      </vt:variant>
      <vt:variant>
        <vt:i4>74</vt:i4>
      </vt:variant>
      <vt:variant>
        <vt:i4>0</vt:i4>
      </vt:variant>
      <vt:variant>
        <vt:i4>5</vt:i4>
      </vt:variant>
      <vt:variant>
        <vt:lpwstr/>
      </vt:variant>
      <vt:variant>
        <vt:lpwstr>_Toc105776183</vt:lpwstr>
      </vt:variant>
      <vt:variant>
        <vt:i4>1966130</vt:i4>
      </vt:variant>
      <vt:variant>
        <vt:i4>68</vt:i4>
      </vt:variant>
      <vt:variant>
        <vt:i4>0</vt:i4>
      </vt:variant>
      <vt:variant>
        <vt:i4>5</vt:i4>
      </vt:variant>
      <vt:variant>
        <vt:lpwstr/>
      </vt:variant>
      <vt:variant>
        <vt:lpwstr>_Toc105776182</vt:lpwstr>
      </vt:variant>
      <vt:variant>
        <vt:i4>1966130</vt:i4>
      </vt:variant>
      <vt:variant>
        <vt:i4>62</vt:i4>
      </vt:variant>
      <vt:variant>
        <vt:i4>0</vt:i4>
      </vt:variant>
      <vt:variant>
        <vt:i4>5</vt:i4>
      </vt:variant>
      <vt:variant>
        <vt:lpwstr/>
      </vt:variant>
      <vt:variant>
        <vt:lpwstr>_Toc105776181</vt:lpwstr>
      </vt:variant>
      <vt:variant>
        <vt:i4>1966130</vt:i4>
      </vt:variant>
      <vt:variant>
        <vt:i4>56</vt:i4>
      </vt:variant>
      <vt:variant>
        <vt:i4>0</vt:i4>
      </vt:variant>
      <vt:variant>
        <vt:i4>5</vt:i4>
      </vt:variant>
      <vt:variant>
        <vt:lpwstr/>
      </vt:variant>
      <vt:variant>
        <vt:lpwstr>_Toc105776180</vt:lpwstr>
      </vt:variant>
      <vt:variant>
        <vt:i4>1114162</vt:i4>
      </vt:variant>
      <vt:variant>
        <vt:i4>50</vt:i4>
      </vt:variant>
      <vt:variant>
        <vt:i4>0</vt:i4>
      </vt:variant>
      <vt:variant>
        <vt:i4>5</vt:i4>
      </vt:variant>
      <vt:variant>
        <vt:lpwstr/>
      </vt:variant>
      <vt:variant>
        <vt:lpwstr>_Toc105776179</vt:lpwstr>
      </vt:variant>
      <vt:variant>
        <vt:i4>1114162</vt:i4>
      </vt:variant>
      <vt:variant>
        <vt:i4>44</vt:i4>
      </vt:variant>
      <vt:variant>
        <vt:i4>0</vt:i4>
      </vt:variant>
      <vt:variant>
        <vt:i4>5</vt:i4>
      </vt:variant>
      <vt:variant>
        <vt:lpwstr/>
      </vt:variant>
      <vt:variant>
        <vt:lpwstr>_Toc105776178</vt:lpwstr>
      </vt:variant>
      <vt:variant>
        <vt:i4>1114162</vt:i4>
      </vt:variant>
      <vt:variant>
        <vt:i4>38</vt:i4>
      </vt:variant>
      <vt:variant>
        <vt:i4>0</vt:i4>
      </vt:variant>
      <vt:variant>
        <vt:i4>5</vt:i4>
      </vt:variant>
      <vt:variant>
        <vt:lpwstr/>
      </vt:variant>
      <vt:variant>
        <vt:lpwstr>_Toc105776177</vt:lpwstr>
      </vt:variant>
      <vt:variant>
        <vt:i4>1114162</vt:i4>
      </vt:variant>
      <vt:variant>
        <vt:i4>32</vt:i4>
      </vt:variant>
      <vt:variant>
        <vt:i4>0</vt:i4>
      </vt:variant>
      <vt:variant>
        <vt:i4>5</vt:i4>
      </vt:variant>
      <vt:variant>
        <vt:lpwstr/>
      </vt:variant>
      <vt:variant>
        <vt:lpwstr>_Toc105776176</vt:lpwstr>
      </vt:variant>
      <vt:variant>
        <vt:i4>1114162</vt:i4>
      </vt:variant>
      <vt:variant>
        <vt:i4>26</vt:i4>
      </vt:variant>
      <vt:variant>
        <vt:i4>0</vt:i4>
      </vt:variant>
      <vt:variant>
        <vt:i4>5</vt:i4>
      </vt:variant>
      <vt:variant>
        <vt:lpwstr/>
      </vt:variant>
      <vt:variant>
        <vt:lpwstr>_Toc105776175</vt:lpwstr>
      </vt:variant>
      <vt:variant>
        <vt:i4>1114162</vt:i4>
      </vt:variant>
      <vt:variant>
        <vt:i4>20</vt:i4>
      </vt:variant>
      <vt:variant>
        <vt:i4>0</vt:i4>
      </vt:variant>
      <vt:variant>
        <vt:i4>5</vt:i4>
      </vt:variant>
      <vt:variant>
        <vt:lpwstr/>
      </vt:variant>
      <vt:variant>
        <vt:lpwstr>_Toc105776174</vt:lpwstr>
      </vt:variant>
      <vt:variant>
        <vt:i4>1114162</vt:i4>
      </vt:variant>
      <vt:variant>
        <vt:i4>14</vt:i4>
      </vt:variant>
      <vt:variant>
        <vt:i4>0</vt:i4>
      </vt:variant>
      <vt:variant>
        <vt:i4>5</vt:i4>
      </vt:variant>
      <vt:variant>
        <vt:lpwstr/>
      </vt:variant>
      <vt:variant>
        <vt:lpwstr>_Toc105776173</vt:lpwstr>
      </vt:variant>
      <vt:variant>
        <vt:i4>1114162</vt:i4>
      </vt:variant>
      <vt:variant>
        <vt:i4>8</vt:i4>
      </vt:variant>
      <vt:variant>
        <vt:i4>0</vt:i4>
      </vt:variant>
      <vt:variant>
        <vt:i4>5</vt:i4>
      </vt:variant>
      <vt:variant>
        <vt:lpwstr/>
      </vt:variant>
      <vt:variant>
        <vt:lpwstr>_Toc105776172</vt:lpwstr>
      </vt:variant>
      <vt:variant>
        <vt:i4>1114162</vt:i4>
      </vt:variant>
      <vt:variant>
        <vt:i4>2</vt:i4>
      </vt:variant>
      <vt:variant>
        <vt:i4>0</vt:i4>
      </vt:variant>
      <vt:variant>
        <vt:i4>5</vt:i4>
      </vt:variant>
      <vt:variant>
        <vt:lpwstr/>
      </vt:variant>
      <vt:variant>
        <vt:lpwstr>_Toc105776171</vt:lpwstr>
      </vt:variant>
      <vt:variant>
        <vt:i4>7733253</vt:i4>
      </vt:variant>
      <vt:variant>
        <vt:i4>9</vt:i4>
      </vt:variant>
      <vt:variant>
        <vt:i4>0</vt:i4>
      </vt:variant>
      <vt:variant>
        <vt:i4>5</vt:i4>
      </vt:variant>
      <vt:variant>
        <vt:lpwstr>mailto:shunderwood@deloitte.com.au</vt:lpwstr>
      </vt:variant>
      <vt:variant>
        <vt:lpwstr/>
      </vt:variant>
      <vt:variant>
        <vt:i4>3932246</vt:i4>
      </vt:variant>
      <vt:variant>
        <vt:i4>6</vt:i4>
      </vt:variant>
      <vt:variant>
        <vt:i4>0</vt:i4>
      </vt:variant>
      <vt:variant>
        <vt:i4>5</vt:i4>
      </vt:variant>
      <vt:variant>
        <vt:lpwstr>mailto:blodewijks@deloitte.com.au</vt:lpwstr>
      </vt:variant>
      <vt:variant>
        <vt:lpwstr/>
      </vt:variant>
      <vt:variant>
        <vt:i4>2293872</vt:i4>
      </vt:variant>
      <vt:variant>
        <vt:i4>3</vt:i4>
      </vt:variant>
      <vt:variant>
        <vt:i4>0</vt:i4>
      </vt:variant>
      <vt:variant>
        <vt:i4>5</vt:i4>
      </vt:variant>
      <vt:variant>
        <vt:lpwstr>https://theconversation.com/government-funding-will-be-tied-to-uni-performance-from-2020-what-does-this-mean-and-what-are-the-challenges-121694</vt:lpwstr>
      </vt:variant>
      <vt:variant>
        <vt:lpwstr/>
      </vt:variant>
      <vt:variant>
        <vt:i4>7733253</vt:i4>
      </vt:variant>
      <vt:variant>
        <vt:i4>0</vt:i4>
      </vt:variant>
      <vt:variant>
        <vt:i4>0</vt:i4>
      </vt:variant>
      <vt:variant>
        <vt:i4>5</vt:i4>
      </vt:variant>
      <vt:variant>
        <vt:lpwstr>mailto:shunderwood@deloitte.com.au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Transparency in higher education expenditure 2022 - Final Report</dc:title>
  <dc:subject/>
  <dc:creator/>
  <cp:keywords/>
  <dc:description/>
  <cp:lastModifiedBy/>
  <cp:revision>1</cp:revision>
  <dcterms:created xsi:type="dcterms:W3CDTF">2022-11-24T05:05:00Z</dcterms:created>
  <dcterms:modified xsi:type="dcterms:W3CDTF">2022-11-24T05:05:00Z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2022-11-24T05:05:13Z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e8bbd13f-9eb6-4d19-aa8d-6cf5400294be</vt:lpwstr>
  </property>
  <property fmtid="{D5CDD505-2E9C-101B-9397-08002B2CF9AE}" pid="8" name="MSIP_Label_79d889eb-932f-4752-8739-64d25806ef64_ContentBits">
    <vt:lpwstr>0</vt:lpwstr>
  </property>
</Properties>
</file>