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0270DA5D" w:rsidR="00067075" w:rsidRDefault="00E43CBE" w:rsidP="00225E73">
      <w:pPr>
        <w:pStyle w:val="Title"/>
        <w:spacing w:before="60"/>
      </w:pPr>
      <w:r>
        <w:rPr>
          <w:noProof/>
        </w:rPr>
        <w:drawing>
          <wp:inline distT="0" distB="0" distL="0" distR="0" wp14:anchorId="69D352FB" wp14:editId="376BF541">
            <wp:extent cx="2696400" cy="68760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696400" cy="687600"/>
                    </a:xfrm>
                    <a:prstGeom prst="rect">
                      <a:avLst/>
                    </a:prstGeom>
                  </pic:spPr>
                </pic:pic>
              </a:graphicData>
            </a:graphic>
          </wp:inline>
        </w:drawing>
      </w:r>
      <w:r>
        <w:rPr>
          <w:noProof/>
        </w:rPr>
        <w:drawing>
          <wp:anchor distT="0" distB="0" distL="114300" distR="114300" simplePos="0" relativeHeight="251660288" behindDoc="1" locked="0" layoutInCell="1" allowOverlap="1" wp14:anchorId="6B884876" wp14:editId="3377EC30">
            <wp:simplePos x="0" y="0"/>
            <wp:positionH relativeFrom="column">
              <wp:posOffset>-900430</wp:posOffset>
            </wp:positionH>
            <wp:positionV relativeFrom="page">
              <wp:posOffset>-215900</wp:posOffset>
            </wp:positionV>
            <wp:extent cx="10692000" cy="2275200"/>
            <wp:effectExtent l="0" t="0" r="0" b="0"/>
            <wp:wrapNone/>
            <wp:docPr id="2" name="Picture 2"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background pattern, rectangle&#10;&#10;Description automatically generated"/>
                    <pic:cNvPicPr/>
                  </pic:nvPicPr>
                  <pic:blipFill>
                    <a:blip r:embed="rId9"/>
                    <a:stretch>
                      <a:fillRect/>
                    </a:stretch>
                  </pic:blipFill>
                  <pic:spPr>
                    <a:xfrm>
                      <a:off x="0" y="0"/>
                      <a:ext cx="10692000" cy="2275200"/>
                    </a:xfrm>
                    <a:prstGeom prst="rect">
                      <a:avLst/>
                    </a:prstGeom>
                  </pic:spPr>
                </pic:pic>
              </a:graphicData>
            </a:graphic>
            <wp14:sizeRelH relativeFrom="page">
              <wp14:pctWidth>0</wp14:pctWidth>
            </wp14:sizeRelH>
            <wp14:sizeRelV relativeFrom="page">
              <wp14:pctHeight>0</wp14:pctHeight>
            </wp14:sizeRelV>
          </wp:anchor>
        </w:drawing>
      </w:r>
    </w:p>
    <w:p w14:paraId="264A290D" w14:textId="77777777" w:rsidR="007B5FF1" w:rsidRDefault="007B5FF1" w:rsidP="007B5FF1">
      <w:pPr>
        <w:pStyle w:val="Title"/>
        <w:spacing w:before="100" w:beforeAutospacing="1"/>
      </w:pPr>
    </w:p>
    <w:p w14:paraId="30FC1237" w14:textId="3D9F609D" w:rsidR="006D154E" w:rsidRPr="007B5FF1" w:rsidRDefault="00A34498" w:rsidP="007B5FF1">
      <w:pPr>
        <w:pStyle w:val="Title"/>
        <w:spacing w:before="600"/>
        <w:rPr>
          <w:sz w:val="56"/>
        </w:rPr>
      </w:pPr>
      <w:r w:rsidRPr="007B5FF1">
        <w:rPr>
          <w:sz w:val="56"/>
        </w:rPr>
        <w:t>Schools Upgrade Fund</w:t>
      </w:r>
      <w:r w:rsidR="00FA34BB" w:rsidRPr="007B5FF1">
        <w:rPr>
          <w:sz w:val="56"/>
        </w:rPr>
        <w:t xml:space="preserve"> – Open Round</w:t>
      </w:r>
    </w:p>
    <w:p w14:paraId="4C034E55" w14:textId="4D48332D" w:rsidR="00A34498" w:rsidRPr="00A34498" w:rsidRDefault="00A34498" w:rsidP="002A44FA">
      <w:pPr>
        <w:spacing w:before="160" w:after="160" w:line="240" w:lineRule="auto"/>
      </w:pPr>
      <w:r>
        <w:t>The Schools Upgrade Fund</w:t>
      </w:r>
      <w:r w:rsidR="00FA34BB">
        <w:t xml:space="preserve"> Open Round </w:t>
      </w:r>
      <w:r>
        <w:t>supports the Australian Government’s commitment to more equitable access to education</w:t>
      </w:r>
      <w:r w:rsidR="004A0D81">
        <w:t>. It</w:t>
      </w:r>
      <w:r w:rsidR="00AE40D7" w:rsidRPr="00E23C5A">
        <w:t xml:space="preserve"> will provide </w:t>
      </w:r>
      <w:r w:rsidR="00AE40D7">
        <w:t>$</w:t>
      </w:r>
      <w:r w:rsidR="00FA34BB">
        <w:t>32</w:t>
      </w:r>
      <w:r w:rsidR="007B5FF1">
        <w:t> </w:t>
      </w:r>
      <w:r w:rsidR="00AE40D7">
        <w:t xml:space="preserve">million </w:t>
      </w:r>
      <w:r w:rsidR="007B5FF1">
        <w:t>in</w:t>
      </w:r>
      <w:r w:rsidR="00FA34BB">
        <w:t xml:space="preserve"> the 2023</w:t>
      </w:r>
      <w:r w:rsidR="00AE40D7">
        <w:t xml:space="preserve"> </w:t>
      </w:r>
      <w:r w:rsidR="00FA34BB">
        <w:t xml:space="preserve">school year </w:t>
      </w:r>
      <w:r w:rsidR="00AE40D7">
        <w:t>to upgrade school infrastructure</w:t>
      </w:r>
      <w:r w:rsidR="0075287D">
        <w:t>, helping schools</w:t>
      </w:r>
      <w:r w:rsidR="009D702E">
        <w:t xml:space="preserve"> and their students</w:t>
      </w:r>
      <w:r w:rsidR="0075287D">
        <w:t xml:space="preserve"> get back on track after disruptions caused by</w:t>
      </w:r>
      <w:r w:rsidR="002A44FA">
        <w:t xml:space="preserve"> </w:t>
      </w:r>
      <w:r w:rsidR="0075287D">
        <w:t>COVID-19.</w:t>
      </w:r>
    </w:p>
    <w:p w14:paraId="728E0E94" w14:textId="2AC9287A" w:rsidR="002B1CE5" w:rsidRPr="00900F7F" w:rsidRDefault="00A34498" w:rsidP="002A44FA">
      <w:pPr>
        <w:pStyle w:val="Heading1"/>
        <w:spacing w:before="160" w:after="160" w:line="240" w:lineRule="auto"/>
      </w:pPr>
      <w:r>
        <w:t xml:space="preserve">What does the </w:t>
      </w:r>
      <w:r w:rsidR="00FA34BB">
        <w:t>Open Round</w:t>
      </w:r>
      <w:r>
        <w:t xml:space="preserve"> cover?</w:t>
      </w:r>
    </w:p>
    <w:p w14:paraId="3A43C760" w14:textId="72981C91" w:rsidR="001C4798" w:rsidRDefault="00FA34BB" w:rsidP="002A44FA">
      <w:pPr>
        <w:spacing w:before="160" w:after="160" w:line="240" w:lineRule="auto"/>
      </w:pPr>
      <w:r>
        <w:t xml:space="preserve">Schools can apply for </w:t>
      </w:r>
      <w:r w:rsidR="002B5A4A">
        <w:t xml:space="preserve">small </w:t>
      </w:r>
      <w:r w:rsidR="007B5FF1">
        <w:t xml:space="preserve">grants of up </w:t>
      </w:r>
      <w:r>
        <w:t xml:space="preserve">to $25,000 </w:t>
      </w:r>
      <w:r w:rsidR="007B5FF1">
        <w:t>to support</w:t>
      </w:r>
      <w:r>
        <w:t xml:space="preserve"> </w:t>
      </w:r>
      <w:r w:rsidR="002B5A4A">
        <w:t>much needed</w:t>
      </w:r>
      <w:r>
        <w:t xml:space="preserve"> improvements to education facilities. This may</w:t>
      </w:r>
      <w:r w:rsidRPr="007115FC">
        <w:t xml:space="preserve"> </w:t>
      </w:r>
      <w:r>
        <w:t xml:space="preserve">include purchasing air purifiers or air conditioning, </w:t>
      </w:r>
      <w:proofErr w:type="gramStart"/>
      <w:r w:rsidRPr="007115FC">
        <w:t>building</w:t>
      </w:r>
      <w:proofErr w:type="gramEnd"/>
      <w:r>
        <w:t xml:space="preserve"> or maintaining</w:t>
      </w:r>
      <w:r w:rsidRPr="007115FC">
        <w:t xml:space="preserve"> outdoor learning spaces, </w:t>
      </w:r>
      <w:r>
        <w:t>purchasing ICT equipment</w:t>
      </w:r>
      <w:r w:rsidR="009B129F">
        <w:t xml:space="preserve"> (including laptops and tablets)</w:t>
      </w:r>
      <w:r>
        <w:t xml:space="preserve">, or </w:t>
      </w:r>
      <w:r w:rsidR="001C4798">
        <w:t>repairing and maintaining school facilities</w:t>
      </w:r>
      <w:r w:rsidR="00690E18">
        <w:t>.</w:t>
      </w:r>
    </w:p>
    <w:p w14:paraId="0AC28E19" w14:textId="6512C538" w:rsidR="00A34498" w:rsidRDefault="00220808" w:rsidP="002A44FA">
      <w:pPr>
        <w:pStyle w:val="Heading1"/>
        <w:spacing w:before="160" w:after="160" w:line="240" w:lineRule="auto"/>
      </w:pPr>
      <w:r>
        <w:t>Who is</w:t>
      </w:r>
      <w:r w:rsidR="00A34498">
        <w:t xml:space="preserve"> eligible to apply</w:t>
      </w:r>
      <w:r w:rsidR="00AE40D7">
        <w:t xml:space="preserve"> for the Open Round</w:t>
      </w:r>
      <w:r w:rsidR="00A34498">
        <w:t>?</w:t>
      </w:r>
    </w:p>
    <w:p w14:paraId="77ECC88A" w14:textId="0C577C1D" w:rsidR="002542B3" w:rsidRDefault="00AE40D7" w:rsidP="002A44FA">
      <w:pPr>
        <w:spacing w:before="160" w:after="160" w:line="240" w:lineRule="auto"/>
      </w:pPr>
      <w:r>
        <w:t xml:space="preserve">Any </w:t>
      </w:r>
      <w:r w:rsidR="00220808">
        <w:t>government or non-government</w:t>
      </w:r>
      <w:r>
        <w:t xml:space="preserve"> school </w:t>
      </w:r>
      <w:r w:rsidR="00714CEB">
        <w:t>may</w:t>
      </w:r>
      <w:r>
        <w:t xml:space="preserve"> apply for funding under the Open Round</w:t>
      </w:r>
      <w:r w:rsidR="003135E7">
        <w:t xml:space="preserve"> </w:t>
      </w:r>
      <w:r>
        <w:t xml:space="preserve">if it </w:t>
      </w:r>
      <w:r w:rsidR="00714CEB">
        <w:t>attracted</w:t>
      </w:r>
      <w:r>
        <w:t xml:space="preserve"> Commonwealth recurrent funding</w:t>
      </w:r>
      <w:r w:rsidR="002F537B" w:rsidRPr="002F537B">
        <w:rPr>
          <w:rStyle w:val="FootnoteReference"/>
        </w:rPr>
        <w:footnoteReference w:id="1"/>
      </w:r>
      <w:r>
        <w:t xml:space="preserve"> for 2022 under the </w:t>
      </w:r>
      <w:r w:rsidRPr="004A0D81">
        <w:rPr>
          <w:i/>
          <w:iCs/>
        </w:rPr>
        <w:t>Australian Education Act 2013</w:t>
      </w:r>
      <w:r w:rsidR="002F537B">
        <w:rPr>
          <w:i/>
          <w:iCs/>
        </w:rPr>
        <w:t xml:space="preserve"> </w:t>
      </w:r>
      <w:r>
        <w:t xml:space="preserve">and anticipates </w:t>
      </w:r>
      <w:r w:rsidR="002542B3">
        <w:t>continued operation in 2023</w:t>
      </w:r>
      <w:r>
        <w:t>.</w:t>
      </w:r>
      <w:r w:rsidR="002542B3">
        <w:t xml:space="preserve"> </w:t>
      </w:r>
    </w:p>
    <w:p w14:paraId="1B95F9BF" w14:textId="6F480CFA" w:rsidR="00A34498" w:rsidRDefault="00714CEB" w:rsidP="002A44FA">
      <w:pPr>
        <w:spacing w:before="160" w:after="160" w:line="240" w:lineRule="auto"/>
      </w:pPr>
      <w:r>
        <w:t xml:space="preserve">Each </w:t>
      </w:r>
      <w:r w:rsidR="002542B3">
        <w:t xml:space="preserve">school must </w:t>
      </w:r>
      <w:r w:rsidR="00220808">
        <w:t xml:space="preserve">also </w:t>
      </w:r>
      <w:r w:rsidR="002542B3">
        <w:t>have at least one enrolled student at the time of application submission</w:t>
      </w:r>
      <w:r>
        <w:t>,</w:t>
      </w:r>
      <w:r w:rsidR="002542B3">
        <w:t xml:space="preserve"> and the school</w:t>
      </w:r>
      <w:r>
        <w:t>’s governing authority</w:t>
      </w:r>
      <w:r>
        <w:rPr>
          <w:rStyle w:val="FootnoteReference"/>
        </w:rPr>
        <w:footnoteReference w:id="2"/>
      </w:r>
      <w:r w:rsidR="002542B3">
        <w:t xml:space="preserve"> must endorse the application.</w:t>
      </w:r>
    </w:p>
    <w:p w14:paraId="3A26D6FF" w14:textId="6881C8C3" w:rsidR="001C4798" w:rsidRDefault="001C4798" w:rsidP="002A44FA">
      <w:pPr>
        <w:spacing w:before="160" w:after="160" w:line="240" w:lineRule="auto"/>
      </w:pPr>
      <w:r>
        <w:t>Schools with the greatest need will be prioritised.</w:t>
      </w:r>
    </w:p>
    <w:p w14:paraId="47E34491" w14:textId="4B1690A8" w:rsidR="00A34498" w:rsidRDefault="00A34498" w:rsidP="002A44FA">
      <w:pPr>
        <w:pStyle w:val="Heading1"/>
        <w:spacing w:before="160" w:after="160" w:line="240" w:lineRule="auto"/>
      </w:pPr>
      <w:r>
        <w:t>What projects are eligible</w:t>
      </w:r>
      <w:r w:rsidR="00AE40D7">
        <w:t xml:space="preserve"> to receive funding under the Open Round</w:t>
      </w:r>
      <w:r>
        <w:t>?</w:t>
      </w:r>
    </w:p>
    <w:tbl>
      <w:tblPr>
        <w:tblW w:w="0" w:type="auto"/>
        <w:tblInd w:w="-10" w:type="dxa"/>
        <w:tblCellMar>
          <w:left w:w="0" w:type="dxa"/>
          <w:right w:w="0" w:type="dxa"/>
        </w:tblCellMar>
        <w:tblLook w:val="04A0" w:firstRow="1" w:lastRow="0" w:firstColumn="1" w:lastColumn="0" w:noHBand="0" w:noVBand="1"/>
      </w:tblPr>
      <w:tblGrid>
        <w:gridCol w:w="6443"/>
        <w:gridCol w:w="7551"/>
      </w:tblGrid>
      <w:tr w:rsidR="00B831F5" w14:paraId="250AD743" w14:textId="77777777" w:rsidTr="00932CD3">
        <w:trPr>
          <w:trHeight w:val="81"/>
        </w:trPr>
        <w:tc>
          <w:tcPr>
            <w:tcW w:w="0" w:type="auto"/>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8D894F5" w14:textId="2B37DB99" w:rsidR="00B831F5" w:rsidRDefault="009B129F" w:rsidP="002A44FA">
            <w:pPr>
              <w:pStyle w:val="GSLBodyText"/>
              <w:spacing w:before="120" w:after="120" w:line="240" w:lineRule="auto"/>
              <w:rPr>
                <w:rFonts w:ascii="Calibri" w:eastAsiaTheme="minorHAnsi" w:hAnsi="Calibri" w:cs="Calibri"/>
                <w:b/>
                <w:bCs/>
                <w:sz w:val="22"/>
                <w:szCs w:val="22"/>
                <w:lang w:eastAsia="en-US"/>
              </w:rPr>
            </w:pPr>
            <w:r>
              <w:rPr>
                <w:rFonts w:ascii="Calibri" w:hAnsi="Calibri" w:cs="Calibri"/>
                <w:b/>
                <w:bCs/>
                <w:sz w:val="22"/>
                <w:szCs w:val="22"/>
                <w:lang w:eastAsia="en-US"/>
              </w:rPr>
              <w:t>Project Category</w:t>
            </w:r>
          </w:p>
        </w:tc>
        <w:tc>
          <w:tcPr>
            <w:tcW w:w="0" w:type="auto"/>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7D72DF4" w14:textId="77777777" w:rsidR="00B831F5" w:rsidRDefault="00B831F5" w:rsidP="002A44FA">
            <w:pPr>
              <w:pStyle w:val="GSLBodyText"/>
              <w:spacing w:before="120" w:after="120" w:line="240" w:lineRule="auto"/>
              <w:ind w:left="0" w:firstLine="0"/>
              <w:rPr>
                <w:rFonts w:ascii="Calibri" w:hAnsi="Calibri" w:cs="Calibri"/>
                <w:b/>
                <w:bCs/>
                <w:sz w:val="22"/>
                <w:szCs w:val="22"/>
                <w:lang w:eastAsia="en-US"/>
              </w:rPr>
            </w:pPr>
            <w:r>
              <w:rPr>
                <w:rFonts w:ascii="Calibri" w:hAnsi="Calibri" w:cs="Calibri"/>
                <w:b/>
                <w:bCs/>
                <w:sz w:val="22"/>
                <w:szCs w:val="22"/>
                <w:lang w:eastAsia="en-US"/>
              </w:rPr>
              <w:t>Eligible Projects</w:t>
            </w:r>
          </w:p>
        </w:tc>
      </w:tr>
      <w:tr w:rsidR="00B831F5" w14:paraId="51F0412D" w14:textId="77777777" w:rsidTr="00932CD3">
        <w:trPr>
          <w:trHeight w:val="3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0F537" w14:textId="77777777" w:rsidR="00B831F5" w:rsidRDefault="00B831F5" w:rsidP="002A44FA">
            <w:pPr>
              <w:pStyle w:val="GSLBodyText"/>
              <w:numPr>
                <w:ilvl w:val="0"/>
                <w:numId w:val="17"/>
              </w:numPr>
              <w:spacing w:before="120" w:after="120" w:line="240" w:lineRule="auto"/>
              <w:ind w:left="309"/>
              <w:rPr>
                <w:rFonts w:ascii="Calibri" w:hAnsi="Calibri" w:cs="Calibri"/>
                <w:sz w:val="22"/>
                <w:szCs w:val="22"/>
                <w:lang w:eastAsia="en-US"/>
              </w:rPr>
            </w:pPr>
            <w:r>
              <w:rPr>
                <w:rFonts w:ascii="Calibri" w:hAnsi="Calibri" w:cs="Calibri"/>
                <w:sz w:val="22"/>
                <w:szCs w:val="22"/>
                <w:lang w:eastAsia="en-US"/>
              </w:rPr>
              <w:t xml:space="preserve">Improving air quality to support healthier learning environments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FC0A95"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purchasing and installing air purifiers</w:t>
            </w:r>
          </w:p>
          <w:p w14:paraId="412EDA88"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purchasing and installing air-conditioning</w:t>
            </w:r>
          </w:p>
          <w:p w14:paraId="3D827C88"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upgrading ventilation in school facilities</w:t>
            </w:r>
          </w:p>
        </w:tc>
      </w:tr>
      <w:tr w:rsidR="00B831F5" w14:paraId="309702E9" w14:textId="77777777" w:rsidTr="00932CD3">
        <w:trPr>
          <w:trHeight w:val="41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1380A" w14:textId="77777777" w:rsidR="00B831F5" w:rsidRDefault="00B831F5" w:rsidP="002A44FA">
            <w:pPr>
              <w:pStyle w:val="GSLBodyText"/>
              <w:numPr>
                <w:ilvl w:val="0"/>
                <w:numId w:val="17"/>
              </w:numPr>
              <w:spacing w:before="120" w:after="120" w:line="240" w:lineRule="auto"/>
              <w:ind w:left="309"/>
              <w:rPr>
                <w:rFonts w:ascii="Calibri" w:hAnsi="Calibri" w:cs="Calibri"/>
                <w:sz w:val="22"/>
                <w:szCs w:val="22"/>
                <w:lang w:eastAsia="en-US"/>
              </w:rPr>
            </w:pPr>
            <w:r>
              <w:rPr>
                <w:rFonts w:ascii="Calibri" w:hAnsi="Calibri" w:cs="Calibri"/>
                <w:sz w:val="22"/>
                <w:szCs w:val="22"/>
                <w:lang w:eastAsia="en-US"/>
              </w:rPr>
              <w:t>Improving student outcomes through outdoor learning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CF7F33"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building new outdoor learning spaces</w:t>
            </w:r>
          </w:p>
          <w:p w14:paraId="494F7768"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upgrading or improving existing outdoor learning spaces</w:t>
            </w:r>
          </w:p>
          <w:p w14:paraId="08A4AD3F"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installing and/or upgrading shade structures</w:t>
            </w:r>
          </w:p>
        </w:tc>
      </w:tr>
      <w:tr w:rsidR="00B831F5" w14:paraId="0827D3EF" w14:textId="77777777" w:rsidTr="00932CD3">
        <w:trPr>
          <w:trHeight w:val="41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760E3" w14:textId="77777777" w:rsidR="00B831F5" w:rsidRDefault="00B831F5" w:rsidP="002A44FA">
            <w:pPr>
              <w:pStyle w:val="GSLBodyText"/>
              <w:numPr>
                <w:ilvl w:val="0"/>
                <w:numId w:val="17"/>
              </w:numPr>
              <w:spacing w:before="120" w:after="120" w:line="240" w:lineRule="auto"/>
              <w:ind w:left="309"/>
              <w:rPr>
                <w:rFonts w:ascii="Calibri" w:hAnsi="Calibri" w:cs="Calibri"/>
                <w:sz w:val="22"/>
                <w:szCs w:val="22"/>
                <w:lang w:eastAsia="en-US"/>
              </w:rPr>
            </w:pPr>
            <w:r>
              <w:rPr>
                <w:rFonts w:ascii="Calibri" w:hAnsi="Calibri" w:cs="Calibri"/>
                <w:sz w:val="22"/>
                <w:szCs w:val="22"/>
                <w:lang w:eastAsia="en-US"/>
              </w:rPr>
              <w:t>Supporting equitable access to flexible learning for students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2CBFCE"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 xml:space="preserve">purchasing and / or upgrading ICT equipment (including laptops and tablets) </w:t>
            </w:r>
          </w:p>
          <w:p w14:paraId="62C7056B"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provision of flexible learning arrangements for students</w:t>
            </w:r>
          </w:p>
        </w:tc>
      </w:tr>
      <w:tr w:rsidR="00B831F5" w14:paraId="77D5C827" w14:textId="77777777" w:rsidTr="00932CD3">
        <w:trPr>
          <w:trHeight w:val="41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A272D" w14:textId="77777777" w:rsidR="00B831F5" w:rsidRDefault="00B831F5" w:rsidP="002A44FA">
            <w:pPr>
              <w:pStyle w:val="GSLBodyText"/>
              <w:numPr>
                <w:ilvl w:val="0"/>
                <w:numId w:val="17"/>
              </w:numPr>
              <w:spacing w:before="120" w:after="120" w:line="240" w:lineRule="auto"/>
              <w:ind w:left="309"/>
              <w:rPr>
                <w:rFonts w:ascii="Calibri" w:hAnsi="Calibri" w:cs="Calibri"/>
                <w:sz w:val="22"/>
                <w:szCs w:val="22"/>
                <w:lang w:eastAsia="en-US"/>
              </w:rPr>
            </w:pPr>
            <w:r>
              <w:rPr>
                <w:rFonts w:ascii="Calibri" w:hAnsi="Calibri" w:cs="Calibri"/>
                <w:sz w:val="22"/>
                <w:szCs w:val="22"/>
                <w:lang w:eastAsia="en-US"/>
              </w:rPr>
              <w:t xml:space="preserve">Providing a safe learning environment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BDE1C1"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fixing doors or windows where this aids in airflow</w:t>
            </w:r>
          </w:p>
          <w:p w14:paraId="348AA56C"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repairs or maintenance to school facilities</w:t>
            </w:r>
          </w:p>
          <w:p w14:paraId="45F8E0D3" w14:textId="77777777" w:rsidR="00B831F5" w:rsidRDefault="00B831F5" w:rsidP="002A44FA">
            <w:pPr>
              <w:pStyle w:val="GSLBodyText"/>
              <w:numPr>
                <w:ilvl w:val="1"/>
                <w:numId w:val="17"/>
              </w:numPr>
              <w:spacing w:before="120" w:after="120" w:line="240" w:lineRule="auto"/>
              <w:ind w:left="356"/>
              <w:rPr>
                <w:rFonts w:ascii="Calibri" w:hAnsi="Calibri" w:cs="Calibri"/>
                <w:sz w:val="22"/>
                <w:szCs w:val="22"/>
                <w:lang w:eastAsia="en-US"/>
              </w:rPr>
            </w:pPr>
            <w:r>
              <w:rPr>
                <w:rFonts w:ascii="Calibri" w:hAnsi="Calibri" w:cs="Calibri"/>
                <w:sz w:val="22"/>
                <w:szCs w:val="22"/>
                <w:lang w:eastAsia="en-US"/>
              </w:rPr>
              <w:t>refurbishing classrooms</w:t>
            </w:r>
          </w:p>
        </w:tc>
      </w:tr>
    </w:tbl>
    <w:p w14:paraId="3814470C" w14:textId="170EB359" w:rsidR="00A34498" w:rsidRPr="00A34498" w:rsidRDefault="00A34498" w:rsidP="002A44FA">
      <w:pPr>
        <w:pStyle w:val="Heading1"/>
        <w:spacing w:before="160" w:after="160" w:line="240" w:lineRule="auto"/>
      </w:pPr>
      <w:r>
        <w:t xml:space="preserve">How do </w:t>
      </w:r>
      <w:r w:rsidR="009B129F">
        <w:t>schools</w:t>
      </w:r>
      <w:r>
        <w:t xml:space="preserve"> apply?</w:t>
      </w:r>
    </w:p>
    <w:p w14:paraId="60EEBDB4" w14:textId="77777777" w:rsidR="009C2995" w:rsidRDefault="003135E7" w:rsidP="002A44FA">
      <w:pPr>
        <w:spacing w:before="160" w:after="160" w:line="240" w:lineRule="auto"/>
      </w:pPr>
      <w:r>
        <w:t>Schools must apply online</w:t>
      </w:r>
      <w:r w:rsidR="00DE1500">
        <w:t xml:space="preserve"> </w:t>
      </w:r>
      <w:r w:rsidR="0096252A">
        <w:t xml:space="preserve">at </w:t>
      </w:r>
      <w:hyperlink r:id="rId10" w:history="1">
        <w:r w:rsidR="0096252A" w:rsidRPr="00A00170">
          <w:rPr>
            <w:rStyle w:val="Hyperlink"/>
          </w:rPr>
          <w:t>https://www.education.gov.au/schools-upgrade-fund</w:t>
        </w:r>
      </w:hyperlink>
      <w:r w:rsidR="0096252A">
        <w:t>.</w:t>
      </w:r>
      <w:r w:rsidR="009B129F">
        <w:t xml:space="preserve"> </w:t>
      </w:r>
    </w:p>
    <w:p w14:paraId="79D0E96F" w14:textId="73495FD7" w:rsidR="00DE1500" w:rsidRPr="009B129F" w:rsidRDefault="00DE1500" w:rsidP="002A44FA">
      <w:pPr>
        <w:spacing w:before="160" w:after="160" w:line="240" w:lineRule="auto"/>
      </w:pPr>
      <w:r w:rsidRPr="009B129F">
        <w:rPr>
          <w:b/>
          <w:bCs/>
        </w:rPr>
        <w:t xml:space="preserve">Online applications open Monday </w:t>
      </w:r>
      <w:r w:rsidR="00051F91" w:rsidRPr="009B129F">
        <w:rPr>
          <w:b/>
          <w:bCs/>
        </w:rPr>
        <w:t>2</w:t>
      </w:r>
      <w:r w:rsidR="00A03BE8" w:rsidRPr="009B129F">
        <w:rPr>
          <w:b/>
          <w:bCs/>
        </w:rPr>
        <w:t>8</w:t>
      </w:r>
      <w:r w:rsidR="00051F91" w:rsidRPr="009B129F">
        <w:rPr>
          <w:b/>
          <w:bCs/>
        </w:rPr>
        <w:t xml:space="preserve"> </w:t>
      </w:r>
      <w:r w:rsidRPr="009B129F">
        <w:rPr>
          <w:b/>
          <w:bCs/>
        </w:rPr>
        <w:t xml:space="preserve">November 2022 and close </w:t>
      </w:r>
      <w:r w:rsidR="00A03BE8" w:rsidRPr="009B129F">
        <w:rPr>
          <w:b/>
          <w:bCs/>
        </w:rPr>
        <w:t>at 11.59pm</w:t>
      </w:r>
      <w:r w:rsidR="00F62F37" w:rsidRPr="009B129F">
        <w:rPr>
          <w:b/>
          <w:bCs/>
        </w:rPr>
        <w:t xml:space="preserve"> AEDT</w:t>
      </w:r>
      <w:r w:rsidR="00A03BE8" w:rsidRPr="009B129F">
        <w:rPr>
          <w:b/>
          <w:bCs/>
        </w:rPr>
        <w:t xml:space="preserve"> on </w:t>
      </w:r>
      <w:r w:rsidRPr="009B129F">
        <w:rPr>
          <w:b/>
          <w:bCs/>
        </w:rPr>
        <w:t xml:space="preserve">Friday 24 February 2023. </w:t>
      </w:r>
    </w:p>
    <w:p w14:paraId="0803BB49" w14:textId="17A64469" w:rsidR="00A34498" w:rsidRDefault="00A34498" w:rsidP="002A44FA">
      <w:pPr>
        <w:pStyle w:val="Heading1"/>
        <w:spacing w:before="160" w:after="160" w:line="240" w:lineRule="auto"/>
      </w:pPr>
      <w:r>
        <w:t xml:space="preserve">When will </w:t>
      </w:r>
      <w:r w:rsidR="009B129F">
        <w:t>schools</w:t>
      </w:r>
      <w:r>
        <w:t xml:space="preserve"> be notified if </w:t>
      </w:r>
      <w:r w:rsidR="009B129F">
        <w:t>their</w:t>
      </w:r>
      <w:r>
        <w:t xml:space="preserve"> application is successful?</w:t>
      </w:r>
    </w:p>
    <w:p w14:paraId="67425F04" w14:textId="5584E8AA" w:rsidR="00A34498" w:rsidRDefault="00DE1500" w:rsidP="002A44FA">
      <w:pPr>
        <w:spacing w:before="160" w:after="160" w:line="240" w:lineRule="auto"/>
      </w:pPr>
      <w:r>
        <w:t>Successful schools will be notified in May 2023, with funding to be provided in June 2023.</w:t>
      </w:r>
    </w:p>
    <w:p w14:paraId="1C150D43" w14:textId="734864DB" w:rsidR="009B129F" w:rsidRDefault="009B129F" w:rsidP="002A44FA">
      <w:pPr>
        <w:pStyle w:val="Heading1"/>
        <w:spacing w:before="160" w:after="160" w:line="240" w:lineRule="auto"/>
      </w:pPr>
      <w:r w:rsidRPr="009B129F">
        <w:t>What are the other components of the Schools Upgrade Fund?</w:t>
      </w:r>
    </w:p>
    <w:p w14:paraId="50BEFC52" w14:textId="45A87086" w:rsidR="009B129F" w:rsidRPr="009B129F" w:rsidRDefault="009B129F" w:rsidP="002A44FA">
      <w:pPr>
        <w:pStyle w:val="GSLBodyText"/>
        <w:spacing w:before="160" w:after="160" w:line="240" w:lineRule="auto"/>
        <w:ind w:left="0" w:firstLine="0"/>
        <w:rPr>
          <w:rFonts w:asciiTheme="minorHAnsi" w:eastAsiaTheme="minorHAnsi" w:hAnsiTheme="minorHAnsi" w:cstheme="minorHAnsi"/>
          <w:sz w:val="22"/>
          <w:szCs w:val="22"/>
          <w:lang w:eastAsia="en-US"/>
        </w:rPr>
      </w:pPr>
      <w:r w:rsidRPr="009B129F">
        <w:rPr>
          <w:rFonts w:asciiTheme="minorHAnsi" w:hAnsiTheme="minorHAnsi" w:cstheme="minorHAnsi"/>
          <w:sz w:val="22"/>
          <w:szCs w:val="22"/>
        </w:rPr>
        <w:t>The Schools Upgrade Fund also includes an $</w:t>
      </w:r>
      <w:r w:rsidR="001872EF">
        <w:rPr>
          <w:rFonts w:asciiTheme="minorHAnsi" w:hAnsiTheme="minorHAnsi" w:cstheme="minorHAnsi"/>
          <w:sz w:val="22"/>
          <w:szCs w:val="22"/>
        </w:rPr>
        <w:t>21.6</w:t>
      </w:r>
      <w:r w:rsidRPr="009B129F">
        <w:rPr>
          <w:rFonts w:asciiTheme="minorHAnsi" w:hAnsiTheme="minorHAnsi" w:cstheme="minorHAnsi"/>
          <w:sz w:val="22"/>
          <w:szCs w:val="22"/>
        </w:rPr>
        <w:t xml:space="preserve"> million Targeted Round, </w:t>
      </w:r>
      <w:r w:rsidRPr="009B129F">
        <w:rPr>
          <w:rFonts w:asciiTheme="minorHAnsi" w:eastAsiaTheme="minorHAnsi" w:hAnsiTheme="minorHAnsi" w:cstheme="minorHAnsi"/>
          <w:sz w:val="22"/>
          <w:szCs w:val="22"/>
          <w:lang w:eastAsia="en-US"/>
        </w:rPr>
        <w:t>providing</w:t>
      </w:r>
      <w:r w:rsidR="00BC1D92">
        <w:rPr>
          <w:rFonts w:asciiTheme="minorHAnsi" w:eastAsiaTheme="minorHAnsi" w:hAnsiTheme="minorHAnsi" w:cstheme="minorHAnsi"/>
          <w:sz w:val="22"/>
          <w:szCs w:val="22"/>
          <w:lang w:eastAsia="en-US"/>
        </w:rPr>
        <w:t xml:space="preserve"> funding</w:t>
      </w:r>
      <w:r w:rsidRPr="009B129F">
        <w:rPr>
          <w:rFonts w:asciiTheme="minorHAnsi" w:eastAsiaTheme="minorHAnsi" w:hAnsiTheme="minorHAnsi" w:cstheme="minorHAnsi"/>
          <w:sz w:val="22"/>
          <w:szCs w:val="22"/>
          <w:lang w:eastAsia="en-US"/>
        </w:rPr>
        <w:t xml:space="preserve"> for</w:t>
      </w:r>
      <w:r w:rsidR="00657622">
        <w:rPr>
          <w:rFonts w:asciiTheme="minorHAnsi" w:eastAsiaTheme="minorHAnsi" w:hAnsiTheme="minorHAnsi" w:cstheme="minorHAnsi"/>
          <w:sz w:val="22"/>
          <w:szCs w:val="22"/>
          <w:lang w:eastAsia="en-US"/>
        </w:rPr>
        <w:t xml:space="preserve"> </w:t>
      </w:r>
      <w:r w:rsidR="007B5FF1">
        <w:rPr>
          <w:rFonts w:asciiTheme="minorHAnsi" w:eastAsiaTheme="minorHAnsi" w:hAnsiTheme="minorHAnsi" w:cstheme="minorHAnsi"/>
          <w:sz w:val="22"/>
          <w:szCs w:val="22"/>
          <w:lang w:eastAsia="en-US"/>
        </w:rPr>
        <w:t xml:space="preserve">targeted </w:t>
      </w:r>
      <w:r w:rsidRPr="009B129F">
        <w:rPr>
          <w:rFonts w:asciiTheme="minorHAnsi" w:eastAsiaTheme="minorHAnsi" w:hAnsiTheme="minorHAnsi" w:cstheme="minorHAnsi"/>
          <w:sz w:val="22"/>
          <w:szCs w:val="22"/>
          <w:lang w:eastAsia="en-US"/>
        </w:rPr>
        <w:t>capital projects announced as part of the Government’s 2022 election commitments.</w:t>
      </w:r>
    </w:p>
    <w:p w14:paraId="2923E934" w14:textId="719A977B" w:rsidR="009B129F" w:rsidRPr="009B129F" w:rsidRDefault="009B129F" w:rsidP="002A44FA">
      <w:pPr>
        <w:spacing w:before="160" w:after="160" w:line="240" w:lineRule="auto"/>
        <w:rPr>
          <w:rFonts w:cstheme="minorHAnsi"/>
        </w:rPr>
      </w:pPr>
      <w:r w:rsidRPr="009B129F">
        <w:rPr>
          <w:rFonts w:cstheme="minorHAnsi"/>
        </w:rPr>
        <w:t>A further $215</w:t>
      </w:r>
      <w:r w:rsidR="001872EF">
        <w:rPr>
          <w:rFonts w:cstheme="minorHAnsi"/>
        </w:rPr>
        <w:t>.8</w:t>
      </w:r>
      <w:r w:rsidRPr="009B129F">
        <w:rPr>
          <w:rFonts w:cstheme="minorHAnsi"/>
        </w:rPr>
        <w:t xml:space="preserve"> million will be provided in 2023 to help public schools meet the cost of important infrastructure projects such as new classrooms, buildings or other major refurbishments and upgrades. The Government will work with state and territory governments to distribute this funding based on need.</w:t>
      </w:r>
    </w:p>
    <w:p w14:paraId="171907BB" w14:textId="77777777" w:rsidR="009B129F" w:rsidRDefault="009B129F" w:rsidP="002A44FA">
      <w:pPr>
        <w:pStyle w:val="Heading1"/>
        <w:spacing w:before="160" w:after="160" w:line="240" w:lineRule="auto"/>
      </w:pPr>
      <w:r>
        <w:t>Where can schools find out more information?</w:t>
      </w:r>
    </w:p>
    <w:p w14:paraId="3F2D0815" w14:textId="1EF0B4E3" w:rsidR="002A44FA" w:rsidRPr="009B129F" w:rsidRDefault="009B129F" w:rsidP="001C4798">
      <w:pPr>
        <w:spacing w:before="160" w:after="160" w:line="240" w:lineRule="auto"/>
      </w:pPr>
      <w:r>
        <w:t xml:space="preserve">For more information visit </w:t>
      </w:r>
      <w:hyperlink r:id="rId11" w:history="1">
        <w:r w:rsidRPr="00A00170">
          <w:rPr>
            <w:rStyle w:val="Hyperlink"/>
          </w:rPr>
          <w:t>https://www.education.gov.au/schools-upgrade-fund</w:t>
        </w:r>
      </w:hyperlink>
      <w:r>
        <w:t>.</w:t>
      </w:r>
    </w:p>
    <w:sectPr w:rsidR="002A44FA" w:rsidRPr="009B129F" w:rsidSect="00225E73">
      <w:footerReference w:type="default" r:id="rId12"/>
      <w:footerReference w:type="first" r:id="rId13"/>
      <w:type w:val="continuous"/>
      <w:pgSz w:w="16840" w:h="23820"/>
      <w:pgMar w:top="113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EFAE" w14:textId="77777777" w:rsidR="001C5D11" w:rsidRDefault="001C5D11" w:rsidP="0051352E">
      <w:pPr>
        <w:spacing w:after="0" w:line="240" w:lineRule="auto"/>
      </w:pPr>
      <w:r>
        <w:separator/>
      </w:r>
    </w:p>
  </w:endnote>
  <w:endnote w:type="continuationSeparator" w:id="0">
    <w:p w14:paraId="2C1453A8" w14:textId="77777777" w:rsidR="001C5D11" w:rsidRDefault="001C5D11"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319E84A6">
              <wp:simplePos x="0" y="0"/>
              <wp:positionH relativeFrom="page">
                <wp:posOffset>0</wp:posOffset>
              </wp:positionH>
              <wp:positionV relativeFrom="paragraph">
                <wp:posOffset>417830</wp:posOffset>
              </wp:positionV>
              <wp:extent cx="10693400" cy="2667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3400" cy="2667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1BDCE" id="Rectangle 5" o:spid="_x0000_s1026" alt="&quot;&quot;" style="position:absolute;margin-left:0;margin-top:32.9pt;width:842pt;height: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6CC6E8C3">
              <wp:simplePos x="0" y="0"/>
              <wp:positionH relativeFrom="page">
                <wp:posOffset>0</wp:posOffset>
              </wp:positionH>
              <wp:positionV relativeFrom="paragraph">
                <wp:posOffset>417830</wp:posOffset>
              </wp:positionV>
              <wp:extent cx="10693400" cy="38100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3400" cy="381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B6697" id="Rectangle 4" o:spid="_x0000_s1026" alt="&quot;&quot;" style="position:absolute;margin-left:0;margin-top:32.9pt;width:842pt;height: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2A2B" w14:textId="77777777" w:rsidR="001C5D11" w:rsidRDefault="001C5D11" w:rsidP="0051352E">
      <w:pPr>
        <w:spacing w:after="0" w:line="240" w:lineRule="auto"/>
      </w:pPr>
      <w:r>
        <w:separator/>
      </w:r>
    </w:p>
  </w:footnote>
  <w:footnote w:type="continuationSeparator" w:id="0">
    <w:p w14:paraId="07B80D75" w14:textId="77777777" w:rsidR="001C5D11" w:rsidRDefault="001C5D11" w:rsidP="0051352E">
      <w:pPr>
        <w:spacing w:after="0" w:line="240" w:lineRule="auto"/>
      </w:pPr>
      <w:r>
        <w:continuationSeparator/>
      </w:r>
    </w:p>
  </w:footnote>
  <w:footnote w:id="1">
    <w:p w14:paraId="028C264C" w14:textId="2D2AF82A" w:rsidR="002F537B" w:rsidRPr="00EC5BAE" w:rsidRDefault="002F537B" w:rsidP="002F537B">
      <w:pPr>
        <w:pStyle w:val="FootnoteText"/>
        <w:rPr>
          <w:sz w:val="22"/>
          <w:szCs w:val="22"/>
        </w:rPr>
      </w:pPr>
      <w:r w:rsidRPr="00EC5BAE">
        <w:rPr>
          <w:rStyle w:val="FootnoteReference"/>
          <w:sz w:val="22"/>
          <w:szCs w:val="22"/>
        </w:rPr>
        <w:footnoteRef/>
      </w:r>
      <w:r w:rsidRPr="00EC5BAE">
        <w:rPr>
          <w:sz w:val="22"/>
          <w:szCs w:val="22"/>
        </w:rPr>
        <w:t xml:space="preserve"> The </w:t>
      </w:r>
      <w:r w:rsidR="00932CD3" w:rsidRPr="00EC5BAE">
        <w:rPr>
          <w:sz w:val="22"/>
          <w:szCs w:val="22"/>
        </w:rPr>
        <w:t xml:space="preserve">Open Round </w:t>
      </w:r>
      <w:r w:rsidRPr="00EC5BAE">
        <w:rPr>
          <w:sz w:val="22"/>
          <w:szCs w:val="22"/>
        </w:rPr>
        <w:t xml:space="preserve">online application form will auto-populate this information based on </w:t>
      </w:r>
      <w:r w:rsidR="009B129F" w:rsidRPr="00EC5BAE">
        <w:rPr>
          <w:sz w:val="22"/>
          <w:szCs w:val="22"/>
        </w:rPr>
        <w:t xml:space="preserve">entered </w:t>
      </w:r>
      <w:r w:rsidRPr="00EC5BAE">
        <w:rPr>
          <w:sz w:val="22"/>
          <w:szCs w:val="22"/>
        </w:rPr>
        <w:t>school details.</w:t>
      </w:r>
    </w:p>
  </w:footnote>
  <w:footnote w:id="2">
    <w:p w14:paraId="72CF86BD" w14:textId="7F0D9028" w:rsidR="00714CEB" w:rsidRDefault="00714CEB">
      <w:pPr>
        <w:pStyle w:val="FootnoteText"/>
      </w:pPr>
      <w:r w:rsidRPr="00EC5BAE">
        <w:rPr>
          <w:rStyle w:val="FootnoteReference"/>
          <w:sz w:val="22"/>
          <w:szCs w:val="22"/>
        </w:rPr>
        <w:footnoteRef/>
      </w:r>
      <w:r w:rsidRPr="00EC5BAE">
        <w:rPr>
          <w:sz w:val="22"/>
          <w:szCs w:val="22"/>
        </w:rPr>
        <w:t xml:space="preserve"> </w:t>
      </w:r>
      <w:r w:rsidR="00AD4FD7" w:rsidRPr="00EC5BAE">
        <w:rPr>
          <w:sz w:val="22"/>
          <w:szCs w:val="22"/>
        </w:rPr>
        <w:t xml:space="preserve">For government schools this is </w:t>
      </w:r>
      <w:r w:rsidR="00BC1D92" w:rsidRPr="00EC5BAE">
        <w:rPr>
          <w:sz w:val="22"/>
          <w:szCs w:val="22"/>
        </w:rPr>
        <w:t>the</w:t>
      </w:r>
      <w:r w:rsidR="00AD4FD7" w:rsidRPr="00EC5BAE">
        <w:rPr>
          <w:sz w:val="22"/>
          <w:szCs w:val="22"/>
        </w:rPr>
        <w:t xml:space="preserve"> relevant department/directorate of education, for Catholic systemic schools this is generally </w:t>
      </w:r>
      <w:r w:rsidR="00BC1D92" w:rsidRPr="00EC5BAE">
        <w:rPr>
          <w:sz w:val="22"/>
          <w:szCs w:val="22"/>
        </w:rPr>
        <w:t>the</w:t>
      </w:r>
      <w:r w:rsidR="002F537B" w:rsidRPr="00EC5BAE">
        <w:rPr>
          <w:sz w:val="22"/>
          <w:szCs w:val="22"/>
        </w:rPr>
        <w:t xml:space="preserve"> state</w:t>
      </w:r>
      <w:r w:rsidR="009B129F" w:rsidRPr="00EC5BAE">
        <w:rPr>
          <w:sz w:val="22"/>
          <w:szCs w:val="22"/>
        </w:rPr>
        <w:t xml:space="preserve"> or </w:t>
      </w:r>
      <w:r w:rsidR="002F537B" w:rsidRPr="00EC5BAE">
        <w:rPr>
          <w:sz w:val="22"/>
          <w:szCs w:val="22"/>
        </w:rPr>
        <w:t>territory</w:t>
      </w:r>
      <w:r w:rsidR="00AD4FD7" w:rsidRPr="00EC5BAE">
        <w:rPr>
          <w:sz w:val="22"/>
          <w:szCs w:val="22"/>
        </w:rPr>
        <w:t xml:space="preserve"> Catholic Education </w:t>
      </w:r>
      <w:r w:rsidR="009B129F" w:rsidRPr="00EC5BAE">
        <w:rPr>
          <w:sz w:val="22"/>
          <w:szCs w:val="22"/>
        </w:rPr>
        <w:t>Commission/</w:t>
      </w:r>
      <w:r w:rsidR="00AD4FD7" w:rsidRPr="00EC5BAE">
        <w:rPr>
          <w:sz w:val="22"/>
          <w:szCs w:val="22"/>
        </w:rPr>
        <w:t xml:space="preserve">Office, and for </w:t>
      </w:r>
      <w:proofErr w:type="gramStart"/>
      <w:r w:rsidR="00AD4FD7" w:rsidRPr="00EC5BAE">
        <w:rPr>
          <w:sz w:val="22"/>
          <w:szCs w:val="22"/>
        </w:rPr>
        <w:t>Independent</w:t>
      </w:r>
      <w:proofErr w:type="gramEnd"/>
      <w:r w:rsidR="00AD4FD7" w:rsidRPr="00EC5BAE">
        <w:rPr>
          <w:sz w:val="22"/>
          <w:szCs w:val="22"/>
        </w:rPr>
        <w:t xml:space="preserve"> schools this is generally </w:t>
      </w:r>
      <w:r w:rsidR="00BC1D92" w:rsidRPr="00EC5BAE">
        <w:rPr>
          <w:sz w:val="22"/>
          <w:szCs w:val="22"/>
        </w:rPr>
        <w:t>the</w:t>
      </w:r>
      <w:r w:rsidR="00AD4FD7" w:rsidRPr="00EC5BAE">
        <w:rPr>
          <w:sz w:val="22"/>
          <w:szCs w:val="22"/>
        </w:rPr>
        <w:t xml:space="preserve"> school board.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B8848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45A"/>
      </v:shape>
    </w:pict>
  </w:numPicBullet>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0C7292"/>
    <w:multiLevelType w:val="hybridMultilevel"/>
    <w:tmpl w:val="FCC82D88"/>
    <w:lvl w:ilvl="0" w:tplc="0C09000B">
      <w:start w:val="1"/>
      <w:numFmt w:val="bullet"/>
      <w:lvlText w:val=""/>
      <w:lvlJc w:val="left"/>
      <w:pPr>
        <w:ind w:left="1077" w:hanging="360"/>
      </w:pPr>
      <w:rPr>
        <w:rFonts w:ascii="Wingdings" w:hAnsi="Wingdings"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65287277"/>
    <w:multiLevelType w:val="hybridMultilevel"/>
    <w:tmpl w:val="2C7017DE"/>
    <w:lvl w:ilvl="0" w:tplc="0C090007">
      <w:start w:val="1"/>
      <w:numFmt w:val="bullet"/>
      <w:lvlText w:val=""/>
      <w:lvlPicBulletId w:val="0"/>
      <w:lvlJc w:val="left"/>
      <w:pPr>
        <w:ind w:left="1077" w:hanging="360"/>
      </w:pPr>
      <w:rPr>
        <w:rFonts w:ascii="Symbol" w:hAnsi="Symbol"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5" w15:restartNumberingAfterBreak="0">
    <w:nsid w:val="70071C61"/>
    <w:multiLevelType w:val="hybridMultilevel"/>
    <w:tmpl w:val="D4B48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E8917AD"/>
    <w:multiLevelType w:val="hybridMultilevel"/>
    <w:tmpl w:val="46D2747C"/>
    <w:lvl w:ilvl="0" w:tplc="10B8D9C4">
      <w:start w:val="1"/>
      <w:numFmt w:val="decimal"/>
      <w:lvlText w:val="%1."/>
      <w:lvlJc w:val="left"/>
      <w:pPr>
        <w:ind w:left="502" w:hanging="360"/>
      </w:pPr>
      <w:rPr>
        <w:rFonts w:asciiTheme="minorHAnsi" w:hAnsiTheme="minorHAnsi" w:cstheme="minorHAnsi" w:hint="default"/>
        <w:color w:val="auto"/>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21158484">
    <w:abstractNumId w:val="9"/>
  </w:num>
  <w:num w:numId="2" w16cid:durableId="1899509329">
    <w:abstractNumId w:val="7"/>
  </w:num>
  <w:num w:numId="3" w16cid:durableId="1116751812">
    <w:abstractNumId w:val="6"/>
  </w:num>
  <w:num w:numId="4" w16cid:durableId="2142528977">
    <w:abstractNumId w:val="5"/>
  </w:num>
  <w:num w:numId="5" w16cid:durableId="534972510">
    <w:abstractNumId w:val="4"/>
  </w:num>
  <w:num w:numId="6" w16cid:durableId="1443918988">
    <w:abstractNumId w:val="8"/>
  </w:num>
  <w:num w:numId="7" w16cid:durableId="1143039988">
    <w:abstractNumId w:val="3"/>
  </w:num>
  <w:num w:numId="8" w16cid:durableId="1692608182">
    <w:abstractNumId w:val="2"/>
  </w:num>
  <w:num w:numId="9" w16cid:durableId="1730575289">
    <w:abstractNumId w:val="1"/>
  </w:num>
  <w:num w:numId="10" w16cid:durableId="1372877980">
    <w:abstractNumId w:val="0"/>
  </w:num>
  <w:num w:numId="11" w16cid:durableId="243607117">
    <w:abstractNumId w:val="10"/>
  </w:num>
  <w:num w:numId="12" w16cid:durableId="137306401">
    <w:abstractNumId w:val="11"/>
  </w:num>
  <w:num w:numId="13" w16cid:durableId="189953857">
    <w:abstractNumId w:val="12"/>
  </w:num>
  <w:num w:numId="14" w16cid:durableId="1792431296">
    <w:abstractNumId w:val="13"/>
  </w:num>
  <w:num w:numId="15" w16cid:durableId="1447381563">
    <w:abstractNumId w:val="16"/>
  </w:num>
  <w:num w:numId="16" w16cid:durableId="615915265">
    <w:abstractNumId w:val="14"/>
  </w:num>
  <w:num w:numId="17" w16cid:durableId="443040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A56"/>
    <w:rsid w:val="00035961"/>
    <w:rsid w:val="00051F91"/>
    <w:rsid w:val="00052BBC"/>
    <w:rsid w:val="00067075"/>
    <w:rsid w:val="00080E3C"/>
    <w:rsid w:val="000A453D"/>
    <w:rsid w:val="00111085"/>
    <w:rsid w:val="00157F35"/>
    <w:rsid w:val="001872EF"/>
    <w:rsid w:val="001C239E"/>
    <w:rsid w:val="001C4798"/>
    <w:rsid w:val="001C5D11"/>
    <w:rsid w:val="00217EAB"/>
    <w:rsid w:val="00220808"/>
    <w:rsid w:val="0022498C"/>
    <w:rsid w:val="00225E73"/>
    <w:rsid w:val="0022626C"/>
    <w:rsid w:val="0023529E"/>
    <w:rsid w:val="002542B3"/>
    <w:rsid w:val="002724D0"/>
    <w:rsid w:val="002A44FA"/>
    <w:rsid w:val="002A7840"/>
    <w:rsid w:val="002B1CE5"/>
    <w:rsid w:val="002B5A4A"/>
    <w:rsid w:val="002F4DB3"/>
    <w:rsid w:val="002F537B"/>
    <w:rsid w:val="003135E7"/>
    <w:rsid w:val="003341DA"/>
    <w:rsid w:val="00350FFA"/>
    <w:rsid w:val="00365C98"/>
    <w:rsid w:val="00382F07"/>
    <w:rsid w:val="00414677"/>
    <w:rsid w:val="00453C04"/>
    <w:rsid w:val="00466D2C"/>
    <w:rsid w:val="00497764"/>
    <w:rsid w:val="004A0D81"/>
    <w:rsid w:val="004E2326"/>
    <w:rsid w:val="0051352E"/>
    <w:rsid w:val="00514C2E"/>
    <w:rsid w:val="00517DA7"/>
    <w:rsid w:val="00520A33"/>
    <w:rsid w:val="00527AE4"/>
    <w:rsid w:val="005553CB"/>
    <w:rsid w:val="0055569D"/>
    <w:rsid w:val="00596A88"/>
    <w:rsid w:val="005D7CE7"/>
    <w:rsid w:val="00610A38"/>
    <w:rsid w:val="00630DDF"/>
    <w:rsid w:val="00657622"/>
    <w:rsid w:val="00662A42"/>
    <w:rsid w:val="00690E18"/>
    <w:rsid w:val="006A0C79"/>
    <w:rsid w:val="006D154E"/>
    <w:rsid w:val="006E5D6E"/>
    <w:rsid w:val="00714CEB"/>
    <w:rsid w:val="00721B03"/>
    <w:rsid w:val="007306A3"/>
    <w:rsid w:val="0075287D"/>
    <w:rsid w:val="007570DC"/>
    <w:rsid w:val="00795F9C"/>
    <w:rsid w:val="007B1ABA"/>
    <w:rsid w:val="007B5FF1"/>
    <w:rsid w:val="007B74C5"/>
    <w:rsid w:val="007E78ED"/>
    <w:rsid w:val="00842C50"/>
    <w:rsid w:val="008507C1"/>
    <w:rsid w:val="008579E7"/>
    <w:rsid w:val="00861934"/>
    <w:rsid w:val="008D5DD0"/>
    <w:rsid w:val="008E22BA"/>
    <w:rsid w:val="008F0AC9"/>
    <w:rsid w:val="00900F7F"/>
    <w:rsid w:val="00932CD3"/>
    <w:rsid w:val="0093473D"/>
    <w:rsid w:val="00942A69"/>
    <w:rsid w:val="00944ECC"/>
    <w:rsid w:val="0096252A"/>
    <w:rsid w:val="00972F57"/>
    <w:rsid w:val="00995280"/>
    <w:rsid w:val="009B129F"/>
    <w:rsid w:val="009C2995"/>
    <w:rsid w:val="009D702E"/>
    <w:rsid w:val="00A03BE8"/>
    <w:rsid w:val="00A23609"/>
    <w:rsid w:val="00A24E6E"/>
    <w:rsid w:val="00A34498"/>
    <w:rsid w:val="00A43694"/>
    <w:rsid w:val="00A550E9"/>
    <w:rsid w:val="00A56FC7"/>
    <w:rsid w:val="00A64F4D"/>
    <w:rsid w:val="00A668BF"/>
    <w:rsid w:val="00A72575"/>
    <w:rsid w:val="00A74071"/>
    <w:rsid w:val="00A754E4"/>
    <w:rsid w:val="00AA124A"/>
    <w:rsid w:val="00AA2A96"/>
    <w:rsid w:val="00AD4FD7"/>
    <w:rsid w:val="00AE40D7"/>
    <w:rsid w:val="00B100CC"/>
    <w:rsid w:val="00B456C5"/>
    <w:rsid w:val="00B479C6"/>
    <w:rsid w:val="00B6689D"/>
    <w:rsid w:val="00B72368"/>
    <w:rsid w:val="00B831F5"/>
    <w:rsid w:val="00BC1D92"/>
    <w:rsid w:val="00C01BAF"/>
    <w:rsid w:val="00C54D58"/>
    <w:rsid w:val="00C573E1"/>
    <w:rsid w:val="00C60222"/>
    <w:rsid w:val="00C71792"/>
    <w:rsid w:val="00C736D3"/>
    <w:rsid w:val="00C93CC8"/>
    <w:rsid w:val="00C953D7"/>
    <w:rsid w:val="00C95DF6"/>
    <w:rsid w:val="00CC3BA4"/>
    <w:rsid w:val="00D27CC4"/>
    <w:rsid w:val="00D649A8"/>
    <w:rsid w:val="00DA1B7B"/>
    <w:rsid w:val="00DA3B46"/>
    <w:rsid w:val="00DB79DF"/>
    <w:rsid w:val="00DE1500"/>
    <w:rsid w:val="00E02099"/>
    <w:rsid w:val="00E43CBE"/>
    <w:rsid w:val="00E67289"/>
    <w:rsid w:val="00EA32F7"/>
    <w:rsid w:val="00EC5BAE"/>
    <w:rsid w:val="00EC6A53"/>
    <w:rsid w:val="00EE5EEB"/>
    <w:rsid w:val="00F230CD"/>
    <w:rsid w:val="00F34442"/>
    <w:rsid w:val="00F51C18"/>
    <w:rsid w:val="00F51F5F"/>
    <w:rsid w:val="00F62F37"/>
    <w:rsid w:val="00FA31E2"/>
    <w:rsid w:val="00FA34BB"/>
    <w:rsid w:val="00FD1AFA"/>
    <w:rsid w:val="00FF3EB6"/>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rPr>
      <w:rFonts w:eastAsiaTheme="minorEastAsia"/>
    </w:r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02099"/>
    <w:pPr>
      <w:spacing w:before="62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E02099"/>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GSLBodyText">
    <w:name w:val="GSL_Body Text"/>
    <w:basedOn w:val="Normal"/>
    <w:qFormat/>
    <w:rsid w:val="00AE40D7"/>
    <w:pPr>
      <w:spacing w:after="240" w:line="300" w:lineRule="exact"/>
      <w:ind w:left="709" w:hanging="709"/>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6252A"/>
    <w:rPr>
      <w:color w:val="605E5C"/>
      <w:shd w:val="clear" w:color="auto" w:fill="E1DFDD"/>
    </w:rPr>
  </w:style>
  <w:style w:type="character" w:styleId="FollowedHyperlink">
    <w:name w:val="FollowedHyperlink"/>
    <w:basedOn w:val="DefaultParagraphFont"/>
    <w:uiPriority w:val="99"/>
    <w:semiHidden/>
    <w:unhideWhenUsed/>
    <w:rsid w:val="0096252A"/>
    <w:rPr>
      <w:color w:val="002D3F" w:themeColor="followedHyperlink"/>
      <w:u w:val="single"/>
    </w:rPr>
  </w:style>
  <w:style w:type="paragraph" w:styleId="FootnoteText">
    <w:name w:val="footnote text"/>
    <w:basedOn w:val="Normal"/>
    <w:link w:val="FootnoteTextChar"/>
    <w:uiPriority w:val="99"/>
    <w:semiHidden/>
    <w:unhideWhenUsed/>
    <w:rsid w:val="00714C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CEB"/>
    <w:rPr>
      <w:rFonts w:eastAsiaTheme="minorEastAsia"/>
      <w:sz w:val="20"/>
      <w:szCs w:val="20"/>
    </w:rPr>
  </w:style>
  <w:style w:type="character" w:styleId="FootnoteReference">
    <w:name w:val="footnote reference"/>
    <w:basedOn w:val="DefaultParagraphFont"/>
    <w:uiPriority w:val="99"/>
    <w:semiHidden/>
    <w:unhideWhenUsed/>
    <w:rsid w:val="00714CEB"/>
    <w:rPr>
      <w:vertAlign w:val="superscript"/>
    </w:rPr>
  </w:style>
  <w:style w:type="paragraph" w:styleId="Revision">
    <w:name w:val="Revision"/>
    <w:hidden/>
    <w:uiPriority w:val="99"/>
    <w:semiHidden/>
    <w:rsid w:val="001872E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6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schools-upgrade-fu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ucation.gov.au/schools-upgrade-fund"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Upgrade Fund Open Round factsheet</dc:title>
  <dc:subject/>
  <dc:creator/>
  <cp:keywords/>
  <dc:description/>
  <cp:lastModifiedBy/>
  <cp:revision>1</cp:revision>
  <dcterms:created xsi:type="dcterms:W3CDTF">2023-06-26T02:09:00Z</dcterms:created>
  <dcterms:modified xsi:type="dcterms:W3CDTF">2023-06-27T00:53:00Z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2022-11-27T23:52:14Z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18453a0e-a978-4046-add3-2a9a7c93f786</vt:lpwstr>
  </property>
  <property fmtid="{D5CDD505-2E9C-101B-9397-08002B2CF9AE}" pid="8" name="MSIP_Label_79d889eb-932f-4752-8739-64d25806ef64_ContentBits">
    <vt:lpwstr>0</vt:lpwstr>
  </property>
</Properties>
</file>