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C4E7" w14:textId="77777777" w:rsidR="006E5D6E" w:rsidRDefault="00350FFA" w:rsidP="00350FFA">
      <w:pPr>
        <w:ind w:left="-1474"/>
      </w:pPr>
      <w:r w:rsidRPr="00350FFA">
        <w:rPr>
          <w:noProof/>
          <w:lang w:eastAsia="en-AU"/>
        </w:rPr>
        <w:drawing>
          <wp:inline distT="0" distB="0" distL="0" distR="0" wp14:anchorId="6DCC48B0" wp14:editId="510D678C">
            <wp:extent cx="7574280" cy="2375309"/>
            <wp:effectExtent l="0" t="0" r="762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23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BA98" w14:textId="77777777" w:rsidR="008507C1" w:rsidRDefault="008507C1" w:rsidP="006E5D6E">
      <w:pPr>
        <w:ind w:left="-1418"/>
        <w:sectPr w:rsidR="008507C1" w:rsidSect="00A764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-17" w:right="1440" w:bottom="1440" w:left="1440" w:header="0" w:footer="708" w:gutter="0"/>
          <w:cols w:space="708"/>
          <w:docGrid w:linePitch="360"/>
        </w:sectPr>
      </w:pPr>
    </w:p>
    <w:p w14:paraId="7BF7298A" w14:textId="44A1A371" w:rsidR="002B1CE5" w:rsidRDefault="008607FE" w:rsidP="002B1CE5">
      <w:pPr>
        <w:pStyle w:val="Title"/>
      </w:pPr>
      <w:r>
        <w:rPr>
          <w:lang w:eastAsia="zh-CN"/>
        </w:rPr>
        <w:t xml:space="preserve">China’s </w:t>
      </w:r>
      <w:r w:rsidR="006B7736">
        <w:rPr>
          <w:lang w:eastAsia="zh-CN"/>
        </w:rPr>
        <w:t xml:space="preserve">new </w:t>
      </w:r>
      <w:r>
        <w:rPr>
          <w:lang w:eastAsia="zh-CN"/>
        </w:rPr>
        <w:t>Personal Information Protection Law</w:t>
      </w:r>
    </w:p>
    <w:p w14:paraId="5401888B" w14:textId="3C45AA4C" w:rsidR="002B1CE5" w:rsidRDefault="00BC55F3" w:rsidP="002B1CE5">
      <w:pPr>
        <w:pStyle w:val="Subtitle"/>
      </w:pPr>
      <w:r w:rsidRPr="00BC55F3">
        <w:t xml:space="preserve">(Information as at </w:t>
      </w:r>
      <w:r w:rsidR="001B010D">
        <w:t xml:space="preserve">August </w:t>
      </w:r>
      <w:r w:rsidR="00F00BAC">
        <w:t>20</w:t>
      </w:r>
      <w:r w:rsidR="008607FE">
        <w:t>22</w:t>
      </w:r>
      <w:r w:rsidRPr="00BC55F3">
        <w:t>)</w:t>
      </w:r>
    </w:p>
    <w:p w14:paraId="702BE681" w14:textId="5F36D919" w:rsidR="002472FC" w:rsidRDefault="002472FC" w:rsidP="002472FC"/>
    <w:p w14:paraId="076613DB" w14:textId="651D1969" w:rsidR="00C45A72" w:rsidRPr="0093646A" w:rsidRDefault="002472FC" w:rsidP="00B971E7">
      <w:pPr>
        <w:rPr>
          <w:lang w:val="en-US" w:eastAsia="zh-CN"/>
        </w:rPr>
      </w:pPr>
      <w:r>
        <w:t>In August 2021, China’s top legislature</w:t>
      </w:r>
      <w:r w:rsidR="001B010D">
        <w:t>,</w:t>
      </w:r>
      <w:r>
        <w:t xml:space="preserve"> the Standing Committee of the National People’s Congress</w:t>
      </w:r>
      <w:r w:rsidR="008D210B">
        <w:t>,</w:t>
      </w:r>
      <w:r>
        <w:t xml:space="preserve"> passed </w:t>
      </w:r>
      <w:r w:rsidR="00E1182F">
        <w:t>China’s</w:t>
      </w:r>
      <w:r w:rsidR="00C45A72">
        <w:t xml:space="preserve"> first comprehensive law on personal information protection </w:t>
      </w:r>
      <w:r w:rsidR="001B010D">
        <w:t>–</w:t>
      </w:r>
      <w:r w:rsidR="00844F1D">
        <w:t xml:space="preserve"> </w:t>
      </w:r>
      <w:r w:rsidR="00844F1D" w:rsidRPr="00844F1D">
        <w:rPr>
          <w:b/>
        </w:rPr>
        <w:t>Personal</w:t>
      </w:r>
      <w:r w:rsidRPr="00844F1D">
        <w:rPr>
          <w:b/>
          <w:bCs/>
        </w:rPr>
        <w:t xml:space="preserve"> </w:t>
      </w:r>
      <w:r w:rsidRPr="00CE5966">
        <w:rPr>
          <w:b/>
          <w:bCs/>
        </w:rPr>
        <w:t>Information Protection Law</w:t>
      </w:r>
      <w:r w:rsidR="00580952">
        <w:rPr>
          <w:rStyle w:val="EndnoteReference"/>
          <w:b/>
          <w:bCs/>
        </w:rPr>
        <w:endnoteReference w:id="1"/>
      </w:r>
      <w:r>
        <w:t xml:space="preserve"> (</w:t>
      </w:r>
      <w:r w:rsidR="00EC3524">
        <w:t>PIPL</w:t>
      </w:r>
      <w:r>
        <w:t>)</w:t>
      </w:r>
      <w:r w:rsidR="001B010D">
        <w:t xml:space="preserve"> –</w:t>
      </w:r>
      <w:r>
        <w:t xml:space="preserve"> which came into effect </w:t>
      </w:r>
      <w:r w:rsidR="001B010D">
        <w:t xml:space="preserve">on </w:t>
      </w:r>
      <w:r>
        <w:t>1 November 2021</w:t>
      </w:r>
      <w:r w:rsidR="0093646A">
        <w:rPr>
          <w:lang w:val="en-US" w:eastAsia="zh-CN"/>
        </w:rPr>
        <w:t xml:space="preserve">.  </w:t>
      </w:r>
      <w:r w:rsidR="00C45A72" w:rsidRPr="00C45A72">
        <w:rPr>
          <w:lang w:eastAsia="zh-CN"/>
        </w:rPr>
        <w:t xml:space="preserve">The PIPL is intended to protect personal information and to regulate </w:t>
      </w:r>
      <w:r w:rsidR="008D210B">
        <w:rPr>
          <w:lang w:eastAsia="zh-CN"/>
        </w:rPr>
        <w:t>how it is processed</w:t>
      </w:r>
      <w:r w:rsidR="00C45A72" w:rsidRPr="00C45A72">
        <w:rPr>
          <w:lang w:eastAsia="zh-CN"/>
        </w:rPr>
        <w:t xml:space="preserve">, including cross-border </w:t>
      </w:r>
      <w:r w:rsidR="00AE5DE2">
        <w:rPr>
          <w:lang w:eastAsia="zh-CN"/>
        </w:rPr>
        <w:t>handling</w:t>
      </w:r>
      <w:r w:rsidR="00C45A72" w:rsidRPr="00C45A72">
        <w:rPr>
          <w:lang w:eastAsia="zh-CN"/>
        </w:rPr>
        <w:t xml:space="preserve"> of personal information</w:t>
      </w:r>
      <w:r w:rsidR="00EC051B">
        <w:rPr>
          <w:lang w:eastAsia="zh-CN"/>
        </w:rPr>
        <w:t xml:space="preserve">. </w:t>
      </w:r>
      <w:r w:rsidR="00EC3524">
        <w:rPr>
          <w:lang w:eastAsia="zh-CN"/>
        </w:rPr>
        <w:t xml:space="preserve">This law </w:t>
      </w:r>
      <w:r w:rsidR="00C45A72" w:rsidRPr="00C45A72">
        <w:rPr>
          <w:lang w:eastAsia="zh-CN"/>
        </w:rPr>
        <w:t xml:space="preserve">may </w:t>
      </w:r>
      <w:r w:rsidR="008D210B">
        <w:rPr>
          <w:lang w:eastAsia="zh-CN"/>
        </w:rPr>
        <w:t>affect</w:t>
      </w:r>
      <w:r w:rsidR="00EC3524">
        <w:rPr>
          <w:lang w:eastAsia="zh-CN"/>
        </w:rPr>
        <w:t xml:space="preserve"> </w:t>
      </w:r>
      <w:r w:rsidR="00C45A72" w:rsidRPr="00C45A72">
        <w:rPr>
          <w:lang w:eastAsia="zh-CN"/>
        </w:rPr>
        <w:t>Australian providers</w:t>
      </w:r>
      <w:r w:rsidR="000F0E19">
        <w:rPr>
          <w:lang w:eastAsia="zh-CN"/>
        </w:rPr>
        <w:t>, particularly</w:t>
      </w:r>
      <w:r w:rsidR="00C45A72">
        <w:rPr>
          <w:b/>
          <w:lang w:eastAsia="zh-CN"/>
        </w:rPr>
        <w:t xml:space="preserve"> </w:t>
      </w:r>
      <w:r w:rsidR="00C45A72" w:rsidRPr="00C27388">
        <w:rPr>
          <w:bCs/>
          <w:lang w:eastAsia="zh-CN"/>
        </w:rPr>
        <w:t>when collecting and processing Chinese student data.</w:t>
      </w:r>
      <w:r w:rsidR="00EC051B">
        <w:rPr>
          <w:bCs/>
          <w:lang w:eastAsia="zh-CN"/>
        </w:rPr>
        <w:t xml:space="preserve"> Providers should review the PIPL requirements, and may need to seek legal advice.</w:t>
      </w:r>
    </w:p>
    <w:p w14:paraId="09DC62D5" w14:textId="6C33A460" w:rsidR="00AE5DE2" w:rsidRDefault="00370661" w:rsidP="00AE5DE2">
      <w:pPr>
        <w:rPr>
          <w:lang w:eastAsia="zh-CN"/>
        </w:rPr>
      </w:pPr>
      <w:r w:rsidRPr="00370661">
        <w:t xml:space="preserve">Under the PIPL, </w:t>
      </w:r>
      <w:r w:rsidR="00E1182F">
        <w:t>“</w:t>
      </w:r>
      <w:r w:rsidRPr="00370661">
        <w:t>personal information</w:t>
      </w:r>
      <w:r w:rsidR="00E1182F">
        <w:t>”</w:t>
      </w:r>
      <w:r w:rsidRPr="00370661">
        <w:t xml:space="preserve"> refers to any information concerning natural persons </w:t>
      </w:r>
      <w:r w:rsidR="00F073A4">
        <w:t xml:space="preserve">in China </w:t>
      </w:r>
      <w:r w:rsidRPr="00370661">
        <w:t xml:space="preserve">that is recorded electronically or </w:t>
      </w:r>
      <w:r w:rsidR="00E1182F">
        <w:t>through other means</w:t>
      </w:r>
      <w:r w:rsidRPr="00370661">
        <w:t>, with the exception of</w:t>
      </w:r>
      <w:r w:rsidR="000F4D14">
        <w:t xml:space="preserve"> data that has been anonymised</w:t>
      </w:r>
      <w:r w:rsidR="000F4D14">
        <w:rPr>
          <w:rStyle w:val="EndnoteReference"/>
        </w:rPr>
        <w:endnoteReference w:id="2"/>
      </w:r>
      <w:r w:rsidRPr="00370661">
        <w:t xml:space="preserve">. </w:t>
      </w:r>
      <w:r w:rsidR="00E1182F">
        <w:t>“</w:t>
      </w:r>
      <w:r w:rsidRPr="00370661">
        <w:t>Personal information processing</w:t>
      </w:r>
      <w:r w:rsidR="00E1182F">
        <w:t>”</w:t>
      </w:r>
      <w:r w:rsidRPr="00370661">
        <w:t xml:space="preserve"> </w:t>
      </w:r>
      <w:r w:rsidR="00D53E8C">
        <w:t xml:space="preserve">is </w:t>
      </w:r>
      <w:r w:rsidRPr="00370661">
        <w:t xml:space="preserve">the collection, storage, use, processing, transmission, provision, publication, and erasure of information. </w:t>
      </w:r>
      <w:r w:rsidR="00E1182F" w:rsidRPr="00E1182F">
        <w:t xml:space="preserve">The PIPL notably specifies that </w:t>
      </w:r>
      <w:r w:rsidR="00D53E8C">
        <w:t>the law</w:t>
      </w:r>
      <w:r w:rsidR="00E1182F" w:rsidRPr="00E1182F">
        <w:t xml:space="preserve"> encompasses the transfer of personal </w:t>
      </w:r>
      <w:r w:rsidR="00E63AEC">
        <w:t>i</w:t>
      </w:r>
      <w:r w:rsidR="00E1182F">
        <w:t xml:space="preserve">nformation </w:t>
      </w:r>
      <w:r w:rsidR="00E1182F" w:rsidRPr="00E1182F">
        <w:t xml:space="preserve">data from China to </w:t>
      </w:r>
      <w:r w:rsidR="00E1182F">
        <w:t xml:space="preserve">offshore </w:t>
      </w:r>
      <w:r w:rsidR="00E1182F" w:rsidRPr="00E1182F">
        <w:t>organisations for the purpose of supplying products/services</w:t>
      </w:r>
      <w:r w:rsidR="00E1182F">
        <w:t xml:space="preserve"> to domestic natural persons,</w:t>
      </w:r>
      <w:r w:rsidR="00E1182F" w:rsidRPr="00E1182F">
        <w:t xml:space="preserve"> analysing and evaluating operations</w:t>
      </w:r>
      <w:r w:rsidR="00E1182F">
        <w:t xml:space="preserve"> of domestic natural persons, </w:t>
      </w:r>
      <w:r w:rsidR="00E63AEC">
        <w:t xml:space="preserve">or </w:t>
      </w:r>
      <w:r w:rsidR="00E1182F" w:rsidRPr="00E1182F">
        <w:t>other purpose permitted by applicable laws and administrative regulations.</w:t>
      </w:r>
    </w:p>
    <w:p w14:paraId="05A5CBEF" w14:textId="5EDF9B0F" w:rsidR="00AB7FCA" w:rsidRDefault="00CE55BE" w:rsidP="00AB7FCA">
      <w:pPr>
        <w:rPr>
          <w:lang w:eastAsia="zh-CN"/>
        </w:rPr>
      </w:pPr>
      <w:r>
        <w:rPr>
          <w:lang w:eastAsia="zh-CN"/>
        </w:rPr>
        <w:t xml:space="preserve">Article 38 of the </w:t>
      </w:r>
      <w:r w:rsidR="008D210B">
        <w:rPr>
          <w:lang w:eastAsia="zh-CN"/>
        </w:rPr>
        <w:t>PIPL requires</w:t>
      </w:r>
      <w:r w:rsidR="00AB7FCA">
        <w:rPr>
          <w:lang w:eastAsia="zh-CN"/>
        </w:rPr>
        <w:t xml:space="preserve"> any individual or organisation</w:t>
      </w:r>
      <w:r w:rsidR="00580952">
        <w:rPr>
          <w:rStyle w:val="EndnoteReference"/>
          <w:lang w:eastAsia="zh-CN"/>
        </w:rPr>
        <w:endnoteReference w:id="3"/>
      </w:r>
      <w:r w:rsidR="00AB7FCA">
        <w:rPr>
          <w:lang w:eastAsia="zh-CN"/>
        </w:rPr>
        <w:t xml:space="preserve"> wishing to </w:t>
      </w:r>
      <w:r w:rsidR="003328FE">
        <w:rPr>
          <w:lang w:eastAsia="zh-CN"/>
        </w:rPr>
        <w:t>transfer</w:t>
      </w:r>
      <w:r w:rsidR="00AB7FCA">
        <w:rPr>
          <w:lang w:eastAsia="zh-CN"/>
        </w:rPr>
        <w:t xml:space="preserve"> personal </w:t>
      </w:r>
      <w:r w:rsidR="00844F1D">
        <w:rPr>
          <w:lang w:eastAsia="zh-CN"/>
        </w:rPr>
        <w:t>data from</w:t>
      </w:r>
      <w:r w:rsidR="00AB7FCA">
        <w:rPr>
          <w:lang w:eastAsia="zh-CN"/>
        </w:rPr>
        <w:t xml:space="preserve"> China to an offshore location</w:t>
      </w:r>
      <w:r w:rsidR="008D210B">
        <w:rPr>
          <w:lang w:eastAsia="zh-CN"/>
        </w:rPr>
        <w:t>,</w:t>
      </w:r>
      <w:r w:rsidR="00AB7FCA">
        <w:rPr>
          <w:lang w:eastAsia="zh-CN"/>
        </w:rPr>
        <w:t xml:space="preserve"> for commercial or other reasons</w:t>
      </w:r>
      <w:r w:rsidR="008D210B">
        <w:rPr>
          <w:lang w:eastAsia="zh-CN"/>
        </w:rPr>
        <w:t>,</w:t>
      </w:r>
      <w:r w:rsidR="00AB7FCA">
        <w:rPr>
          <w:lang w:eastAsia="zh-CN"/>
        </w:rPr>
        <w:t xml:space="preserve"> </w:t>
      </w:r>
      <w:r w:rsidR="008D210B">
        <w:rPr>
          <w:lang w:eastAsia="zh-CN"/>
        </w:rPr>
        <w:t xml:space="preserve">to </w:t>
      </w:r>
      <w:r w:rsidR="00155222">
        <w:rPr>
          <w:lang w:eastAsia="zh-CN"/>
        </w:rPr>
        <w:t xml:space="preserve">comply with specific state cyberspace administration requirements. </w:t>
      </w:r>
    </w:p>
    <w:p w14:paraId="51276096" w14:textId="78BAE297" w:rsidR="00360B4F" w:rsidRDefault="008D210B" w:rsidP="00360B4F">
      <w:pPr>
        <w:rPr>
          <w:lang w:eastAsia="zh-CN"/>
        </w:rPr>
      </w:pPr>
      <w:r>
        <w:rPr>
          <w:lang w:eastAsia="zh-CN"/>
        </w:rPr>
        <w:t>T</w:t>
      </w:r>
      <w:r w:rsidR="00E64882">
        <w:rPr>
          <w:lang w:eastAsia="zh-CN"/>
        </w:rPr>
        <w:t xml:space="preserve">he processing of data </w:t>
      </w:r>
      <w:r w:rsidR="004E5690">
        <w:rPr>
          <w:lang w:eastAsia="zh-CN"/>
        </w:rPr>
        <w:t xml:space="preserve">planned to be transferred offshore </w:t>
      </w:r>
      <w:r w:rsidR="00E64882">
        <w:rPr>
          <w:rFonts w:hint="eastAsia"/>
          <w:lang w:eastAsia="zh-CN"/>
        </w:rPr>
        <w:t>w</w:t>
      </w:r>
      <w:r w:rsidR="00E64882">
        <w:rPr>
          <w:lang w:eastAsia="zh-CN"/>
        </w:rPr>
        <w:t xml:space="preserve">ill also need to meet </w:t>
      </w:r>
      <w:r>
        <w:rPr>
          <w:lang w:eastAsia="zh-CN"/>
        </w:rPr>
        <w:t xml:space="preserve">a range of </w:t>
      </w:r>
      <w:r w:rsidR="00844F1D">
        <w:rPr>
          <w:lang w:eastAsia="zh-CN"/>
        </w:rPr>
        <w:t xml:space="preserve">requirements, including </w:t>
      </w:r>
      <w:r w:rsidR="009D6FC1">
        <w:rPr>
          <w:lang w:eastAsia="zh-CN"/>
        </w:rPr>
        <w:t>having a</w:t>
      </w:r>
      <w:r w:rsidR="00844F1D">
        <w:rPr>
          <w:lang w:eastAsia="zh-CN"/>
        </w:rPr>
        <w:t xml:space="preserve"> “</w:t>
      </w:r>
      <w:r w:rsidR="00155222">
        <w:rPr>
          <w:lang w:eastAsia="zh-CN"/>
        </w:rPr>
        <w:t xml:space="preserve">specific </w:t>
      </w:r>
      <w:r w:rsidR="00844F1D">
        <w:rPr>
          <w:lang w:eastAsia="zh-CN"/>
        </w:rPr>
        <w:t>and reasonable purpose”</w:t>
      </w:r>
      <w:r w:rsidR="00844F1D">
        <w:rPr>
          <w:rFonts w:hint="eastAsia"/>
          <w:lang w:eastAsia="zh-CN"/>
        </w:rPr>
        <w:t>,</w:t>
      </w:r>
      <w:r w:rsidR="00844F1D">
        <w:rPr>
          <w:lang w:eastAsia="zh-CN"/>
        </w:rPr>
        <w:t xml:space="preserve"> ensur</w:t>
      </w:r>
      <w:r w:rsidR="00155222">
        <w:rPr>
          <w:lang w:eastAsia="zh-CN"/>
        </w:rPr>
        <w:t>ing</w:t>
      </w:r>
      <w:r w:rsidR="00844F1D">
        <w:rPr>
          <w:lang w:eastAsia="zh-CN"/>
        </w:rPr>
        <w:t xml:space="preserve"> the security of the information, and </w:t>
      </w:r>
      <w:r w:rsidR="004E5690">
        <w:rPr>
          <w:lang w:eastAsia="zh-CN"/>
        </w:rPr>
        <w:t>disclos</w:t>
      </w:r>
      <w:r w:rsidR="00155222">
        <w:rPr>
          <w:lang w:eastAsia="zh-CN"/>
        </w:rPr>
        <w:t>ing</w:t>
      </w:r>
      <w:r w:rsidR="004E5690">
        <w:rPr>
          <w:lang w:eastAsia="zh-CN"/>
        </w:rPr>
        <w:t xml:space="preserve"> the process to the individual</w:t>
      </w:r>
      <w:r w:rsidR="00E63AEC">
        <w:rPr>
          <w:lang w:eastAsia="zh-CN"/>
        </w:rPr>
        <w:t xml:space="preserve"> whose personal information is involved</w:t>
      </w:r>
      <w:r w:rsidR="004E5690">
        <w:rPr>
          <w:lang w:eastAsia="zh-CN"/>
        </w:rPr>
        <w:t xml:space="preserve">. </w:t>
      </w:r>
    </w:p>
    <w:p w14:paraId="7C9BBF8D" w14:textId="59C11830" w:rsidR="004E5690" w:rsidRDefault="008D210B" w:rsidP="00360B4F">
      <w:pPr>
        <w:rPr>
          <w:lang w:eastAsia="zh-CN"/>
        </w:rPr>
      </w:pPr>
      <w:r>
        <w:rPr>
          <w:lang w:eastAsia="zh-CN"/>
        </w:rPr>
        <w:t>Under</w:t>
      </w:r>
      <w:r w:rsidR="004E5690">
        <w:rPr>
          <w:lang w:eastAsia="zh-CN"/>
        </w:rPr>
        <w:t xml:space="preserve"> the PIPL, foreign entities that are deemed to</w:t>
      </w:r>
      <w:r w:rsidR="00E63AEC">
        <w:rPr>
          <w:lang w:eastAsia="zh-CN"/>
        </w:rPr>
        <w:t xml:space="preserve"> have</w:t>
      </w:r>
      <w:r w:rsidR="004E5690">
        <w:rPr>
          <w:lang w:eastAsia="zh-CN"/>
        </w:rPr>
        <w:t xml:space="preserve"> violate</w:t>
      </w:r>
      <w:r w:rsidR="00E63AEC">
        <w:rPr>
          <w:lang w:eastAsia="zh-CN"/>
        </w:rPr>
        <w:t>d the</w:t>
      </w:r>
      <w:r w:rsidR="004E5690">
        <w:rPr>
          <w:lang w:eastAsia="zh-CN"/>
        </w:rPr>
        <w:t xml:space="preserve"> personal information rights and interests of the Chinese people and/or endanger</w:t>
      </w:r>
      <w:r w:rsidR="00E63AEC">
        <w:rPr>
          <w:lang w:eastAsia="zh-CN"/>
        </w:rPr>
        <w:t>ed the</w:t>
      </w:r>
      <w:r w:rsidR="004E5690">
        <w:rPr>
          <w:lang w:eastAsia="zh-CN"/>
        </w:rPr>
        <w:t xml:space="preserve"> national security or public interest of China through </w:t>
      </w:r>
      <w:r w:rsidR="00E63AEC">
        <w:rPr>
          <w:lang w:eastAsia="zh-CN"/>
        </w:rPr>
        <w:t xml:space="preserve">their </w:t>
      </w:r>
      <w:r w:rsidR="004E5690">
        <w:rPr>
          <w:lang w:eastAsia="zh-CN"/>
        </w:rPr>
        <w:t>information processing activities may</w:t>
      </w:r>
      <w:r>
        <w:rPr>
          <w:lang w:eastAsia="zh-CN"/>
        </w:rPr>
        <w:t xml:space="preserve"> </w:t>
      </w:r>
      <w:r w:rsidR="004E5690">
        <w:rPr>
          <w:lang w:eastAsia="zh-CN"/>
        </w:rPr>
        <w:t>be subject to sanctions</w:t>
      </w:r>
      <w:r>
        <w:rPr>
          <w:lang w:eastAsia="zh-CN"/>
        </w:rPr>
        <w:t>,</w:t>
      </w:r>
      <w:r w:rsidR="004E5690">
        <w:rPr>
          <w:lang w:eastAsia="zh-CN"/>
        </w:rPr>
        <w:t xml:space="preserve"> including </w:t>
      </w:r>
      <w:r w:rsidR="00EC3524">
        <w:rPr>
          <w:lang w:eastAsia="zh-CN"/>
        </w:rPr>
        <w:t xml:space="preserve">being </w:t>
      </w:r>
      <w:r w:rsidR="004E5690">
        <w:rPr>
          <w:lang w:eastAsia="zh-CN"/>
        </w:rPr>
        <w:lastRenderedPageBreak/>
        <w:t>placed on a “negative list” by the Chines</w:t>
      </w:r>
      <w:r w:rsidR="00A76439">
        <w:rPr>
          <w:lang w:eastAsia="zh-CN"/>
        </w:rPr>
        <w:t>e</w:t>
      </w:r>
      <w:r w:rsidR="004E5690">
        <w:rPr>
          <w:lang w:eastAsia="zh-CN"/>
        </w:rPr>
        <w:t xml:space="preserve"> national cybersecurity administration. The </w:t>
      </w:r>
      <w:r w:rsidR="00E63AEC">
        <w:rPr>
          <w:lang w:eastAsia="zh-CN"/>
        </w:rPr>
        <w:t xml:space="preserve">PIPL </w:t>
      </w:r>
      <w:r w:rsidR="004E5690">
        <w:rPr>
          <w:lang w:eastAsia="zh-CN"/>
        </w:rPr>
        <w:t>also stipulates that any country or region that takes discriminatory</w:t>
      </w:r>
      <w:r>
        <w:rPr>
          <w:lang w:eastAsia="zh-CN"/>
        </w:rPr>
        <w:t>,</w:t>
      </w:r>
      <w:r w:rsidR="004E5690">
        <w:rPr>
          <w:lang w:eastAsia="zh-CN"/>
        </w:rPr>
        <w:t xml:space="preserve"> prohibitive, restrictive or other similar measures against China in respect to </w:t>
      </w:r>
      <w:r>
        <w:rPr>
          <w:lang w:eastAsia="zh-CN"/>
        </w:rPr>
        <w:t>these matters</w:t>
      </w:r>
      <w:r w:rsidR="004E5690">
        <w:rPr>
          <w:lang w:eastAsia="zh-CN"/>
        </w:rPr>
        <w:t xml:space="preserve"> may see China taking a reciprocal approach. </w:t>
      </w:r>
    </w:p>
    <w:p w14:paraId="60F1FC63" w14:textId="2C000B68" w:rsidR="00C24D8A" w:rsidRDefault="00CE5966" w:rsidP="00B61EBA">
      <w:pPr>
        <w:rPr>
          <w:lang w:val="en-US" w:eastAsia="zh-CN"/>
        </w:rPr>
      </w:pPr>
      <w:r>
        <w:rPr>
          <w:lang w:val="en-US" w:eastAsia="zh-CN"/>
        </w:rPr>
        <w:t>The PIPL also goes into detail</w:t>
      </w:r>
      <w:r w:rsidR="005B52E4">
        <w:rPr>
          <w:lang w:val="en-US" w:eastAsia="zh-CN"/>
        </w:rPr>
        <w:t xml:space="preserve"> on some key aspects of data processing, including</w:t>
      </w:r>
      <w:r w:rsidR="00E63AEC">
        <w:rPr>
          <w:lang w:val="en-US" w:eastAsia="zh-CN"/>
        </w:rPr>
        <w:t xml:space="preserve"> the</w:t>
      </w:r>
      <w:r w:rsidR="00DA465B">
        <w:rPr>
          <w:lang w:val="en-US" w:eastAsia="zh-CN"/>
        </w:rPr>
        <w:t xml:space="preserve"> management of</w:t>
      </w:r>
      <w:r w:rsidR="005B52E4">
        <w:rPr>
          <w:lang w:val="en-US" w:eastAsia="zh-CN"/>
        </w:rPr>
        <w:t xml:space="preserve"> sensitive data</w:t>
      </w:r>
      <w:r w:rsidR="00E63AEC">
        <w:rPr>
          <w:lang w:val="en-US" w:eastAsia="zh-CN"/>
        </w:rPr>
        <w:t xml:space="preserve"> and of</w:t>
      </w:r>
      <w:r w:rsidR="005B52E4">
        <w:rPr>
          <w:lang w:val="en-US" w:eastAsia="zh-CN"/>
        </w:rPr>
        <w:t xml:space="preserve"> </w:t>
      </w:r>
      <w:r w:rsidR="00B81F0D">
        <w:rPr>
          <w:lang w:val="en-US" w:eastAsia="zh-CN"/>
        </w:rPr>
        <w:t xml:space="preserve">data </w:t>
      </w:r>
      <w:r w:rsidR="00E63AEC">
        <w:rPr>
          <w:lang w:val="en-US" w:eastAsia="zh-CN"/>
        </w:rPr>
        <w:t>concerning</w:t>
      </w:r>
      <w:r w:rsidR="00B81F0D">
        <w:rPr>
          <w:lang w:val="en-US" w:eastAsia="zh-CN"/>
        </w:rPr>
        <w:t xml:space="preserve"> minors</w:t>
      </w:r>
      <w:r w:rsidR="00413DB0">
        <w:rPr>
          <w:lang w:val="en-US" w:eastAsia="zh-CN"/>
        </w:rPr>
        <w:t>. It also imposes</w:t>
      </w:r>
      <w:r w:rsidR="00B81F0D">
        <w:rPr>
          <w:lang w:val="en-US" w:eastAsia="zh-CN"/>
        </w:rPr>
        <w:t xml:space="preserve"> sanctions and</w:t>
      </w:r>
      <w:r w:rsidR="005B52E4">
        <w:rPr>
          <w:lang w:val="en-US" w:eastAsia="zh-CN"/>
        </w:rPr>
        <w:t xml:space="preserve"> legal liabilities </w:t>
      </w:r>
      <w:r w:rsidR="00DA465B">
        <w:rPr>
          <w:lang w:val="en-US" w:eastAsia="zh-CN"/>
        </w:rPr>
        <w:t>for</w:t>
      </w:r>
      <w:r w:rsidR="00413DB0">
        <w:rPr>
          <w:lang w:val="en-US" w:eastAsia="zh-CN"/>
        </w:rPr>
        <w:t xml:space="preserve"> information</w:t>
      </w:r>
      <w:r w:rsidR="00DA465B">
        <w:rPr>
          <w:lang w:val="en-US" w:eastAsia="zh-CN"/>
        </w:rPr>
        <w:t xml:space="preserve"> processors that </w:t>
      </w:r>
      <w:r w:rsidR="00571418">
        <w:rPr>
          <w:lang w:val="en-US" w:eastAsia="zh-CN"/>
        </w:rPr>
        <w:t>fail to adhere to</w:t>
      </w:r>
      <w:r w:rsidR="008D210B">
        <w:rPr>
          <w:lang w:val="en-US" w:eastAsia="zh-CN"/>
        </w:rPr>
        <w:t xml:space="preserve"> the</w:t>
      </w:r>
      <w:r w:rsidR="00571418">
        <w:rPr>
          <w:lang w:val="en-US" w:eastAsia="zh-CN"/>
        </w:rPr>
        <w:t xml:space="preserve"> PIPL.</w:t>
      </w:r>
      <w:r w:rsidR="00DA465B">
        <w:rPr>
          <w:lang w:val="en-US" w:eastAsia="zh-CN"/>
        </w:rPr>
        <w:t xml:space="preserve"> </w:t>
      </w:r>
    </w:p>
    <w:p w14:paraId="5459D0E1" w14:textId="5A987BED" w:rsidR="00DA465B" w:rsidRDefault="006A155F" w:rsidP="00B61EBA">
      <w:pPr>
        <w:rPr>
          <w:lang w:val="en-US" w:eastAsia="zh-CN"/>
        </w:rPr>
      </w:pPr>
      <w:r w:rsidRPr="008279E5">
        <w:rPr>
          <w:lang w:val="en-US" w:eastAsia="zh-CN"/>
        </w:rPr>
        <w:t>S</w:t>
      </w:r>
      <w:r w:rsidR="00C24D8A" w:rsidRPr="008279E5">
        <w:rPr>
          <w:lang w:val="en-US" w:eastAsia="zh-CN"/>
        </w:rPr>
        <w:t>ome s</w:t>
      </w:r>
      <w:r w:rsidRPr="008279E5">
        <w:rPr>
          <w:lang w:val="en-US" w:eastAsia="zh-CN"/>
        </w:rPr>
        <w:t>upporting documents</w:t>
      </w:r>
      <w:r w:rsidR="00DA465B" w:rsidRPr="008279E5">
        <w:rPr>
          <w:lang w:val="en-US" w:eastAsia="zh-CN"/>
        </w:rPr>
        <w:t xml:space="preserve"> </w:t>
      </w:r>
      <w:r w:rsidRPr="008279E5">
        <w:rPr>
          <w:lang w:val="en-US" w:eastAsia="zh-CN"/>
        </w:rPr>
        <w:t xml:space="preserve">on the procedures outlined in the PIPL have </w:t>
      </w:r>
      <w:r w:rsidR="0093646A" w:rsidRPr="008279E5">
        <w:rPr>
          <w:lang w:val="en-US" w:eastAsia="zh-CN"/>
        </w:rPr>
        <w:t xml:space="preserve">recently </w:t>
      </w:r>
      <w:r w:rsidRPr="008279E5">
        <w:rPr>
          <w:lang w:val="en-US" w:eastAsia="zh-CN"/>
        </w:rPr>
        <w:t xml:space="preserve">been </w:t>
      </w:r>
      <w:r w:rsidR="00D73FD5" w:rsidRPr="008279E5">
        <w:rPr>
          <w:lang w:val="en-US" w:eastAsia="zh-CN"/>
        </w:rPr>
        <w:t>published</w:t>
      </w:r>
      <w:r w:rsidRPr="008279E5">
        <w:rPr>
          <w:lang w:val="en-US" w:eastAsia="zh-CN"/>
        </w:rPr>
        <w:t xml:space="preserve">. </w:t>
      </w:r>
      <w:r w:rsidR="00721690" w:rsidRPr="008279E5">
        <w:rPr>
          <w:lang w:val="en-US" w:eastAsia="zh-CN"/>
        </w:rPr>
        <w:t>In June 2022, the Cyberspace Administration of China (CAC) released</w:t>
      </w:r>
      <w:r w:rsidR="0060588F" w:rsidRPr="008279E5">
        <w:rPr>
          <w:lang w:val="en-US" w:eastAsia="zh-CN"/>
        </w:rPr>
        <w:t xml:space="preserve"> a draft document</w:t>
      </w:r>
      <w:r w:rsidR="006B7736" w:rsidRPr="008279E5">
        <w:rPr>
          <w:lang w:val="en-US" w:eastAsia="zh-CN"/>
        </w:rPr>
        <w:t xml:space="preserve"> </w:t>
      </w:r>
      <w:r w:rsidR="0060588F" w:rsidRPr="008279E5">
        <w:rPr>
          <w:lang w:val="en-US" w:eastAsia="zh-CN"/>
        </w:rPr>
        <w:t>“</w:t>
      </w:r>
      <w:r w:rsidR="0060588F" w:rsidRPr="008279E5">
        <w:rPr>
          <w:i/>
          <w:iCs/>
          <w:lang w:val="en-US" w:eastAsia="zh-CN"/>
        </w:rPr>
        <w:t>Standard Contracts for Cross-border Transfer of Personal Information</w:t>
      </w:r>
      <w:r w:rsidR="0060588F" w:rsidRPr="008279E5">
        <w:rPr>
          <w:lang w:val="en-US" w:eastAsia="zh-CN"/>
        </w:rPr>
        <w:t>”</w:t>
      </w:r>
      <w:r w:rsidR="00AD41AB" w:rsidRPr="008279E5">
        <w:rPr>
          <w:rStyle w:val="EndnoteReference"/>
          <w:lang w:val="en-US" w:eastAsia="zh-CN"/>
        </w:rPr>
        <w:endnoteReference w:id="4"/>
      </w:r>
      <w:r w:rsidR="0060588F" w:rsidRPr="008279E5">
        <w:rPr>
          <w:lang w:val="en-US" w:eastAsia="zh-CN"/>
        </w:rPr>
        <w:t xml:space="preserve"> for </w:t>
      </w:r>
      <w:r w:rsidR="006B7736" w:rsidRPr="008279E5">
        <w:rPr>
          <w:lang w:val="en-US" w:eastAsia="zh-CN"/>
        </w:rPr>
        <w:t>comment. I</w:t>
      </w:r>
      <w:r w:rsidRPr="008279E5">
        <w:rPr>
          <w:rFonts w:hint="eastAsia"/>
          <w:lang w:val="en-US" w:eastAsia="zh-CN"/>
        </w:rPr>
        <w:t>n</w:t>
      </w:r>
      <w:r w:rsidRPr="008279E5">
        <w:rPr>
          <w:lang w:val="en-US" w:eastAsia="zh-CN"/>
        </w:rPr>
        <w:t xml:space="preserve"> July 2022</w:t>
      </w:r>
      <w:r w:rsidRPr="008279E5">
        <w:rPr>
          <w:rFonts w:hint="eastAsia"/>
          <w:lang w:val="en-US" w:eastAsia="zh-CN"/>
        </w:rPr>
        <w:t>,</w:t>
      </w:r>
      <w:r w:rsidRPr="008279E5">
        <w:rPr>
          <w:lang w:val="en-US" w:eastAsia="zh-CN"/>
        </w:rPr>
        <w:t xml:space="preserve"> the </w:t>
      </w:r>
      <w:r w:rsidR="0060588F" w:rsidRPr="008279E5">
        <w:rPr>
          <w:lang w:val="en-US" w:eastAsia="zh-CN"/>
        </w:rPr>
        <w:t>CAC</w:t>
      </w:r>
      <w:r w:rsidRPr="008279E5">
        <w:rPr>
          <w:lang w:val="en-US" w:eastAsia="zh-CN"/>
        </w:rPr>
        <w:t xml:space="preserve"> issued the “</w:t>
      </w:r>
      <w:r w:rsidRPr="008279E5">
        <w:rPr>
          <w:i/>
          <w:iCs/>
          <w:lang w:val="en-US" w:eastAsia="zh-CN"/>
        </w:rPr>
        <w:t>Measures for Security Assessment for Cross-Border Data Transfers</w:t>
      </w:r>
      <w:r w:rsidRPr="008279E5">
        <w:rPr>
          <w:lang w:val="en-US" w:eastAsia="zh-CN"/>
        </w:rPr>
        <w:t>”</w:t>
      </w:r>
      <w:r w:rsidR="004A409A" w:rsidRPr="008279E5">
        <w:rPr>
          <w:rStyle w:val="EndnoteReference"/>
          <w:lang w:val="en-US" w:eastAsia="zh-CN"/>
        </w:rPr>
        <w:endnoteReference w:id="5"/>
      </w:r>
      <w:r w:rsidR="006B7736" w:rsidRPr="008279E5">
        <w:rPr>
          <w:lang w:val="en-US" w:eastAsia="zh-CN"/>
        </w:rPr>
        <w:t xml:space="preserve">, </w:t>
      </w:r>
      <w:r w:rsidR="00CE55BE" w:rsidRPr="008279E5">
        <w:rPr>
          <w:lang w:val="en-US" w:eastAsia="zh-CN"/>
        </w:rPr>
        <w:t xml:space="preserve">which will </w:t>
      </w:r>
      <w:r w:rsidR="006B7736" w:rsidRPr="008279E5">
        <w:rPr>
          <w:lang w:val="en-US" w:eastAsia="zh-CN"/>
        </w:rPr>
        <w:t>take effect</w:t>
      </w:r>
      <w:r w:rsidR="00CE55BE" w:rsidRPr="008279E5">
        <w:rPr>
          <w:lang w:val="en-US" w:eastAsia="zh-CN"/>
        </w:rPr>
        <w:t xml:space="preserve"> from September 2022.</w:t>
      </w:r>
      <w:r w:rsidR="00C24D8A" w:rsidRPr="008279E5">
        <w:t xml:space="preserve"> </w:t>
      </w:r>
      <w:r w:rsidR="00CE55BE" w:rsidRPr="008279E5">
        <w:t xml:space="preserve">Both </w:t>
      </w:r>
      <w:r w:rsidR="00CE55BE" w:rsidRPr="008279E5">
        <w:rPr>
          <w:lang w:val="en-US" w:eastAsia="zh-CN"/>
        </w:rPr>
        <w:t>document</w:t>
      </w:r>
      <w:r w:rsidR="00721690" w:rsidRPr="008279E5">
        <w:rPr>
          <w:lang w:val="en-US" w:eastAsia="zh-CN"/>
        </w:rPr>
        <w:t>s</w:t>
      </w:r>
      <w:r w:rsidR="00C24D8A" w:rsidRPr="008279E5">
        <w:rPr>
          <w:lang w:val="en-US" w:eastAsia="zh-CN"/>
        </w:rPr>
        <w:t xml:space="preserve"> provide </w:t>
      </w:r>
      <w:r w:rsidR="006B7736" w:rsidRPr="008279E5">
        <w:rPr>
          <w:lang w:val="en-US" w:eastAsia="zh-CN"/>
        </w:rPr>
        <w:t xml:space="preserve">further information on </w:t>
      </w:r>
      <w:r w:rsidR="00CE55BE" w:rsidRPr="008279E5">
        <w:rPr>
          <w:lang w:val="en-US" w:eastAsia="zh-CN"/>
        </w:rPr>
        <w:t>Article 38</w:t>
      </w:r>
      <w:r w:rsidR="00C24D8A" w:rsidRPr="008279E5">
        <w:rPr>
          <w:lang w:val="en-US" w:eastAsia="zh-CN"/>
        </w:rPr>
        <w:t xml:space="preserve"> of the PIPL, which </w:t>
      </w:r>
      <w:r w:rsidR="00721690" w:rsidRPr="008279E5">
        <w:rPr>
          <w:lang w:val="en-US" w:eastAsia="zh-CN"/>
        </w:rPr>
        <w:t>deals with the</w:t>
      </w:r>
      <w:r w:rsidR="00C24D8A" w:rsidRPr="008279E5">
        <w:rPr>
          <w:lang w:val="en-US" w:eastAsia="zh-CN"/>
        </w:rPr>
        <w:t xml:space="preserve"> transfer</w:t>
      </w:r>
      <w:r w:rsidR="00721690" w:rsidRPr="008279E5">
        <w:rPr>
          <w:lang w:val="en-US" w:eastAsia="zh-CN"/>
        </w:rPr>
        <w:t xml:space="preserve"> of</w:t>
      </w:r>
      <w:r w:rsidR="00C24D8A" w:rsidRPr="008279E5">
        <w:rPr>
          <w:lang w:val="en-US" w:eastAsia="zh-CN"/>
        </w:rPr>
        <w:t xml:space="preserve"> </w:t>
      </w:r>
      <w:r w:rsidR="00D73FD5" w:rsidRPr="008279E5">
        <w:rPr>
          <w:lang w:val="en-US" w:eastAsia="zh-CN"/>
        </w:rPr>
        <w:t xml:space="preserve">personal information </w:t>
      </w:r>
      <w:r w:rsidR="00C24D8A" w:rsidRPr="008279E5">
        <w:rPr>
          <w:lang w:val="en-US" w:eastAsia="zh-CN"/>
        </w:rPr>
        <w:t>data from China to an overseas location</w:t>
      </w:r>
      <w:r w:rsidR="006B7736" w:rsidRPr="008279E5">
        <w:rPr>
          <w:lang w:val="en-US" w:eastAsia="zh-CN"/>
        </w:rPr>
        <w:t xml:space="preserve">. </w:t>
      </w:r>
      <w:r w:rsidR="00D73FD5" w:rsidRPr="008279E5">
        <w:rPr>
          <w:lang w:val="en-US" w:eastAsia="zh-CN"/>
        </w:rPr>
        <w:t xml:space="preserve">It is </w:t>
      </w:r>
      <w:r w:rsidR="00C24D8A" w:rsidRPr="008279E5">
        <w:rPr>
          <w:lang w:val="en-US" w:eastAsia="zh-CN"/>
        </w:rPr>
        <w:t xml:space="preserve">expected that other supporting </w:t>
      </w:r>
      <w:r w:rsidR="00D73FD5" w:rsidRPr="008279E5">
        <w:rPr>
          <w:lang w:val="en-US" w:eastAsia="zh-CN"/>
        </w:rPr>
        <w:t>documents of the PIPL</w:t>
      </w:r>
      <w:r w:rsidR="00C24D8A" w:rsidRPr="008279E5">
        <w:rPr>
          <w:lang w:val="en-US" w:eastAsia="zh-CN"/>
        </w:rPr>
        <w:t xml:space="preserve"> </w:t>
      </w:r>
      <w:r w:rsidR="00D73FD5" w:rsidRPr="008279E5">
        <w:rPr>
          <w:lang w:val="en-US" w:eastAsia="zh-CN"/>
        </w:rPr>
        <w:t>will be</w:t>
      </w:r>
      <w:r w:rsidR="00DA465B" w:rsidRPr="008279E5">
        <w:rPr>
          <w:lang w:val="en-US" w:eastAsia="zh-CN"/>
        </w:rPr>
        <w:t xml:space="preserve"> released in the near future.</w:t>
      </w:r>
    </w:p>
    <w:p w14:paraId="471ED150" w14:textId="19B3FC7E" w:rsidR="00844F1D" w:rsidRDefault="00844F1D" w:rsidP="00B61EBA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PIPL is expected to work </w:t>
      </w:r>
      <w:r w:rsidR="004E5690">
        <w:rPr>
          <w:lang w:val="en-US" w:eastAsia="zh-CN"/>
        </w:rPr>
        <w:t>together with</w:t>
      </w:r>
      <w:r w:rsidR="00187B30">
        <w:rPr>
          <w:lang w:val="en-US" w:eastAsia="zh-CN"/>
        </w:rPr>
        <w:t xml:space="preserve"> the</w:t>
      </w:r>
      <w:r w:rsidR="004E5690">
        <w:rPr>
          <w:lang w:val="en-US" w:eastAsia="zh-CN"/>
        </w:rPr>
        <w:t xml:space="preserve"> Cybersecurity Law (CSL) and Data Security Law (DSL) that </w:t>
      </w:r>
      <w:r w:rsidR="00413DB0">
        <w:rPr>
          <w:lang w:val="en-US" w:eastAsia="zh-CN"/>
        </w:rPr>
        <w:t xml:space="preserve">(both </w:t>
      </w:r>
      <w:r w:rsidR="00187B30">
        <w:rPr>
          <w:lang w:val="en-US" w:eastAsia="zh-CN"/>
        </w:rPr>
        <w:t>also</w:t>
      </w:r>
      <w:r w:rsidR="004E5690">
        <w:rPr>
          <w:lang w:val="en-US" w:eastAsia="zh-CN"/>
        </w:rPr>
        <w:t xml:space="preserve"> passed recently</w:t>
      </w:r>
      <w:r w:rsidR="00413DB0">
        <w:rPr>
          <w:lang w:val="en-US" w:eastAsia="zh-CN"/>
        </w:rPr>
        <w:t>)</w:t>
      </w:r>
      <w:r w:rsidR="004E5690">
        <w:rPr>
          <w:lang w:val="en-US" w:eastAsia="zh-CN"/>
        </w:rPr>
        <w:t xml:space="preserve"> to oversee</w:t>
      </w:r>
      <w:r w:rsidR="00413DB0">
        <w:rPr>
          <w:lang w:val="en-US" w:eastAsia="zh-CN"/>
        </w:rPr>
        <w:t xml:space="preserve"> the</w:t>
      </w:r>
      <w:r w:rsidR="004E5690">
        <w:rPr>
          <w:lang w:val="en-US" w:eastAsia="zh-CN"/>
        </w:rPr>
        <w:t xml:space="preserve"> data security of China. </w:t>
      </w:r>
    </w:p>
    <w:p w14:paraId="787B614F" w14:textId="26A2BA94" w:rsidR="00DA465B" w:rsidRDefault="00187B30" w:rsidP="00B61EBA">
      <w:pPr>
        <w:rPr>
          <w:lang w:eastAsia="zh-CN"/>
        </w:rPr>
      </w:pPr>
      <w:r>
        <w:rPr>
          <w:lang w:eastAsia="zh-CN"/>
        </w:rPr>
        <w:t>Education p</w:t>
      </w:r>
      <w:r w:rsidRPr="00DA465B">
        <w:rPr>
          <w:lang w:eastAsia="zh-CN"/>
        </w:rPr>
        <w:t xml:space="preserve">roviders </w:t>
      </w:r>
      <w:r w:rsidR="00DA465B" w:rsidRPr="00DA465B">
        <w:rPr>
          <w:lang w:eastAsia="zh-CN"/>
        </w:rPr>
        <w:t xml:space="preserve">and other organisations </w:t>
      </w:r>
      <w:r w:rsidR="00413DB0">
        <w:rPr>
          <w:lang w:eastAsia="zh-CN"/>
        </w:rPr>
        <w:t>potentially</w:t>
      </w:r>
      <w:r w:rsidR="00DA465B" w:rsidRPr="00DA465B">
        <w:rPr>
          <w:lang w:eastAsia="zh-CN"/>
        </w:rPr>
        <w:t xml:space="preserve"> subject to the PIPL are advised to conduct a self-assessment of their compliance with the law and, where necessary, seek professional legal advice</w:t>
      </w:r>
      <w:r w:rsidR="004E5690">
        <w:rPr>
          <w:rFonts w:hint="eastAsia"/>
          <w:lang w:eastAsia="zh-CN"/>
        </w:rPr>
        <w:t>.</w:t>
      </w:r>
      <w:r w:rsidR="004E5690">
        <w:rPr>
          <w:lang w:eastAsia="zh-CN"/>
        </w:rPr>
        <w:t xml:space="preserve"> </w:t>
      </w:r>
    </w:p>
    <w:p w14:paraId="798D24BE" w14:textId="11AD635A" w:rsidR="00580952" w:rsidRPr="00B61EBA" w:rsidRDefault="00B61EBA" w:rsidP="00B61EBA">
      <w:pPr>
        <w:rPr>
          <w:lang w:val="en-US"/>
        </w:rPr>
      </w:pPr>
      <w:r w:rsidRPr="00B61EBA">
        <w:rPr>
          <w:lang w:val="en-US"/>
        </w:rPr>
        <w:t>For further enquiries, please contact the </w:t>
      </w:r>
      <w:hyperlink r:id="rId18" w:history="1">
        <w:r w:rsidRPr="00B61EBA">
          <w:rPr>
            <w:rStyle w:val="Hyperlink"/>
            <w:lang w:val="en-US"/>
          </w:rPr>
          <w:t>Education and Research Section</w:t>
        </w:r>
      </w:hyperlink>
      <w:r w:rsidRPr="00B61EBA">
        <w:rPr>
          <w:lang w:val="en-US"/>
        </w:rPr>
        <w:t> of the Australian Embassy in Beijing.</w:t>
      </w:r>
    </w:p>
    <w:sectPr w:rsidR="00580952" w:rsidRPr="00B61EBA" w:rsidSect="008507C1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5485" w14:textId="77777777" w:rsidR="00D35918" w:rsidRDefault="00D35918" w:rsidP="0051352E">
      <w:pPr>
        <w:spacing w:after="0" w:line="240" w:lineRule="auto"/>
      </w:pPr>
      <w:r>
        <w:separator/>
      </w:r>
    </w:p>
  </w:endnote>
  <w:endnote w:type="continuationSeparator" w:id="0">
    <w:p w14:paraId="432CC96E" w14:textId="77777777" w:rsidR="00D35918" w:rsidRDefault="00D35918" w:rsidP="0051352E">
      <w:pPr>
        <w:spacing w:after="0" w:line="240" w:lineRule="auto"/>
      </w:pPr>
      <w:r>
        <w:continuationSeparator/>
      </w:r>
    </w:p>
  </w:endnote>
  <w:endnote w:id="1">
    <w:p w14:paraId="0B2DF107" w14:textId="114AC0CF" w:rsidR="00580952" w:rsidRDefault="0058095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80952">
        <w:t>People's Republic of China, The National People’s Congress, “</w:t>
      </w:r>
      <w:r w:rsidRPr="00580952">
        <w:rPr>
          <w:rFonts w:hint="eastAsia"/>
        </w:rPr>
        <w:t>中华人民共和国个人信息保护法</w:t>
      </w:r>
      <w:r w:rsidRPr="00580952">
        <w:rPr>
          <w:rFonts w:hint="eastAsia"/>
        </w:rPr>
        <w:t xml:space="preserve"> </w:t>
      </w:r>
      <w:r w:rsidRPr="00580952">
        <w:t>(</w:t>
      </w:r>
      <w:r w:rsidRPr="0008702E">
        <w:rPr>
          <w:i/>
          <w:iCs/>
        </w:rPr>
        <w:t>Personal Information Protection Law of the People’s Republic of China</w:t>
      </w:r>
      <w:r w:rsidRPr="00580952">
        <w:t xml:space="preserve">)”, 20 August 2021. </w:t>
      </w:r>
      <w:hyperlink r:id="rId1" w:history="1">
        <w:r w:rsidRPr="00580952">
          <w:rPr>
            <w:rStyle w:val="Hyperlink"/>
          </w:rPr>
          <w:t>http://www.npc.gov.cn/npc/c30834/202108/a8c4e3672c74491a80b53a172bb753fe.shtml</w:t>
        </w:r>
      </w:hyperlink>
      <w:r w:rsidRPr="00580952">
        <w:t xml:space="preserve">  </w:t>
      </w:r>
    </w:p>
  </w:endnote>
  <w:endnote w:id="2">
    <w:p w14:paraId="43ACAA36" w14:textId="633E6584" w:rsidR="000F4D14" w:rsidRPr="000F4D14" w:rsidRDefault="000F4D14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eastAsia="zh-CN"/>
        </w:rPr>
        <w:t>Anonymised data are information that have been irreversibly removed of all identifiers and that the data subjects are no longer identifiable in any way</w:t>
      </w:r>
    </w:p>
  </w:endnote>
  <w:endnote w:id="3">
    <w:p w14:paraId="058C60C9" w14:textId="4BDC93D4" w:rsidR="00580952" w:rsidRDefault="00580952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 w:rsidR="00413DB0">
        <w:t>R</w:t>
      </w:r>
      <w:r w:rsidRPr="00580952">
        <w:t>eferred in the PIPL as “Personal Information Processor”</w:t>
      </w:r>
    </w:p>
  </w:endnote>
  <w:endnote w:id="4">
    <w:p w14:paraId="26D7158E" w14:textId="47933F0A" w:rsidR="00AD41AB" w:rsidRDefault="00AD41AB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 w:rsidRPr="00AD41AB">
        <w:t>People's Republic of China, Cyberspace Administration of China, “</w:t>
      </w:r>
      <w:r w:rsidRPr="00AD41AB">
        <w:rPr>
          <w:rFonts w:hint="eastAsia"/>
        </w:rPr>
        <w:t>国家互联网信息办公室关于《个人信息出境标准合同规定（征求意见稿）》公开征求意见的通知</w:t>
      </w:r>
      <w:r w:rsidRPr="00AD41AB">
        <w:rPr>
          <w:rFonts w:hint="eastAsia"/>
        </w:rPr>
        <w:t xml:space="preserve"> </w:t>
      </w:r>
      <w:r w:rsidRPr="00AD41AB">
        <w:t>(</w:t>
      </w:r>
      <w:r w:rsidRPr="00AD41AB">
        <w:rPr>
          <w:i/>
          <w:iCs/>
        </w:rPr>
        <w:t xml:space="preserve">Notice of the </w:t>
      </w:r>
      <w:r w:rsidRPr="00AD41AB">
        <w:rPr>
          <w:i/>
          <w:iCs/>
          <w:lang w:val="en-US"/>
        </w:rPr>
        <w:t xml:space="preserve">the Cyberspace Administration of China </w:t>
      </w:r>
      <w:r w:rsidRPr="00AD41AB">
        <w:rPr>
          <w:i/>
          <w:iCs/>
        </w:rPr>
        <w:t>on the Public Consultation on the Standard Contracts for Cross-border Transfer of Personal Information (Draft for Comments)</w:t>
      </w:r>
      <w:r w:rsidRPr="00AD41AB">
        <w:t xml:space="preserve">)”, 30 June 2022. </w:t>
      </w:r>
      <w:hyperlink r:id="rId2" w:history="1">
        <w:r w:rsidRPr="00AD41AB">
          <w:rPr>
            <w:rStyle w:val="Hyperlink"/>
          </w:rPr>
          <w:t>http://www.moj.gov.cn/pub/sfbgw/lfyjzj/lflfyjzj/202206/t20220630_458805.html</w:t>
        </w:r>
      </w:hyperlink>
    </w:p>
  </w:endnote>
  <w:endnote w:id="5">
    <w:p w14:paraId="0B797488" w14:textId="20590A14" w:rsidR="004A409A" w:rsidRDefault="004A409A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 w:rsidRPr="004A409A">
        <w:t xml:space="preserve">People's Republic of China, </w:t>
      </w:r>
      <w:r w:rsidR="00C24D8A" w:rsidRPr="00C24D8A">
        <w:t>Cyberspace Administration of China</w:t>
      </w:r>
      <w:r w:rsidRPr="004A409A">
        <w:t>, “</w:t>
      </w:r>
      <w:r w:rsidRPr="004A409A">
        <w:rPr>
          <w:rFonts w:hint="eastAsia"/>
        </w:rPr>
        <w:t>数据出境安全评估办法</w:t>
      </w:r>
      <w:r w:rsidRPr="004A409A">
        <w:rPr>
          <w:rFonts w:hint="eastAsia"/>
        </w:rPr>
        <w:t xml:space="preserve"> </w:t>
      </w:r>
      <w:r w:rsidRPr="004A409A">
        <w:t>(</w:t>
      </w:r>
      <w:r w:rsidRPr="004A409A">
        <w:rPr>
          <w:i/>
          <w:iCs/>
        </w:rPr>
        <w:t>Measures for Security Assessment for Cross-Border Data Transfers</w:t>
      </w:r>
      <w:r w:rsidRPr="004A409A">
        <w:t xml:space="preserve">)”, </w:t>
      </w:r>
      <w:r>
        <w:t>7 July 2022</w:t>
      </w:r>
      <w:r w:rsidRPr="004A409A">
        <w:t xml:space="preserve">. </w:t>
      </w:r>
      <w:hyperlink r:id="rId3" w:history="1">
        <w:r w:rsidRPr="000F5B86">
          <w:rPr>
            <w:rStyle w:val="Hyperlink"/>
          </w:rPr>
          <w:t>http://www.gov.cn/zhengce/zhengceku/2022-07/08/content_5699851.htm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0649" w14:textId="77777777" w:rsidR="009B210F" w:rsidRDefault="009B2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2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DFD8A" w14:textId="735057D1" w:rsidR="008279E5" w:rsidRDefault="00827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A7370" w14:textId="77777777" w:rsidR="00E63AEC" w:rsidRDefault="00E63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9B63" w14:textId="77777777" w:rsidR="009B210F" w:rsidRDefault="009B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CB32" w14:textId="77777777" w:rsidR="00D35918" w:rsidRDefault="00D35918" w:rsidP="0051352E">
      <w:pPr>
        <w:spacing w:after="0" w:line="240" w:lineRule="auto"/>
      </w:pPr>
      <w:r>
        <w:separator/>
      </w:r>
    </w:p>
  </w:footnote>
  <w:footnote w:type="continuationSeparator" w:id="0">
    <w:p w14:paraId="62983D32" w14:textId="77777777" w:rsidR="00D35918" w:rsidRDefault="00D35918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6F2B" w14:textId="77777777" w:rsidR="009B210F" w:rsidRDefault="009B2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3A4" w14:textId="77777777" w:rsidR="009B210F" w:rsidRDefault="009B2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824C" w14:textId="77777777" w:rsidR="009B210F" w:rsidRDefault="009B2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A11B69"/>
    <w:multiLevelType w:val="multilevel"/>
    <w:tmpl w:val="763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37529"/>
    <w:multiLevelType w:val="hybridMultilevel"/>
    <w:tmpl w:val="B5E46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FE"/>
    <w:rsid w:val="00050466"/>
    <w:rsid w:val="00060087"/>
    <w:rsid w:val="00084032"/>
    <w:rsid w:val="0008702E"/>
    <w:rsid w:val="000E422F"/>
    <w:rsid w:val="000F0E19"/>
    <w:rsid w:val="000F4D14"/>
    <w:rsid w:val="0010234A"/>
    <w:rsid w:val="00155222"/>
    <w:rsid w:val="00157F35"/>
    <w:rsid w:val="001805E2"/>
    <w:rsid w:val="00187B30"/>
    <w:rsid w:val="001B010D"/>
    <w:rsid w:val="0020428B"/>
    <w:rsid w:val="00217EAB"/>
    <w:rsid w:val="0022498C"/>
    <w:rsid w:val="002472FC"/>
    <w:rsid w:val="002724D0"/>
    <w:rsid w:val="002A6B09"/>
    <w:rsid w:val="002B1CE5"/>
    <w:rsid w:val="002F4DB3"/>
    <w:rsid w:val="00303BFC"/>
    <w:rsid w:val="003328FE"/>
    <w:rsid w:val="00350FFA"/>
    <w:rsid w:val="00360B4F"/>
    <w:rsid w:val="00370661"/>
    <w:rsid w:val="00382F07"/>
    <w:rsid w:val="00413DB0"/>
    <w:rsid w:val="00420243"/>
    <w:rsid w:val="004430CC"/>
    <w:rsid w:val="00453C04"/>
    <w:rsid w:val="00497764"/>
    <w:rsid w:val="004A409A"/>
    <w:rsid w:val="004C1869"/>
    <w:rsid w:val="004E5690"/>
    <w:rsid w:val="0051352E"/>
    <w:rsid w:val="00517DA7"/>
    <w:rsid w:val="00520A33"/>
    <w:rsid w:val="00527AE4"/>
    <w:rsid w:val="005621ED"/>
    <w:rsid w:val="00571418"/>
    <w:rsid w:val="00580952"/>
    <w:rsid w:val="005A31A7"/>
    <w:rsid w:val="005B52E4"/>
    <w:rsid w:val="005B7AEB"/>
    <w:rsid w:val="005C6CD5"/>
    <w:rsid w:val="005F38E0"/>
    <w:rsid w:val="0060588F"/>
    <w:rsid w:val="00630DDF"/>
    <w:rsid w:val="006403C3"/>
    <w:rsid w:val="006A155F"/>
    <w:rsid w:val="006B7736"/>
    <w:rsid w:val="006D2FF9"/>
    <w:rsid w:val="006E5D6E"/>
    <w:rsid w:val="00721690"/>
    <w:rsid w:val="00721B03"/>
    <w:rsid w:val="007B680D"/>
    <w:rsid w:val="007D1853"/>
    <w:rsid w:val="008279E5"/>
    <w:rsid w:val="008402A7"/>
    <w:rsid w:val="00844F1D"/>
    <w:rsid w:val="008507C1"/>
    <w:rsid w:val="008607FE"/>
    <w:rsid w:val="00861934"/>
    <w:rsid w:val="008D210B"/>
    <w:rsid w:val="008F0AC9"/>
    <w:rsid w:val="008F4A3D"/>
    <w:rsid w:val="0091694E"/>
    <w:rsid w:val="009333EA"/>
    <w:rsid w:val="0093646A"/>
    <w:rsid w:val="00972F57"/>
    <w:rsid w:val="009B210F"/>
    <w:rsid w:val="009C276A"/>
    <w:rsid w:val="009D6FC1"/>
    <w:rsid w:val="009E70FE"/>
    <w:rsid w:val="00A0539A"/>
    <w:rsid w:val="00A43694"/>
    <w:rsid w:val="00A56FC7"/>
    <w:rsid w:val="00A74071"/>
    <w:rsid w:val="00A74D1E"/>
    <w:rsid w:val="00A76439"/>
    <w:rsid w:val="00AA2A96"/>
    <w:rsid w:val="00AA6DAB"/>
    <w:rsid w:val="00AB7FCA"/>
    <w:rsid w:val="00AD41AB"/>
    <w:rsid w:val="00AE5DE2"/>
    <w:rsid w:val="00B100CC"/>
    <w:rsid w:val="00B2398E"/>
    <w:rsid w:val="00B61EBA"/>
    <w:rsid w:val="00B6689D"/>
    <w:rsid w:val="00B72368"/>
    <w:rsid w:val="00B81F0D"/>
    <w:rsid w:val="00B971E7"/>
    <w:rsid w:val="00BC55F3"/>
    <w:rsid w:val="00C125CF"/>
    <w:rsid w:val="00C24D8A"/>
    <w:rsid w:val="00C27388"/>
    <w:rsid w:val="00C4226C"/>
    <w:rsid w:val="00C443DB"/>
    <w:rsid w:val="00C45A72"/>
    <w:rsid w:val="00C54D58"/>
    <w:rsid w:val="00C56A66"/>
    <w:rsid w:val="00C573E1"/>
    <w:rsid w:val="00CE55BE"/>
    <w:rsid w:val="00CE5966"/>
    <w:rsid w:val="00D3289C"/>
    <w:rsid w:val="00D35918"/>
    <w:rsid w:val="00D53E8C"/>
    <w:rsid w:val="00D73FD5"/>
    <w:rsid w:val="00D95B87"/>
    <w:rsid w:val="00DA1B7B"/>
    <w:rsid w:val="00DA465B"/>
    <w:rsid w:val="00DB79DF"/>
    <w:rsid w:val="00E1182F"/>
    <w:rsid w:val="00E617AF"/>
    <w:rsid w:val="00E63AEC"/>
    <w:rsid w:val="00E64882"/>
    <w:rsid w:val="00EA32F7"/>
    <w:rsid w:val="00EB7354"/>
    <w:rsid w:val="00EC051B"/>
    <w:rsid w:val="00EC3524"/>
    <w:rsid w:val="00EE648E"/>
    <w:rsid w:val="00F00BAC"/>
    <w:rsid w:val="00F073A4"/>
    <w:rsid w:val="00F230CD"/>
    <w:rsid w:val="00F2563D"/>
    <w:rsid w:val="00F51C18"/>
    <w:rsid w:val="00FE3EC5"/>
    <w:rsid w:val="00FF0B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FC30D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18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2D3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54D58"/>
    <w:pPr>
      <w:spacing w:before="48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54D5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C18"/>
    <w:rPr>
      <w:rFonts w:ascii="Calibri" w:eastAsiaTheme="majorEastAsia" w:hAnsi="Calibri" w:cstheme="majorBidi"/>
      <w:b/>
      <w:color w:val="002D3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972F5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EB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5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18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18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18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D2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1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0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education.research@dfat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cn/zhengce/zhengceku/2022-07/08/content_5699851.htm" TargetMode="External"/><Relationship Id="rId2" Type="http://schemas.openxmlformats.org/officeDocument/2006/relationships/hyperlink" Target="http://www.moj.gov.cn/pub/sfbgw/lfyjzj/lflfyjzj/202206/t20220630_458805.html" TargetMode="External"/><Relationship Id="rId1" Type="http://schemas.openxmlformats.org/officeDocument/2006/relationships/hyperlink" Target="http://www.npc.gov.cn/npc/c30834/202108/a8c4e3672c74491a80b53a172bb753fe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ducation\Research\Policy%20updates%20and%20MIRs\2021%20policy%20upd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60AAACC342247B3608DA1FD699A1F" ma:contentTypeVersion="7" ma:contentTypeDescription="Create a new document." ma:contentTypeScope="" ma:versionID="9d9d04b9467ca7555d8c15cdd587fe2c">
  <xsd:schema xmlns:xsd="http://www.w3.org/2001/XMLSchema" xmlns:xs="http://www.w3.org/2001/XMLSchema" xmlns:p="http://schemas.microsoft.com/office/2006/metadata/properties" xmlns:ns3="9419dab5-bffb-4200-b9a2-f5df835c3995" targetNamespace="http://schemas.microsoft.com/office/2006/metadata/properties" ma:root="true" ma:fieldsID="295b00e5095d7300d2067b6ec58dec2a" ns3:_="">
    <xsd:import namespace="9419dab5-bffb-4200-b9a2-f5df835c3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9dab5-bffb-4200-b9a2-f5df835c3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BF48D-88EE-CE43-B0C0-4CCD61626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5B57F5-5924-448B-8334-945F6F6B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9dab5-bffb-4200-b9a2-f5df835c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policy update template.dotx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 factsheet template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 factsheet template</dc:title>
  <dc:subject/>
  <dc:creator/>
  <cp:keywords> [SEC=OFFICIAL]</cp:keywords>
  <dc:description/>
  <cp:lastModifiedBy/>
  <cp:revision>1</cp:revision>
  <dcterms:created xsi:type="dcterms:W3CDTF">2022-08-23T00:59:00Z</dcterms:created>
  <dcterms:modified xsi:type="dcterms:W3CDTF">2022-08-23T00:59:00Z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0x01010051F60AAACC342247B3608DA1FD699A1F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792FDD4EE9D84E2693828A8332F866C1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36658DF5ABBD6613EB0C586DA4DB316BB01844BB</vt:lpwstr>
  </property>
  <property fmtid="{D5CDD505-2E9C-101B-9397-08002B2CF9AE}" pid="12" name="PM_OriginationTimeStamp">
    <vt:lpwstr>2022-08-11T03:44:44Z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A97DD5DEB2BE11BFE0C3647A376663A5</vt:lpwstr>
  </property>
  <property fmtid="{D5CDD505-2E9C-101B-9397-08002B2CF9AE}" pid="21" name="PM_Hash_Salt">
    <vt:lpwstr>FD41A02ED6C74B2E9FE2100907975C47</vt:lpwstr>
  </property>
  <property fmtid="{D5CDD505-2E9C-101B-9397-08002B2CF9AE}" pid="22" name="PM_Hash_SHA1">
    <vt:lpwstr>7C635458A46C21F2D42DC0B0B0164C7BAB1E9EC5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2022-08-02T04:06:05Z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2d77c47c-a7cf-4373-9dad-0b6d03c1d8b2</vt:lpwstr>
  </property>
  <property fmtid="{D5CDD505-2E9C-101B-9397-08002B2CF9AE}" pid="31" name="MSIP_Label_79d889eb-932f-4752-8739-64d25806ef64_ContentBits">
    <vt:lpwstr>0</vt:lpwstr>
  </property>
</Properties>
</file>