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3A6D" w14:textId="77777777" w:rsidR="00107DD5" w:rsidRPr="00EC3DE1" w:rsidRDefault="00221D8F" w:rsidP="00CA4815">
      <w:r w:rsidRPr="00EC3DE1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1CA3695" wp14:editId="559CE57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EC3DE1">
        <w:rPr>
          <w:noProof/>
        </w:rPr>
        <w:drawing>
          <wp:inline distT="0" distB="0" distL="0" distR="0" wp14:anchorId="7F1B0ECB" wp14:editId="4C136D6B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9C86" w14:textId="58E2C024" w:rsidR="00625E20" w:rsidRPr="00EC3DE1" w:rsidRDefault="00625E20" w:rsidP="00625E20">
      <w:pPr>
        <w:pStyle w:val="Heading1"/>
      </w:pPr>
      <w:bookmarkStart w:id="0" w:name="_Toc126923146"/>
      <w:bookmarkStart w:id="1" w:name="_Toc126923157"/>
      <w:bookmarkEnd w:id="0"/>
      <w:bookmarkEnd w:id="1"/>
      <w:r w:rsidRPr="00EC3DE1">
        <w:t>How is school funding indexed?</w:t>
      </w:r>
    </w:p>
    <w:p w14:paraId="5A5724A6" w14:textId="77777777" w:rsidR="00625E20" w:rsidRPr="00EC3DE1" w:rsidRDefault="00625E20" w:rsidP="00F22420">
      <w:pPr>
        <w:pStyle w:val="Heading2"/>
      </w:pPr>
      <w:r w:rsidRPr="00EC3DE1">
        <w:t>School funding – the Schooling Resource Standard (SRS)</w:t>
      </w:r>
    </w:p>
    <w:p w14:paraId="5C25C78C" w14:textId="4A19606B" w:rsidR="00625E20" w:rsidRPr="00EC3DE1" w:rsidRDefault="00625E20" w:rsidP="00625E20">
      <w:r w:rsidRPr="00EC3DE1">
        <w:t xml:space="preserve">Commonwealth funding for schools is needs-based and is calculated with reference to the </w:t>
      </w:r>
      <w:hyperlink r:id="rId14" w:history="1">
        <w:r w:rsidRPr="00EC3DE1">
          <w:rPr>
            <w:rStyle w:val="Hyperlink"/>
          </w:rPr>
          <w:t>Schooling Resource Standard (SRS)</w:t>
        </w:r>
      </w:hyperlink>
      <w:r w:rsidRPr="00EC3DE1">
        <w:t xml:space="preserve">. The SRS is an estimate of how much total public funding a school needs to meet its students’ educational needs. </w:t>
      </w:r>
    </w:p>
    <w:p w14:paraId="30653E7F" w14:textId="77777777" w:rsidR="00625E20" w:rsidRPr="00EC3DE1" w:rsidRDefault="00625E20" w:rsidP="00625E20">
      <w:r w:rsidRPr="00EC3DE1">
        <w:t xml:space="preserve">The SRS is made up of a base amount for all primary and secondary students and up to 6 needs-based loadings for student priority cohorts and disadvantaged schools. </w:t>
      </w:r>
    </w:p>
    <w:p w14:paraId="371B528C" w14:textId="77777777" w:rsidR="00625E20" w:rsidRPr="00EC3DE1" w:rsidRDefault="00625E20" w:rsidP="00625E20">
      <w:r w:rsidRPr="00EC3DE1">
        <w:t xml:space="preserve">The base amount and all the loadings are indexed each year to reflect changes in prices and therefore costs faced by schools. </w:t>
      </w:r>
    </w:p>
    <w:p w14:paraId="2E3A987B" w14:textId="77777777" w:rsidR="00625E20" w:rsidRPr="00EC3DE1" w:rsidRDefault="00625E20" w:rsidP="00F22420">
      <w:pPr>
        <w:pStyle w:val="Heading2"/>
      </w:pPr>
      <w:r w:rsidRPr="00EC3DE1">
        <w:t>How is indexation calculated and applied?</w:t>
      </w:r>
    </w:p>
    <w:p w14:paraId="18F87570" w14:textId="6F53689E" w:rsidR="00625E20" w:rsidRPr="00EC3DE1" w:rsidRDefault="00625E20" w:rsidP="00625E20">
      <w:r w:rsidRPr="00EC3DE1">
        <w:t>The base amount, and all the loadings except</w:t>
      </w:r>
      <w:r w:rsidR="00AD7414" w:rsidRPr="00EC3DE1">
        <w:t xml:space="preserve"> for</w:t>
      </w:r>
      <w:r w:rsidRPr="00EC3DE1">
        <w:t xml:space="preserve"> the school size loading, are worked out by reference to an amount per primary and secondary student called the SRS funding amount.</w:t>
      </w:r>
      <w:r w:rsidRPr="00EC3DE1">
        <w:rPr>
          <w:rStyle w:val="FootnoteReference"/>
        </w:rPr>
        <w:footnoteReference w:id="2"/>
      </w:r>
      <w:r w:rsidRPr="00EC3DE1">
        <w:t xml:space="preserve"> The school size loading is worked out by reference to maximum size loading amounts and starting amounts.</w:t>
      </w:r>
    </w:p>
    <w:p w14:paraId="0EBDF97F" w14:textId="21B46A8B" w:rsidR="00625E20" w:rsidRPr="00EC3DE1" w:rsidRDefault="006F34CA" w:rsidP="00625E20">
      <w:r w:rsidRPr="00EC3DE1">
        <w:t>For 2018, the</w:t>
      </w:r>
      <w:r w:rsidR="00625E20" w:rsidRPr="00EC3DE1">
        <w:t xml:space="preserve"> SRS funding amounts, maximum size loading amounts and starting amounts</w:t>
      </w:r>
      <w:r w:rsidRPr="00EC3DE1">
        <w:t xml:space="preserve"> are prescribed in the </w:t>
      </w:r>
      <w:r w:rsidRPr="00EC3DE1">
        <w:rPr>
          <w:i/>
          <w:iCs/>
        </w:rPr>
        <w:t>Australian Education Act 2013</w:t>
      </w:r>
      <w:r w:rsidRPr="00EC3DE1">
        <w:t xml:space="preserve"> (the Act)</w:t>
      </w:r>
      <w:r w:rsidR="00625E20" w:rsidRPr="00EC3DE1">
        <w:t>.</w:t>
      </w:r>
      <w:r w:rsidR="00625E20" w:rsidRPr="00EC3DE1">
        <w:rPr>
          <w:rStyle w:val="FootnoteReference"/>
        </w:rPr>
        <w:footnoteReference w:id="3"/>
      </w:r>
      <w:r w:rsidR="00625E20" w:rsidRPr="00EC3DE1">
        <w:t xml:space="preserve"> </w:t>
      </w:r>
    </w:p>
    <w:p w14:paraId="1F3029AD" w14:textId="7FDA45F1" w:rsidR="0090423B" w:rsidRPr="00EC3DE1" w:rsidRDefault="00625E20" w:rsidP="00625E20">
      <w:r w:rsidRPr="00EC3DE1">
        <w:t>From 2019, these SRS funding amounts, maximum size loading amounts and the starting amounts are indexed annually by</w:t>
      </w:r>
      <w:r w:rsidR="0090423B" w:rsidRPr="00EC3DE1">
        <w:t xml:space="preserve"> either:</w:t>
      </w:r>
    </w:p>
    <w:p w14:paraId="29192C45" w14:textId="21680D0C" w:rsidR="00625E20" w:rsidRPr="00EC3DE1" w:rsidRDefault="00625E20" w:rsidP="006063D8">
      <w:pPr>
        <w:pStyle w:val="ListBullet"/>
      </w:pPr>
      <w:r w:rsidRPr="00EC3DE1">
        <w:t>a rate calculated as the higher of:</w:t>
      </w:r>
    </w:p>
    <w:p w14:paraId="45C41035" w14:textId="77777777" w:rsidR="00625E20" w:rsidRPr="00EC3DE1" w:rsidRDefault="00625E20" w:rsidP="006063D8">
      <w:pPr>
        <w:pStyle w:val="ListBullet2"/>
        <w:ind w:left="851" w:hanging="284"/>
      </w:pPr>
      <w:r w:rsidRPr="00EC3DE1">
        <w:t xml:space="preserve">3 per cent, or </w:t>
      </w:r>
    </w:p>
    <w:p w14:paraId="0DAEA37D" w14:textId="65AA201C" w:rsidR="00625E20" w:rsidRPr="00EC3DE1" w:rsidRDefault="00DC2C2E" w:rsidP="0090423B">
      <w:pPr>
        <w:pStyle w:val="ListBullet2"/>
        <w:ind w:left="851" w:hanging="284"/>
      </w:pPr>
      <w:r w:rsidRPr="00EC3DE1">
        <w:t xml:space="preserve">a </w:t>
      </w:r>
      <w:r w:rsidR="006F34CA" w:rsidRPr="00EC3DE1">
        <w:t>percentage</w:t>
      </w:r>
      <w:r w:rsidR="00625E20" w:rsidRPr="00EC3DE1">
        <w:t xml:space="preserve"> derived from 75 per cent of the </w:t>
      </w:r>
      <w:r w:rsidR="00AD7414" w:rsidRPr="00EC3DE1">
        <w:t xml:space="preserve">change of the </w:t>
      </w:r>
      <w:r w:rsidR="00625E20" w:rsidRPr="00EC3DE1">
        <w:t>Wage Price Index (WPI) and 25 per cent of the</w:t>
      </w:r>
      <w:r w:rsidR="00AD7414" w:rsidRPr="00EC3DE1">
        <w:t xml:space="preserve"> change of the</w:t>
      </w:r>
      <w:r w:rsidR="00625E20" w:rsidRPr="00EC3DE1">
        <w:t xml:space="preserve"> Consumer Price Index (CPI)</w:t>
      </w:r>
      <w:r w:rsidR="0090423B" w:rsidRPr="00EC3DE1">
        <w:t>, or</w:t>
      </w:r>
    </w:p>
    <w:p w14:paraId="7518329A" w14:textId="61B2F65F" w:rsidR="0090423B" w:rsidRPr="00EC3DE1" w:rsidRDefault="0090423B" w:rsidP="0090423B">
      <w:pPr>
        <w:pStyle w:val="ListBullet"/>
      </w:pPr>
      <w:r w:rsidRPr="00EC3DE1">
        <w:t>a rate prescribed by the Minister for Education.</w:t>
      </w:r>
    </w:p>
    <w:p w14:paraId="7FC2AAE7" w14:textId="4A9EC3B0" w:rsidR="00625E20" w:rsidRPr="00EC3DE1" w:rsidRDefault="00625E20" w:rsidP="00625E20">
      <w:r w:rsidRPr="00EC3DE1">
        <w:t xml:space="preserve">This approach provides a minimum </w:t>
      </w:r>
      <w:r w:rsidR="00AD7414" w:rsidRPr="00EC3DE1">
        <w:t xml:space="preserve">indexation rate </w:t>
      </w:r>
      <w:r w:rsidRPr="00EC3DE1">
        <w:t>and certainty for schools, while ensuring that funding reflects changes in wages and other costs. Indexation is weighted towards changes in wage costs reflecting that teachers’ and staff salaries are a significant driver of schools' costs.</w:t>
      </w:r>
    </w:p>
    <w:p w14:paraId="58F22044" w14:textId="77777777" w:rsidR="00E17715" w:rsidRPr="00EC3DE1" w:rsidRDefault="00E17715" w:rsidP="00625E20">
      <w:pPr>
        <w:pStyle w:val="Heading3"/>
        <w:sectPr w:rsidR="00E17715" w:rsidRPr="00EC3DE1" w:rsidSect="00D86284">
          <w:pgSz w:w="11906" w:h="16838"/>
          <w:pgMar w:top="1223" w:right="1440" w:bottom="1440" w:left="1440" w:header="709" w:footer="709" w:gutter="0"/>
          <w:cols w:space="708"/>
          <w:titlePg/>
          <w:docGrid w:linePitch="360"/>
        </w:sectPr>
      </w:pPr>
    </w:p>
    <w:p w14:paraId="64F8CCAC" w14:textId="03D7FE39" w:rsidR="00625E20" w:rsidRPr="00EC3DE1" w:rsidRDefault="00FA1ABA" w:rsidP="00F22420">
      <w:pPr>
        <w:pStyle w:val="Heading2"/>
      </w:pPr>
      <w:r w:rsidRPr="00EC3DE1">
        <w:lastRenderedPageBreak/>
        <w:t>Final i</w:t>
      </w:r>
      <w:r w:rsidR="00625E20" w:rsidRPr="00EC3DE1">
        <w:t>ndexation rates and SRS funding amounts</w:t>
      </w:r>
    </w:p>
    <w:tbl>
      <w:tblPr>
        <w:tblStyle w:val="EDU-Basic"/>
        <w:tblW w:w="5000" w:type="pct"/>
        <w:tblLayout w:type="fixed"/>
        <w:tblLook w:val="04A0" w:firstRow="1" w:lastRow="0" w:firstColumn="1" w:lastColumn="0" w:noHBand="0" w:noVBand="1"/>
      </w:tblPr>
      <w:tblGrid>
        <w:gridCol w:w="1712"/>
        <w:gridCol w:w="913"/>
        <w:gridCol w:w="913"/>
        <w:gridCol w:w="913"/>
        <w:gridCol w:w="913"/>
        <w:gridCol w:w="913"/>
        <w:gridCol w:w="913"/>
        <w:gridCol w:w="912"/>
        <w:gridCol w:w="914"/>
      </w:tblGrid>
      <w:tr w:rsidR="004B6EC2" w:rsidRPr="00EC3DE1" w14:paraId="35CB7884" w14:textId="58DE0888" w:rsidTr="004B6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shd w:val="clear" w:color="auto" w:fill="BFBFBF" w:themeFill="background1" w:themeFillShade="BF"/>
          </w:tcPr>
          <w:p w14:paraId="1AAE7B47" w14:textId="77777777" w:rsidR="00234B1A" w:rsidRPr="00EC3DE1" w:rsidRDefault="00234B1A" w:rsidP="00625E20">
            <w:pPr>
              <w:pStyle w:val="Source"/>
              <w:keepNext/>
            </w:pPr>
          </w:p>
        </w:tc>
        <w:tc>
          <w:tcPr>
            <w:tcW w:w="506" w:type="pct"/>
            <w:shd w:val="clear" w:color="auto" w:fill="BFBFBF" w:themeFill="background1" w:themeFillShade="BF"/>
          </w:tcPr>
          <w:p w14:paraId="32BC1CC0" w14:textId="0D1D90DA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2018</w:t>
            </w:r>
          </w:p>
        </w:tc>
        <w:tc>
          <w:tcPr>
            <w:tcW w:w="506" w:type="pct"/>
            <w:shd w:val="clear" w:color="auto" w:fill="BFBFBF" w:themeFill="background1" w:themeFillShade="BF"/>
          </w:tcPr>
          <w:p w14:paraId="75A7AFF0" w14:textId="424ABC62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2019</w:t>
            </w:r>
          </w:p>
        </w:tc>
        <w:tc>
          <w:tcPr>
            <w:tcW w:w="506" w:type="pct"/>
            <w:shd w:val="clear" w:color="auto" w:fill="BFBFBF" w:themeFill="background1" w:themeFillShade="BF"/>
          </w:tcPr>
          <w:p w14:paraId="3D158140" w14:textId="4829D67D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2020</w:t>
            </w:r>
          </w:p>
        </w:tc>
        <w:tc>
          <w:tcPr>
            <w:tcW w:w="506" w:type="pct"/>
            <w:shd w:val="clear" w:color="auto" w:fill="BFBFBF" w:themeFill="background1" w:themeFillShade="BF"/>
          </w:tcPr>
          <w:p w14:paraId="7D0C3FD9" w14:textId="08165FEA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2021</w:t>
            </w:r>
          </w:p>
        </w:tc>
        <w:tc>
          <w:tcPr>
            <w:tcW w:w="506" w:type="pct"/>
            <w:shd w:val="clear" w:color="auto" w:fill="BFBFBF" w:themeFill="background1" w:themeFillShade="BF"/>
          </w:tcPr>
          <w:p w14:paraId="59FA7299" w14:textId="5D6A5A10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2022</w:t>
            </w:r>
          </w:p>
        </w:tc>
        <w:tc>
          <w:tcPr>
            <w:tcW w:w="506" w:type="pct"/>
            <w:shd w:val="clear" w:color="auto" w:fill="BFBFBF" w:themeFill="background1" w:themeFillShade="BF"/>
          </w:tcPr>
          <w:p w14:paraId="780B40B4" w14:textId="540E11A5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2023</w:t>
            </w:r>
          </w:p>
        </w:tc>
        <w:tc>
          <w:tcPr>
            <w:tcW w:w="506" w:type="pct"/>
            <w:shd w:val="clear" w:color="auto" w:fill="BFBFBF" w:themeFill="background1" w:themeFillShade="BF"/>
          </w:tcPr>
          <w:p w14:paraId="1BCAAE11" w14:textId="6012CA5C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2024</w:t>
            </w:r>
          </w:p>
        </w:tc>
        <w:tc>
          <w:tcPr>
            <w:tcW w:w="507" w:type="pct"/>
            <w:shd w:val="clear" w:color="auto" w:fill="BFBFBF" w:themeFill="background1" w:themeFillShade="BF"/>
          </w:tcPr>
          <w:p w14:paraId="58FA26C4" w14:textId="0478E113" w:rsidR="00234B1A" w:rsidRPr="00EC3DE1" w:rsidRDefault="00234B1A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2025</w:t>
            </w:r>
          </w:p>
        </w:tc>
      </w:tr>
      <w:tr w:rsidR="00234B1A" w:rsidRPr="00EC3DE1" w14:paraId="2EAD8478" w14:textId="0FAE137C" w:rsidTr="00426150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9DB3BD0" w14:textId="0FBDCA82" w:rsidR="00234B1A" w:rsidRPr="00EC3DE1" w:rsidRDefault="00234B1A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primary student</w:t>
            </w:r>
          </w:p>
        </w:tc>
        <w:tc>
          <w:tcPr>
            <w:tcW w:w="506" w:type="pct"/>
          </w:tcPr>
          <w:p w14:paraId="4A928EED" w14:textId="3AC7CE1E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10,953</w:t>
            </w:r>
          </w:p>
        </w:tc>
        <w:tc>
          <w:tcPr>
            <w:tcW w:w="506" w:type="pct"/>
          </w:tcPr>
          <w:p w14:paraId="7381F74E" w14:textId="1E3B334F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11,343</w:t>
            </w:r>
          </w:p>
        </w:tc>
        <w:tc>
          <w:tcPr>
            <w:tcW w:w="506" w:type="pct"/>
          </w:tcPr>
          <w:p w14:paraId="5BF96A0A" w14:textId="602C3271" w:rsidR="00234B1A" w:rsidRPr="00EC3DE1" w:rsidRDefault="00234B1A" w:rsidP="006063D8">
            <w:pPr>
              <w:pStyle w:val="Source"/>
              <w:keepNext/>
              <w:spacing w:before="100"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11,747</w:t>
            </w:r>
          </w:p>
        </w:tc>
        <w:tc>
          <w:tcPr>
            <w:tcW w:w="506" w:type="pct"/>
          </w:tcPr>
          <w:p w14:paraId="0A65E178" w14:textId="1A98039A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12,099</w:t>
            </w:r>
          </w:p>
        </w:tc>
        <w:tc>
          <w:tcPr>
            <w:tcW w:w="506" w:type="pct"/>
          </w:tcPr>
          <w:p w14:paraId="01877849" w14:textId="54CEE9A9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12,522</w:t>
            </w:r>
          </w:p>
        </w:tc>
        <w:tc>
          <w:tcPr>
            <w:tcW w:w="506" w:type="pct"/>
          </w:tcPr>
          <w:p w14:paraId="451E4B21" w14:textId="20E6D382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13,048</w:t>
            </w:r>
          </w:p>
        </w:tc>
        <w:tc>
          <w:tcPr>
            <w:tcW w:w="506" w:type="pct"/>
          </w:tcPr>
          <w:p w14:paraId="7C31BBDA" w14:textId="462A169F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13,570</w:t>
            </w:r>
          </w:p>
        </w:tc>
        <w:tc>
          <w:tcPr>
            <w:tcW w:w="507" w:type="pct"/>
          </w:tcPr>
          <w:p w14:paraId="242E2D34" w14:textId="008E8CDD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13,991</w:t>
            </w:r>
          </w:p>
        </w:tc>
      </w:tr>
      <w:tr w:rsidR="00234B1A" w:rsidRPr="00EC3DE1" w14:paraId="615F6AF9" w14:textId="1A88DD5D" w:rsidTr="00426150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51BFB4C0" w14:textId="7F0E89A8" w:rsidR="00234B1A" w:rsidRPr="00EC3DE1" w:rsidRDefault="00234B1A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secondary student</w:t>
            </w:r>
          </w:p>
        </w:tc>
        <w:tc>
          <w:tcPr>
            <w:tcW w:w="506" w:type="pct"/>
          </w:tcPr>
          <w:p w14:paraId="42861CB1" w14:textId="524CF745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13,764</w:t>
            </w:r>
          </w:p>
        </w:tc>
        <w:tc>
          <w:tcPr>
            <w:tcW w:w="506" w:type="pct"/>
          </w:tcPr>
          <w:p w14:paraId="2E077E34" w14:textId="6DB6F21F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14,254</w:t>
            </w:r>
          </w:p>
        </w:tc>
        <w:tc>
          <w:tcPr>
            <w:tcW w:w="506" w:type="pct"/>
          </w:tcPr>
          <w:p w14:paraId="70816ACD" w14:textId="1E738A39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14,761</w:t>
            </w:r>
          </w:p>
        </w:tc>
        <w:tc>
          <w:tcPr>
            <w:tcW w:w="506" w:type="pct"/>
          </w:tcPr>
          <w:p w14:paraId="2FEB397A" w14:textId="518A6308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15,204</w:t>
            </w:r>
          </w:p>
        </w:tc>
        <w:tc>
          <w:tcPr>
            <w:tcW w:w="506" w:type="pct"/>
          </w:tcPr>
          <w:p w14:paraId="6E08D2A9" w14:textId="4505F7D5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15,736</w:t>
            </w:r>
          </w:p>
        </w:tc>
        <w:tc>
          <w:tcPr>
            <w:tcW w:w="506" w:type="pct"/>
          </w:tcPr>
          <w:p w14:paraId="63869953" w14:textId="11017CA0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16,397</w:t>
            </w:r>
          </w:p>
        </w:tc>
        <w:tc>
          <w:tcPr>
            <w:tcW w:w="506" w:type="pct"/>
          </w:tcPr>
          <w:p w14:paraId="7E4A6E2A" w14:textId="76802008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17,053</w:t>
            </w:r>
          </w:p>
        </w:tc>
        <w:tc>
          <w:tcPr>
            <w:tcW w:w="507" w:type="pct"/>
          </w:tcPr>
          <w:p w14:paraId="0FA0F87A" w14:textId="14E8140C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17,582</w:t>
            </w:r>
          </w:p>
        </w:tc>
      </w:tr>
      <w:tr w:rsidR="00234B1A" w:rsidRPr="00EC3DE1" w14:paraId="69A1FF5F" w14:textId="2D6922EF" w:rsidTr="00426150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2497CFD0" w14:textId="6BC3E737" w:rsidR="00234B1A" w:rsidRPr="00EC3DE1" w:rsidRDefault="00234B1A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Indexation rate</w:t>
            </w:r>
          </w:p>
        </w:tc>
        <w:tc>
          <w:tcPr>
            <w:tcW w:w="506" w:type="pct"/>
          </w:tcPr>
          <w:p w14:paraId="6F0C33FA" w14:textId="6F6F4633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N/A</w:t>
            </w:r>
            <w:r w:rsidRPr="00EC3DE1">
              <w:rPr>
                <w:rStyle w:val="FootnoteReference"/>
                <w:sz w:val="20"/>
                <w:szCs w:val="24"/>
              </w:rPr>
              <w:footnoteReference w:id="4"/>
            </w:r>
          </w:p>
        </w:tc>
        <w:tc>
          <w:tcPr>
            <w:tcW w:w="506" w:type="pct"/>
          </w:tcPr>
          <w:p w14:paraId="423300B8" w14:textId="5E3AE211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3.56%</w:t>
            </w:r>
          </w:p>
        </w:tc>
        <w:tc>
          <w:tcPr>
            <w:tcW w:w="506" w:type="pct"/>
          </w:tcPr>
          <w:p w14:paraId="39AF7945" w14:textId="13FF7E25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3.56%</w:t>
            </w:r>
          </w:p>
        </w:tc>
        <w:tc>
          <w:tcPr>
            <w:tcW w:w="506" w:type="pct"/>
          </w:tcPr>
          <w:p w14:paraId="1BCC3186" w14:textId="4B970E5C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3.0%</w:t>
            </w:r>
          </w:p>
        </w:tc>
        <w:tc>
          <w:tcPr>
            <w:tcW w:w="506" w:type="pct"/>
          </w:tcPr>
          <w:p w14:paraId="039492E9" w14:textId="7D0EACBF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3.5%</w:t>
            </w:r>
          </w:p>
        </w:tc>
        <w:tc>
          <w:tcPr>
            <w:tcW w:w="506" w:type="pct"/>
          </w:tcPr>
          <w:p w14:paraId="75D4B514" w14:textId="3706069C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4.2%</w:t>
            </w:r>
          </w:p>
        </w:tc>
        <w:tc>
          <w:tcPr>
            <w:tcW w:w="506" w:type="pct"/>
          </w:tcPr>
          <w:p w14:paraId="7B3F852A" w14:textId="1C89824E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4.0%</w:t>
            </w:r>
          </w:p>
        </w:tc>
        <w:tc>
          <w:tcPr>
            <w:tcW w:w="507" w:type="pct"/>
          </w:tcPr>
          <w:p w14:paraId="356DF0A9" w14:textId="0ED86217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EC3DE1">
              <w:rPr>
                <w:sz w:val="20"/>
                <w:szCs w:val="24"/>
              </w:rPr>
              <w:t>3.1%</w:t>
            </w:r>
          </w:p>
        </w:tc>
      </w:tr>
      <w:tr w:rsidR="00234B1A" w:rsidRPr="00EC3DE1" w14:paraId="42B162FE" w14:textId="55B641F5" w:rsidTr="00426150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</w:tcPr>
          <w:p w14:paraId="06CECF3C" w14:textId="558A2C7B" w:rsidR="00234B1A" w:rsidRPr="00EC3DE1" w:rsidRDefault="00234B1A" w:rsidP="006F34CA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Basis of indexation rate</w:t>
            </w:r>
          </w:p>
        </w:tc>
        <w:tc>
          <w:tcPr>
            <w:tcW w:w="506" w:type="pct"/>
          </w:tcPr>
          <w:p w14:paraId="46F0DD9B" w14:textId="7D3865CF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N/A</w:t>
            </w:r>
          </w:p>
        </w:tc>
        <w:tc>
          <w:tcPr>
            <w:tcW w:w="506" w:type="pct"/>
          </w:tcPr>
          <w:p w14:paraId="21724E9D" w14:textId="77A6BFEA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Prescribed rate</w:t>
            </w:r>
          </w:p>
        </w:tc>
        <w:tc>
          <w:tcPr>
            <w:tcW w:w="506" w:type="pct"/>
          </w:tcPr>
          <w:p w14:paraId="393EA591" w14:textId="531D6ED0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Prescribed rate</w:t>
            </w:r>
          </w:p>
        </w:tc>
        <w:tc>
          <w:tcPr>
            <w:tcW w:w="506" w:type="pct"/>
          </w:tcPr>
          <w:p w14:paraId="33627EEC" w14:textId="2B3116AD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Minimum legislated rate</w:t>
            </w:r>
          </w:p>
        </w:tc>
        <w:tc>
          <w:tcPr>
            <w:tcW w:w="506" w:type="pct"/>
          </w:tcPr>
          <w:p w14:paraId="64ABF601" w14:textId="153FC105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  <w:tc>
          <w:tcPr>
            <w:tcW w:w="506" w:type="pct"/>
          </w:tcPr>
          <w:p w14:paraId="34096F23" w14:textId="49DC8BF2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  <w:tc>
          <w:tcPr>
            <w:tcW w:w="506" w:type="pct"/>
          </w:tcPr>
          <w:p w14:paraId="35333718" w14:textId="53322236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  <w:tc>
          <w:tcPr>
            <w:tcW w:w="507" w:type="pct"/>
          </w:tcPr>
          <w:p w14:paraId="4C0D478B" w14:textId="43443558" w:rsidR="00234B1A" w:rsidRPr="00EC3DE1" w:rsidRDefault="00234B1A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EC3DE1">
              <w:rPr>
                <w:sz w:val="16"/>
                <w:szCs w:val="20"/>
              </w:rPr>
              <w:t>CPI and WPI derived factor</w:t>
            </w:r>
          </w:p>
        </w:tc>
      </w:tr>
    </w:tbl>
    <w:p w14:paraId="6122A7CD" w14:textId="33CC37BA" w:rsidR="00625E20" w:rsidRPr="00EC3DE1" w:rsidRDefault="00625E20" w:rsidP="00625E20">
      <w:pPr>
        <w:pStyle w:val="Source"/>
        <w:keepNext/>
      </w:pPr>
      <w:r w:rsidRPr="00EC3DE1">
        <w:t>Source: Australian Government Department of Education</w:t>
      </w:r>
    </w:p>
    <w:p w14:paraId="3CAB2886" w14:textId="77777777" w:rsidR="00891A50" w:rsidRPr="00EC3DE1" w:rsidRDefault="00891A50" w:rsidP="00891A50">
      <w:r w:rsidRPr="00EC3DE1">
        <w:t>The final indexation rate for each year will be available around August, after the Australian Bureau of Statistics publishes the June quarter CPI and WPI.</w:t>
      </w:r>
    </w:p>
    <w:p w14:paraId="0D3E82F6" w14:textId="4C8D2F73" w:rsidR="00891A50" w:rsidRPr="00EC3DE1" w:rsidRDefault="00891A50" w:rsidP="00891A50">
      <w:r w:rsidRPr="00EC3DE1">
        <w:t xml:space="preserve">The </w:t>
      </w:r>
      <w:r w:rsidR="00234B1A" w:rsidRPr="00EC3DE1">
        <w:t xml:space="preserve">final </w:t>
      </w:r>
      <w:r w:rsidRPr="00EC3DE1">
        <w:t xml:space="preserve">indexation rate for </w:t>
      </w:r>
      <w:r w:rsidR="00234B1A" w:rsidRPr="00EC3DE1">
        <w:t>2026</w:t>
      </w:r>
      <w:r w:rsidR="00234B1A" w:rsidRPr="00EC3DE1">
        <w:rPr>
          <w:color w:val="FF0000"/>
        </w:rPr>
        <w:t xml:space="preserve"> </w:t>
      </w:r>
      <w:r w:rsidRPr="00EC3DE1">
        <w:t xml:space="preserve">is expected to be available after August </w:t>
      </w:r>
      <w:r w:rsidR="00234B1A" w:rsidRPr="00EC3DE1">
        <w:t>19</w:t>
      </w:r>
      <w:r w:rsidRPr="00EC3DE1">
        <w:t xml:space="preserve">, </w:t>
      </w:r>
      <w:r w:rsidR="00234B1A" w:rsidRPr="00EC3DE1">
        <w:t>2026</w:t>
      </w:r>
      <w:r w:rsidRPr="00EC3DE1">
        <w:t>.</w:t>
      </w:r>
    </w:p>
    <w:p w14:paraId="3582A072" w14:textId="05C7F799" w:rsidR="006008A6" w:rsidRPr="00EC3DE1" w:rsidRDefault="006008A6" w:rsidP="00F22420">
      <w:pPr>
        <w:pStyle w:val="Heading2"/>
      </w:pPr>
      <w:r w:rsidRPr="00EC3DE1">
        <w:t>Estimated indexation rates and SRS funding amounts</w:t>
      </w:r>
    </w:p>
    <w:tbl>
      <w:tblPr>
        <w:tblStyle w:val="EDU-Basic"/>
        <w:tblW w:w="5000" w:type="pct"/>
        <w:tblLook w:val="04A0" w:firstRow="1" w:lastRow="0" w:firstColumn="1" w:lastColumn="0" w:noHBand="0" w:noVBand="1"/>
      </w:tblPr>
      <w:tblGrid>
        <w:gridCol w:w="1637"/>
        <w:gridCol w:w="1477"/>
        <w:gridCol w:w="1477"/>
        <w:gridCol w:w="1477"/>
        <w:gridCol w:w="1475"/>
        <w:gridCol w:w="1473"/>
      </w:tblGrid>
      <w:tr w:rsidR="00F332D4" w:rsidRPr="00EC3DE1" w14:paraId="0D081C51" w14:textId="43B1732E" w:rsidTr="00C31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</w:tcPr>
          <w:p w14:paraId="46D5C909" w14:textId="77777777" w:rsidR="00F332D4" w:rsidRPr="00EC3DE1" w:rsidRDefault="00F332D4" w:rsidP="006008A6">
            <w:pPr>
              <w:pStyle w:val="Source"/>
              <w:keepNext/>
              <w:jc w:val="center"/>
              <w:rPr>
                <w:b/>
                <w:bCs/>
              </w:rPr>
            </w:pPr>
          </w:p>
        </w:tc>
        <w:tc>
          <w:tcPr>
            <w:tcW w:w="819" w:type="pct"/>
          </w:tcPr>
          <w:p w14:paraId="2E830A42" w14:textId="77777777" w:rsidR="00F332D4" w:rsidRPr="00EC3DE1" w:rsidRDefault="00F332D4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2026</w:t>
            </w:r>
          </w:p>
        </w:tc>
        <w:tc>
          <w:tcPr>
            <w:tcW w:w="819" w:type="pct"/>
          </w:tcPr>
          <w:p w14:paraId="742D5566" w14:textId="77777777" w:rsidR="00F332D4" w:rsidRPr="00EC3DE1" w:rsidRDefault="00F332D4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2027</w:t>
            </w:r>
          </w:p>
        </w:tc>
        <w:tc>
          <w:tcPr>
            <w:tcW w:w="819" w:type="pct"/>
          </w:tcPr>
          <w:p w14:paraId="6EDA00B6" w14:textId="1F203E61" w:rsidR="00F332D4" w:rsidRPr="00EC3DE1" w:rsidRDefault="00F332D4" w:rsidP="006063D8">
            <w:pPr>
              <w:pStyle w:val="Source"/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2028</w:t>
            </w:r>
          </w:p>
        </w:tc>
        <w:tc>
          <w:tcPr>
            <w:tcW w:w="818" w:type="pct"/>
          </w:tcPr>
          <w:p w14:paraId="479F265A" w14:textId="4BDD0E0E" w:rsidR="00F332D4" w:rsidRPr="00EC3DE1" w:rsidRDefault="00F332D4" w:rsidP="00556644">
            <w:pPr>
              <w:pStyle w:val="Sourc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C3DE1">
              <w:rPr>
                <w:b/>
                <w:bCs/>
              </w:rPr>
              <w:t>2029</w:t>
            </w:r>
          </w:p>
        </w:tc>
        <w:tc>
          <w:tcPr>
            <w:tcW w:w="817" w:type="pct"/>
          </w:tcPr>
          <w:p w14:paraId="099C8554" w14:textId="04CDF057" w:rsidR="00F332D4" w:rsidRPr="00EC3DE1" w:rsidRDefault="00991FDB" w:rsidP="00556644">
            <w:pPr>
              <w:pStyle w:val="Sourc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2030</w:t>
            </w:r>
          </w:p>
        </w:tc>
      </w:tr>
      <w:tr w:rsidR="00F332D4" w:rsidRPr="00EC3DE1" w14:paraId="3343059A" w14:textId="54B3A448" w:rsidTr="00C31A75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</w:tcPr>
          <w:p w14:paraId="76364E64" w14:textId="56C529F8" w:rsidR="00F332D4" w:rsidRPr="00EC3DE1" w:rsidRDefault="00F332D4" w:rsidP="00A958F3">
            <w:pPr>
              <w:pStyle w:val="Source"/>
              <w:keepNext/>
              <w:rPr>
                <w:color w:val="FF0000"/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primary student</w:t>
            </w:r>
          </w:p>
        </w:tc>
        <w:tc>
          <w:tcPr>
            <w:tcW w:w="819" w:type="pct"/>
          </w:tcPr>
          <w:p w14:paraId="0A7E18EE" w14:textId="3F4DDE26" w:rsidR="00F332D4" w:rsidRPr="00C31A75" w:rsidRDefault="00F332D4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14,</w:t>
            </w:r>
            <w:r w:rsidR="00B46A0C" w:rsidRPr="00C31A75">
              <w:rPr>
                <w:sz w:val="20"/>
                <w:szCs w:val="20"/>
              </w:rPr>
              <w:t xml:space="preserve">509 </w:t>
            </w:r>
          </w:p>
        </w:tc>
        <w:tc>
          <w:tcPr>
            <w:tcW w:w="819" w:type="pct"/>
          </w:tcPr>
          <w:p w14:paraId="228F21B4" w14:textId="295029DA" w:rsidR="00F332D4" w:rsidRPr="00C31A75" w:rsidRDefault="00F332D4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14,</w:t>
            </w:r>
            <w:r w:rsidR="00B46A0C" w:rsidRPr="00C31A75">
              <w:rPr>
                <w:sz w:val="20"/>
                <w:szCs w:val="20"/>
              </w:rPr>
              <w:t xml:space="preserve">988 </w:t>
            </w:r>
          </w:p>
        </w:tc>
        <w:tc>
          <w:tcPr>
            <w:tcW w:w="819" w:type="pct"/>
          </w:tcPr>
          <w:p w14:paraId="6ECCC396" w14:textId="03626611" w:rsidR="00F332D4" w:rsidRPr="00C31A75" w:rsidRDefault="00F332D4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15,</w:t>
            </w:r>
            <w:r w:rsidR="00B46A0C" w:rsidRPr="00C31A75">
              <w:rPr>
                <w:sz w:val="20"/>
                <w:szCs w:val="20"/>
              </w:rPr>
              <w:t xml:space="preserve">483 </w:t>
            </w:r>
          </w:p>
        </w:tc>
        <w:tc>
          <w:tcPr>
            <w:tcW w:w="818" w:type="pct"/>
          </w:tcPr>
          <w:p w14:paraId="69145E08" w14:textId="70F253CB" w:rsidR="00F332D4" w:rsidRPr="00C31A75" w:rsidRDefault="00F332D4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15,</w:t>
            </w:r>
            <w:r w:rsidR="00B46A0C" w:rsidRPr="00C31A75">
              <w:rPr>
                <w:sz w:val="20"/>
                <w:szCs w:val="20"/>
              </w:rPr>
              <w:t xml:space="preserve">994 </w:t>
            </w:r>
          </w:p>
        </w:tc>
        <w:tc>
          <w:tcPr>
            <w:tcW w:w="817" w:type="pct"/>
          </w:tcPr>
          <w:p w14:paraId="0AB243EA" w14:textId="1B8586BD" w:rsidR="00F332D4" w:rsidRPr="00C31A75" w:rsidRDefault="00B46A0C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16,</w:t>
            </w:r>
            <w:r w:rsidR="00CE5620" w:rsidRPr="00C31A75">
              <w:rPr>
                <w:sz w:val="20"/>
                <w:szCs w:val="20"/>
              </w:rPr>
              <w:t>538</w:t>
            </w:r>
          </w:p>
        </w:tc>
      </w:tr>
      <w:tr w:rsidR="00F332D4" w:rsidRPr="00EC3DE1" w14:paraId="2AD25483" w14:textId="73E40EBE" w:rsidTr="00C31A75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</w:tcPr>
          <w:p w14:paraId="34DEC950" w14:textId="64E800AF" w:rsidR="00F332D4" w:rsidRPr="00EC3DE1" w:rsidRDefault="00F332D4" w:rsidP="00A958F3">
            <w:pPr>
              <w:pStyle w:val="Source"/>
              <w:keepNext/>
              <w:rPr>
                <w:color w:val="FF0000"/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SRS funding amount for a secondary student</w:t>
            </w:r>
          </w:p>
        </w:tc>
        <w:tc>
          <w:tcPr>
            <w:tcW w:w="819" w:type="pct"/>
          </w:tcPr>
          <w:p w14:paraId="2F9CDC92" w14:textId="6C8EBB07" w:rsidR="00F332D4" w:rsidRPr="00C31A75" w:rsidRDefault="00F332D4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18,</w:t>
            </w:r>
            <w:r w:rsidR="00CE5620" w:rsidRPr="00C31A75">
              <w:rPr>
                <w:sz w:val="20"/>
                <w:szCs w:val="20"/>
              </w:rPr>
              <w:t xml:space="preserve">233 </w:t>
            </w:r>
          </w:p>
        </w:tc>
        <w:tc>
          <w:tcPr>
            <w:tcW w:w="819" w:type="pct"/>
          </w:tcPr>
          <w:p w14:paraId="2FC68C81" w14:textId="3AA9E87D" w:rsidR="00F332D4" w:rsidRPr="00C31A75" w:rsidRDefault="00F332D4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18,</w:t>
            </w:r>
            <w:r w:rsidR="00CE5620" w:rsidRPr="00C31A75">
              <w:rPr>
                <w:sz w:val="20"/>
                <w:szCs w:val="20"/>
              </w:rPr>
              <w:t xml:space="preserve">835 </w:t>
            </w:r>
          </w:p>
        </w:tc>
        <w:tc>
          <w:tcPr>
            <w:tcW w:w="819" w:type="pct"/>
          </w:tcPr>
          <w:p w14:paraId="5E737E6B" w14:textId="2348E172" w:rsidR="00F332D4" w:rsidRPr="00C31A75" w:rsidRDefault="00F332D4" w:rsidP="00A958F3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19,</w:t>
            </w:r>
            <w:r w:rsidR="00CE5620" w:rsidRPr="00C31A75">
              <w:rPr>
                <w:sz w:val="20"/>
                <w:szCs w:val="20"/>
              </w:rPr>
              <w:t xml:space="preserve">457 </w:t>
            </w:r>
          </w:p>
        </w:tc>
        <w:tc>
          <w:tcPr>
            <w:tcW w:w="818" w:type="pct"/>
          </w:tcPr>
          <w:p w14:paraId="6E2B13FC" w14:textId="3DFDAAAE" w:rsidR="00F332D4" w:rsidRPr="00C31A75" w:rsidRDefault="00F332D4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20,</w:t>
            </w:r>
            <w:r w:rsidR="00CE5620" w:rsidRPr="00C31A75">
              <w:rPr>
                <w:sz w:val="20"/>
                <w:szCs w:val="20"/>
              </w:rPr>
              <w:t xml:space="preserve">099 </w:t>
            </w:r>
          </w:p>
        </w:tc>
        <w:tc>
          <w:tcPr>
            <w:tcW w:w="817" w:type="pct"/>
          </w:tcPr>
          <w:p w14:paraId="0F168BB5" w14:textId="4789AE00" w:rsidR="00F332D4" w:rsidRPr="00C31A75" w:rsidRDefault="00CE5620" w:rsidP="00A958F3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20,782</w:t>
            </w:r>
          </w:p>
        </w:tc>
      </w:tr>
      <w:tr w:rsidR="00F332D4" w:rsidRPr="00EC3DE1" w14:paraId="6D3A13E5" w14:textId="6EFA5BD1" w:rsidTr="00C31A75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</w:tcPr>
          <w:p w14:paraId="13140F17" w14:textId="336F2180" w:rsidR="00F332D4" w:rsidRPr="00EC3DE1" w:rsidRDefault="00F332D4" w:rsidP="006063D8">
            <w:pPr>
              <w:pStyle w:val="Source"/>
              <w:keepNext/>
              <w:rPr>
                <w:color w:val="FF0000"/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Indexation rate</w:t>
            </w:r>
          </w:p>
        </w:tc>
        <w:tc>
          <w:tcPr>
            <w:tcW w:w="819" w:type="pct"/>
          </w:tcPr>
          <w:p w14:paraId="5621D15F" w14:textId="07E51935" w:rsidR="00F332D4" w:rsidRPr="00C31A75" w:rsidRDefault="00F332D4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3.</w:t>
            </w:r>
            <w:r w:rsidR="00CE5620" w:rsidRPr="00C31A75">
              <w:rPr>
                <w:sz w:val="20"/>
                <w:szCs w:val="20"/>
              </w:rPr>
              <w:t>7</w:t>
            </w:r>
            <w:r w:rsidRPr="00C31A75">
              <w:rPr>
                <w:sz w:val="20"/>
                <w:szCs w:val="20"/>
              </w:rPr>
              <w:t>%</w:t>
            </w:r>
          </w:p>
        </w:tc>
        <w:tc>
          <w:tcPr>
            <w:tcW w:w="819" w:type="pct"/>
          </w:tcPr>
          <w:p w14:paraId="6A6A1A20" w14:textId="7B04CC9C" w:rsidR="00F332D4" w:rsidRPr="00C31A75" w:rsidRDefault="00F332D4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3.</w:t>
            </w:r>
            <w:r w:rsidR="00CE5620" w:rsidRPr="00C31A75">
              <w:rPr>
                <w:sz w:val="20"/>
                <w:szCs w:val="24"/>
              </w:rPr>
              <w:t>3</w:t>
            </w:r>
            <w:r w:rsidRPr="00C31A75">
              <w:rPr>
                <w:sz w:val="20"/>
                <w:szCs w:val="24"/>
              </w:rPr>
              <w:t>%</w:t>
            </w:r>
          </w:p>
        </w:tc>
        <w:tc>
          <w:tcPr>
            <w:tcW w:w="819" w:type="pct"/>
          </w:tcPr>
          <w:p w14:paraId="2F5023FC" w14:textId="5E5ECB5A" w:rsidR="00F332D4" w:rsidRPr="00C31A75" w:rsidRDefault="00F332D4" w:rsidP="006063D8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3.3%</w:t>
            </w:r>
          </w:p>
        </w:tc>
        <w:tc>
          <w:tcPr>
            <w:tcW w:w="818" w:type="pct"/>
          </w:tcPr>
          <w:p w14:paraId="60734C0D" w14:textId="022A6C05" w:rsidR="00F332D4" w:rsidRPr="00C31A75" w:rsidRDefault="00F332D4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3.</w:t>
            </w:r>
            <w:r w:rsidR="00CE5620" w:rsidRPr="00C31A75">
              <w:rPr>
                <w:sz w:val="20"/>
                <w:szCs w:val="20"/>
              </w:rPr>
              <w:t>3</w:t>
            </w:r>
            <w:r w:rsidRPr="00C31A75">
              <w:rPr>
                <w:sz w:val="20"/>
                <w:szCs w:val="20"/>
              </w:rPr>
              <w:t>%</w:t>
            </w:r>
          </w:p>
        </w:tc>
        <w:tc>
          <w:tcPr>
            <w:tcW w:w="817" w:type="pct"/>
          </w:tcPr>
          <w:p w14:paraId="15A1628E" w14:textId="307EAC4C" w:rsidR="00F332D4" w:rsidRPr="00C31A75" w:rsidRDefault="00CE5620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3.4%</w:t>
            </w:r>
          </w:p>
        </w:tc>
      </w:tr>
      <w:tr w:rsidR="00F332D4" w:rsidRPr="00EC3DE1" w14:paraId="16B04023" w14:textId="6B4E9E5A" w:rsidTr="00C31A75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" w:type="pct"/>
          </w:tcPr>
          <w:p w14:paraId="51EA8313" w14:textId="496502DE" w:rsidR="00F332D4" w:rsidRPr="00EC3DE1" w:rsidRDefault="00F332D4" w:rsidP="00405E85">
            <w:pPr>
              <w:pStyle w:val="Source"/>
              <w:keepNext/>
              <w:rPr>
                <w:sz w:val="20"/>
                <w:szCs w:val="24"/>
              </w:rPr>
            </w:pPr>
            <w:r w:rsidRPr="00EC3DE1">
              <w:rPr>
                <w:b/>
                <w:bCs/>
                <w:sz w:val="20"/>
                <w:szCs w:val="24"/>
              </w:rPr>
              <w:t>Basis of indexation rate</w:t>
            </w:r>
          </w:p>
        </w:tc>
        <w:tc>
          <w:tcPr>
            <w:tcW w:w="819" w:type="pct"/>
          </w:tcPr>
          <w:p w14:paraId="0F7A015A" w14:textId="3FF03040" w:rsidR="00F332D4" w:rsidRPr="00C31A75" w:rsidRDefault="00F332D4" w:rsidP="00405E85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Estimated based on Budget 2026-27</w:t>
            </w:r>
          </w:p>
        </w:tc>
        <w:tc>
          <w:tcPr>
            <w:tcW w:w="819" w:type="pct"/>
          </w:tcPr>
          <w:p w14:paraId="56929AE2" w14:textId="5280C0B6" w:rsidR="00F332D4" w:rsidRPr="00C31A75" w:rsidRDefault="00F332D4" w:rsidP="00405E85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Estimated based on Budget 2026-27</w:t>
            </w:r>
          </w:p>
        </w:tc>
        <w:tc>
          <w:tcPr>
            <w:tcW w:w="819" w:type="pct"/>
          </w:tcPr>
          <w:p w14:paraId="6BF112BF" w14:textId="7FFAC3FB" w:rsidR="00F332D4" w:rsidRPr="00C31A75" w:rsidRDefault="00F332D4" w:rsidP="00405E85">
            <w:pPr>
              <w:pStyle w:val="Source"/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C31A75">
              <w:rPr>
                <w:sz w:val="20"/>
                <w:szCs w:val="24"/>
              </w:rPr>
              <w:t>Estimated based on Budget 2026-27</w:t>
            </w:r>
          </w:p>
        </w:tc>
        <w:tc>
          <w:tcPr>
            <w:tcW w:w="818" w:type="pct"/>
          </w:tcPr>
          <w:p w14:paraId="44459675" w14:textId="587CEA1A" w:rsidR="00F332D4" w:rsidRPr="00C31A75" w:rsidRDefault="00F332D4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Estimated based on Budget 2026-27</w:t>
            </w:r>
          </w:p>
        </w:tc>
        <w:tc>
          <w:tcPr>
            <w:tcW w:w="817" w:type="pct"/>
          </w:tcPr>
          <w:p w14:paraId="421DC873" w14:textId="0307C581" w:rsidR="00F332D4" w:rsidRPr="00C31A75" w:rsidRDefault="00F332D4" w:rsidP="00F64498">
            <w:pPr>
              <w:pStyle w:val="Sourc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A75">
              <w:rPr>
                <w:sz w:val="20"/>
                <w:szCs w:val="20"/>
              </w:rPr>
              <w:t>Estimated based on Budget 2026-27</w:t>
            </w:r>
          </w:p>
        </w:tc>
      </w:tr>
    </w:tbl>
    <w:p w14:paraId="7F90CC15" w14:textId="258B9E2A" w:rsidR="006008A6" w:rsidRPr="00EC3DE1" w:rsidRDefault="006008A6" w:rsidP="00625E20">
      <w:pPr>
        <w:pStyle w:val="Source"/>
        <w:keepNext/>
      </w:pPr>
      <w:r w:rsidRPr="00EC3DE1">
        <w:t>Source: Australian Government Department of Education</w:t>
      </w:r>
    </w:p>
    <w:p w14:paraId="6413DB8D" w14:textId="502F6E4C" w:rsidR="00E17715" w:rsidRPr="00C31A75" w:rsidRDefault="00E17715" w:rsidP="00625E20">
      <w:r w:rsidRPr="00EC3DE1">
        <w:t xml:space="preserve">Estimated indexation rates for </w:t>
      </w:r>
      <w:r w:rsidR="00234B1A" w:rsidRPr="00C31A75">
        <w:t>202</w:t>
      </w:r>
      <w:r w:rsidR="007F3007" w:rsidRPr="00C31A75">
        <w:t>6</w:t>
      </w:r>
      <w:r w:rsidR="00234B1A" w:rsidRPr="00C31A75">
        <w:t xml:space="preserve"> </w:t>
      </w:r>
      <w:r w:rsidRPr="00C31A75">
        <w:t xml:space="preserve">to </w:t>
      </w:r>
      <w:r w:rsidR="00991FDB" w:rsidRPr="00C31A75">
        <w:t xml:space="preserve">2030 </w:t>
      </w:r>
      <w:r w:rsidR="005120D9" w:rsidRPr="00C31A75">
        <w:t xml:space="preserve">take into consideration the latest available Budget and </w:t>
      </w:r>
      <w:r w:rsidR="00205039" w:rsidRPr="00C31A75">
        <w:t>Mid-</w:t>
      </w:r>
      <w:r w:rsidR="005120D9" w:rsidRPr="00C31A75">
        <w:t>Year Economic and Fiscal Outlook</w:t>
      </w:r>
      <w:r w:rsidR="00405E85" w:rsidRPr="00C31A75">
        <w:t xml:space="preserve"> (MYEFO)</w:t>
      </w:r>
      <w:r w:rsidR="005120D9" w:rsidRPr="00C31A75">
        <w:t xml:space="preserve"> projections</w:t>
      </w:r>
      <w:r w:rsidRPr="00C31A75">
        <w:t>.</w:t>
      </w:r>
      <w:r w:rsidR="009611BA" w:rsidRPr="00C31A75">
        <w:t xml:space="preserve"> </w:t>
      </w:r>
      <w:r w:rsidR="005120D9" w:rsidRPr="00C31A75">
        <w:t xml:space="preserve">Published estimates </w:t>
      </w:r>
      <w:r w:rsidR="00AE7D6F" w:rsidRPr="00C31A75">
        <w:t>may not be reflected in the latest payment calculations</w:t>
      </w:r>
      <w:r w:rsidR="006F34CA" w:rsidRPr="00C31A75">
        <w:t xml:space="preserve"> for schools</w:t>
      </w:r>
      <w:r w:rsidR="005120D9" w:rsidRPr="00C31A75">
        <w:t xml:space="preserve"> due to the timing of these releases and payment schedules</w:t>
      </w:r>
      <w:r w:rsidR="00AE7D6F" w:rsidRPr="00C31A75">
        <w:t>.</w:t>
      </w:r>
    </w:p>
    <w:p w14:paraId="25D75AFC" w14:textId="5AC630A9" w:rsidR="0017134D" w:rsidRDefault="007F3007" w:rsidP="00625E20">
      <w:r w:rsidRPr="00C31A75">
        <w:t xml:space="preserve">Estimated indexation rates for </w:t>
      </w:r>
      <w:r w:rsidR="00F332D4" w:rsidRPr="00C31A75">
        <w:t>202</w:t>
      </w:r>
      <w:r w:rsidR="0090324D" w:rsidRPr="00C31A75">
        <w:t>7</w:t>
      </w:r>
      <w:r w:rsidR="00F332D4" w:rsidRPr="00C31A75">
        <w:t xml:space="preserve"> </w:t>
      </w:r>
      <w:r w:rsidRPr="00C31A75">
        <w:t xml:space="preserve">to </w:t>
      </w:r>
      <w:r w:rsidR="00F332D4" w:rsidRPr="00C31A75">
        <w:t xml:space="preserve">2030 </w:t>
      </w:r>
      <w:r w:rsidRPr="00C31A75">
        <w:t xml:space="preserve">will be next updated with CPI and WPI projections from </w:t>
      </w:r>
      <w:r w:rsidR="00F332D4" w:rsidRPr="00C31A75">
        <w:t xml:space="preserve">MYEFO </w:t>
      </w:r>
      <w:r w:rsidRPr="00C31A75">
        <w:t xml:space="preserve">2026-27, expected to be released </w:t>
      </w:r>
      <w:r w:rsidR="00F332D4" w:rsidRPr="00C31A75">
        <w:t>at the end of 2026.</w:t>
      </w:r>
      <w:r w:rsidRPr="007F3007" w:rsidDel="007F3007">
        <w:t xml:space="preserve"> </w:t>
      </w:r>
    </w:p>
    <w:sectPr w:rsidR="0017134D" w:rsidSect="006063D8">
      <w:pgSz w:w="11906" w:h="16838"/>
      <w:pgMar w:top="1225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6E02F" w14:textId="77777777" w:rsidR="00D1248D" w:rsidRDefault="00D1248D" w:rsidP="000A6228">
      <w:pPr>
        <w:spacing w:after="0" w:line="240" w:lineRule="auto"/>
      </w:pPr>
      <w:r>
        <w:separator/>
      </w:r>
    </w:p>
  </w:endnote>
  <w:endnote w:type="continuationSeparator" w:id="0">
    <w:p w14:paraId="0CE48B61" w14:textId="77777777" w:rsidR="00D1248D" w:rsidRDefault="00D1248D" w:rsidP="000A6228">
      <w:pPr>
        <w:spacing w:after="0" w:line="240" w:lineRule="auto"/>
      </w:pPr>
      <w:r>
        <w:continuationSeparator/>
      </w:r>
    </w:p>
  </w:endnote>
  <w:endnote w:type="continuationNotice" w:id="1">
    <w:p w14:paraId="0C645FE8" w14:textId="77777777" w:rsidR="00D1248D" w:rsidRDefault="00D124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EBC1" w14:textId="77777777" w:rsidR="00D1248D" w:rsidRDefault="00D1248D" w:rsidP="000A6228">
      <w:pPr>
        <w:spacing w:after="0" w:line="240" w:lineRule="auto"/>
      </w:pPr>
      <w:r>
        <w:separator/>
      </w:r>
    </w:p>
  </w:footnote>
  <w:footnote w:type="continuationSeparator" w:id="0">
    <w:p w14:paraId="6313D7DD" w14:textId="77777777" w:rsidR="00D1248D" w:rsidRDefault="00D1248D" w:rsidP="000A6228">
      <w:pPr>
        <w:spacing w:after="0" w:line="240" w:lineRule="auto"/>
      </w:pPr>
      <w:r>
        <w:continuationSeparator/>
      </w:r>
    </w:p>
  </w:footnote>
  <w:footnote w:type="continuationNotice" w:id="1">
    <w:p w14:paraId="2B97EE1C" w14:textId="77777777" w:rsidR="00D1248D" w:rsidRDefault="00D1248D">
      <w:pPr>
        <w:spacing w:after="0" w:line="240" w:lineRule="auto"/>
      </w:pPr>
    </w:p>
  </w:footnote>
  <w:footnote w:id="2">
    <w:p w14:paraId="396BCC3A" w14:textId="77777777" w:rsidR="00625E20" w:rsidRDefault="00625E20" w:rsidP="00625E20">
      <w:pPr>
        <w:pStyle w:val="FootnoteText"/>
      </w:pPr>
      <w:r>
        <w:rPr>
          <w:rStyle w:val="FootnoteReference"/>
        </w:rPr>
        <w:footnoteRef/>
      </w:r>
      <w:r>
        <w:t xml:space="preserve"> Section 31 of the </w:t>
      </w:r>
      <w:r w:rsidRPr="000857A7">
        <w:rPr>
          <w:i/>
          <w:iCs/>
        </w:rPr>
        <w:t>Australian Education Act 2013</w:t>
      </w:r>
      <w:r w:rsidRPr="000857A7">
        <w:t xml:space="preserve"> (the </w:t>
      </w:r>
      <w:r w:rsidRPr="008814D0">
        <w:t>Act</w:t>
      </w:r>
      <w:r w:rsidRPr="000857A7">
        <w:t>)</w:t>
      </w:r>
      <w:r>
        <w:t>.</w:t>
      </w:r>
    </w:p>
  </w:footnote>
  <w:footnote w:id="3">
    <w:p w14:paraId="77869D17" w14:textId="77777777" w:rsidR="00625E20" w:rsidRDefault="00625E20" w:rsidP="00625E20">
      <w:pPr>
        <w:pStyle w:val="FootnoteText"/>
      </w:pPr>
      <w:r>
        <w:rPr>
          <w:rStyle w:val="FootnoteReference"/>
        </w:rPr>
        <w:footnoteRef/>
      </w:r>
      <w:r>
        <w:t xml:space="preserve"> Section 34, 44 and 49 of t</w:t>
      </w:r>
      <w:r w:rsidRPr="000857A7">
        <w:t>he</w:t>
      </w:r>
      <w:r>
        <w:t xml:space="preserve"> </w:t>
      </w:r>
      <w:r w:rsidRPr="008814D0">
        <w:t>Act</w:t>
      </w:r>
      <w:r>
        <w:t>.</w:t>
      </w:r>
    </w:p>
  </w:footnote>
  <w:footnote w:id="4">
    <w:p w14:paraId="1AE4FFED" w14:textId="77777777" w:rsidR="00234B1A" w:rsidRDefault="00234B1A" w:rsidP="00625E20">
      <w:pPr>
        <w:pStyle w:val="FootnoteText"/>
      </w:pPr>
      <w:r>
        <w:rPr>
          <w:rStyle w:val="FootnoteReference"/>
        </w:rPr>
        <w:footnoteRef/>
      </w:r>
      <w:r>
        <w:t xml:space="preserve"> In 2018, the SRS funding amounts were prescribed in section 34 of t</w:t>
      </w:r>
      <w:r w:rsidRPr="000857A7">
        <w:t>he</w:t>
      </w:r>
      <w:r>
        <w:t xml:space="preserve"> </w:t>
      </w:r>
      <w:r w:rsidRPr="008814D0">
        <w:t>Act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99933949">
    <w:abstractNumId w:val="11"/>
  </w:num>
  <w:num w:numId="2" w16cid:durableId="472141727">
    <w:abstractNumId w:val="5"/>
  </w:num>
  <w:num w:numId="3" w16cid:durableId="995493828">
    <w:abstractNumId w:val="4"/>
  </w:num>
  <w:num w:numId="4" w16cid:durableId="1205750678">
    <w:abstractNumId w:val="3"/>
  </w:num>
  <w:num w:numId="5" w16cid:durableId="120148702">
    <w:abstractNumId w:val="13"/>
  </w:num>
  <w:num w:numId="6" w16cid:durableId="687800958">
    <w:abstractNumId w:val="2"/>
  </w:num>
  <w:num w:numId="7" w16cid:durableId="1217274539">
    <w:abstractNumId w:val="1"/>
  </w:num>
  <w:num w:numId="8" w16cid:durableId="213394078">
    <w:abstractNumId w:val="0"/>
  </w:num>
  <w:num w:numId="9" w16cid:durableId="1696228062">
    <w:abstractNumId w:val="12"/>
  </w:num>
  <w:num w:numId="10" w16cid:durableId="1193223017">
    <w:abstractNumId w:val="7"/>
  </w:num>
  <w:num w:numId="11" w16cid:durableId="544219232">
    <w:abstractNumId w:val="16"/>
  </w:num>
  <w:num w:numId="12" w16cid:durableId="1326401428">
    <w:abstractNumId w:val="10"/>
  </w:num>
  <w:num w:numId="13" w16cid:durableId="12009769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8921520">
    <w:abstractNumId w:val="9"/>
  </w:num>
  <w:num w:numId="15" w16cid:durableId="2147090464">
    <w:abstractNumId w:val="6"/>
  </w:num>
  <w:num w:numId="16" w16cid:durableId="1127704479">
    <w:abstractNumId w:val="17"/>
  </w:num>
  <w:num w:numId="17" w16cid:durableId="415515126">
    <w:abstractNumId w:val="14"/>
  </w:num>
  <w:num w:numId="18" w16cid:durableId="289020074">
    <w:abstractNumId w:val="8"/>
  </w:num>
  <w:num w:numId="19" w16cid:durableId="2082823518">
    <w:abstractNumId w:val="15"/>
  </w:num>
  <w:num w:numId="20" w16cid:durableId="923226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97F"/>
    <w:rsid w:val="0000337E"/>
    <w:rsid w:val="0001073F"/>
    <w:rsid w:val="00012366"/>
    <w:rsid w:val="00021FBE"/>
    <w:rsid w:val="000521D7"/>
    <w:rsid w:val="000542F5"/>
    <w:rsid w:val="00066CD3"/>
    <w:rsid w:val="0007560D"/>
    <w:rsid w:val="00080E40"/>
    <w:rsid w:val="00092868"/>
    <w:rsid w:val="000A0B58"/>
    <w:rsid w:val="000A6228"/>
    <w:rsid w:val="000B5012"/>
    <w:rsid w:val="000B5D40"/>
    <w:rsid w:val="000B605D"/>
    <w:rsid w:val="000B7EC6"/>
    <w:rsid w:val="000E0082"/>
    <w:rsid w:val="000E39D4"/>
    <w:rsid w:val="000E3D86"/>
    <w:rsid w:val="000E4EF5"/>
    <w:rsid w:val="000E502F"/>
    <w:rsid w:val="00107D87"/>
    <w:rsid w:val="00107DD5"/>
    <w:rsid w:val="0012165D"/>
    <w:rsid w:val="0012343A"/>
    <w:rsid w:val="00133B8D"/>
    <w:rsid w:val="0013542B"/>
    <w:rsid w:val="0013611E"/>
    <w:rsid w:val="00147B61"/>
    <w:rsid w:val="001515BF"/>
    <w:rsid w:val="0017134D"/>
    <w:rsid w:val="001773B7"/>
    <w:rsid w:val="001A393D"/>
    <w:rsid w:val="001A4670"/>
    <w:rsid w:val="001C1523"/>
    <w:rsid w:val="001D4CD1"/>
    <w:rsid w:val="001D7726"/>
    <w:rsid w:val="001E1573"/>
    <w:rsid w:val="001F016F"/>
    <w:rsid w:val="001F4231"/>
    <w:rsid w:val="00205039"/>
    <w:rsid w:val="00214AAE"/>
    <w:rsid w:val="002172E4"/>
    <w:rsid w:val="00221D8F"/>
    <w:rsid w:val="002272DB"/>
    <w:rsid w:val="00234B1A"/>
    <w:rsid w:val="00240F4C"/>
    <w:rsid w:val="002477B7"/>
    <w:rsid w:val="00253FA4"/>
    <w:rsid w:val="00260F65"/>
    <w:rsid w:val="002634BE"/>
    <w:rsid w:val="0027055E"/>
    <w:rsid w:val="00274574"/>
    <w:rsid w:val="00276047"/>
    <w:rsid w:val="00277AE1"/>
    <w:rsid w:val="00295ABD"/>
    <w:rsid w:val="002969AF"/>
    <w:rsid w:val="002A4458"/>
    <w:rsid w:val="002D589A"/>
    <w:rsid w:val="002E491A"/>
    <w:rsid w:val="002F1240"/>
    <w:rsid w:val="00310606"/>
    <w:rsid w:val="00310ABB"/>
    <w:rsid w:val="0031264B"/>
    <w:rsid w:val="00327003"/>
    <w:rsid w:val="0036913A"/>
    <w:rsid w:val="00393118"/>
    <w:rsid w:val="003B760D"/>
    <w:rsid w:val="003C535A"/>
    <w:rsid w:val="0040155D"/>
    <w:rsid w:val="004056DF"/>
    <w:rsid w:val="00405E85"/>
    <w:rsid w:val="004161CF"/>
    <w:rsid w:val="0041713E"/>
    <w:rsid w:val="00421D3F"/>
    <w:rsid w:val="00423785"/>
    <w:rsid w:val="004242F2"/>
    <w:rsid w:val="00426150"/>
    <w:rsid w:val="00452D26"/>
    <w:rsid w:val="004726A8"/>
    <w:rsid w:val="00475EC0"/>
    <w:rsid w:val="004829AF"/>
    <w:rsid w:val="004908E8"/>
    <w:rsid w:val="004A06CD"/>
    <w:rsid w:val="004A4B6F"/>
    <w:rsid w:val="004A4CF9"/>
    <w:rsid w:val="004B3C6F"/>
    <w:rsid w:val="004B6EC2"/>
    <w:rsid w:val="004C59CF"/>
    <w:rsid w:val="004C6993"/>
    <w:rsid w:val="004D1BA8"/>
    <w:rsid w:val="004D2965"/>
    <w:rsid w:val="004D2D9D"/>
    <w:rsid w:val="004D3864"/>
    <w:rsid w:val="004D7752"/>
    <w:rsid w:val="005120D9"/>
    <w:rsid w:val="0051677D"/>
    <w:rsid w:val="00517AA2"/>
    <w:rsid w:val="0052508B"/>
    <w:rsid w:val="00531355"/>
    <w:rsid w:val="00531B78"/>
    <w:rsid w:val="00537F17"/>
    <w:rsid w:val="00541470"/>
    <w:rsid w:val="005512C6"/>
    <w:rsid w:val="00556644"/>
    <w:rsid w:val="005620DD"/>
    <w:rsid w:val="005A75C9"/>
    <w:rsid w:val="005B187D"/>
    <w:rsid w:val="005B326E"/>
    <w:rsid w:val="005C69EF"/>
    <w:rsid w:val="005D69AB"/>
    <w:rsid w:val="005F4892"/>
    <w:rsid w:val="006008A6"/>
    <w:rsid w:val="00603441"/>
    <w:rsid w:val="006063D8"/>
    <w:rsid w:val="006154F3"/>
    <w:rsid w:val="006232DC"/>
    <w:rsid w:val="00625E20"/>
    <w:rsid w:val="0063094F"/>
    <w:rsid w:val="0065498A"/>
    <w:rsid w:val="00684EDD"/>
    <w:rsid w:val="006A2F11"/>
    <w:rsid w:val="006D67F3"/>
    <w:rsid w:val="006F1FFF"/>
    <w:rsid w:val="006F34CA"/>
    <w:rsid w:val="006F399D"/>
    <w:rsid w:val="006F6D10"/>
    <w:rsid w:val="00705A57"/>
    <w:rsid w:val="00712B94"/>
    <w:rsid w:val="007301D9"/>
    <w:rsid w:val="007B2CA1"/>
    <w:rsid w:val="007B62C2"/>
    <w:rsid w:val="007C6919"/>
    <w:rsid w:val="007D0ABC"/>
    <w:rsid w:val="007F3007"/>
    <w:rsid w:val="007F5489"/>
    <w:rsid w:val="007F7D70"/>
    <w:rsid w:val="008042F5"/>
    <w:rsid w:val="00820282"/>
    <w:rsid w:val="0085558D"/>
    <w:rsid w:val="00886959"/>
    <w:rsid w:val="00891A50"/>
    <w:rsid w:val="00893A34"/>
    <w:rsid w:val="008A1076"/>
    <w:rsid w:val="008A36E1"/>
    <w:rsid w:val="008A37A7"/>
    <w:rsid w:val="008B0736"/>
    <w:rsid w:val="008E2566"/>
    <w:rsid w:val="008E478C"/>
    <w:rsid w:val="008E6D92"/>
    <w:rsid w:val="008E70F5"/>
    <w:rsid w:val="008F5593"/>
    <w:rsid w:val="008F760C"/>
    <w:rsid w:val="0090324D"/>
    <w:rsid w:val="00903E9D"/>
    <w:rsid w:val="0090423B"/>
    <w:rsid w:val="00905229"/>
    <w:rsid w:val="00921120"/>
    <w:rsid w:val="00950B06"/>
    <w:rsid w:val="00951513"/>
    <w:rsid w:val="0095306C"/>
    <w:rsid w:val="0095537A"/>
    <w:rsid w:val="009611BA"/>
    <w:rsid w:val="00970069"/>
    <w:rsid w:val="009721EB"/>
    <w:rsid w:val="00991FDB"/>
    <w:rsid w:val="0099282A"/>
    <w:rsid w:val="009928CC"/>
    <w:rsid w:val="009942FD"/>
    <w:rsid w:val="009A4779"/>
    <w:rsid w:val="009B706E"/>
    <w:rsid w:val="009C423A"/>
    <w:rsid w:val="009D2CE4"/>
    <w:rsid w:val="009D307F"/>
    <w:rsid w:val="009E79ED"/>
    <w:rsid w:val="009F27CA"/>
    <w:rsid w:val="00A07596"/>
    <w:rsid w:val="00A15D54"/>
    <w:rsid w:val="00A17A08"/>
    <w:rsid w:val="00A2762E"/>
    <w:rsid w:val="00A32432"/>
    <w:rsid w:val="00A42BF1"/>
    <w:rsid w:val="00A575C3"/>
    <w:rsid w:val="00A60673"/>
    <w:rsid w:val="00A74BD3"/>
    <w:rsid w:val="00A958F3"/>
    <w:rsid w:val="00AA1AEE"/>
    <w:rsid w:val="00AC1872"/>
    <w:rsid w:val="00AD2966"/>
    <w:rsid w:val="00AD631F"/>
    <w:rsid w:val="00AD7414"/>
    <w:rsid w:val="00AE21FF"/>
    <w:rsid w:val="00AE7D6F"/>
    <w:rsid w:val="00AF1F18"/>
    <w:rsid w:val="00AF2A83"/>
    <w:rsid w:val="00B0726E"/>
    <w:rsid w:val="00B219D1"/>
    <w:rsid w:val="00B27308"/>
    <w:rsid w:val="00B46A0C"/>
    <w:rsid w:val="00B575D0"/>
    <w:rsid w:val="00B72E81"/>
    <w:rsid w:val="00B818B0"/>
    <w:rsid w:val="00B81FA4"/>
    <w:rsid w:val="00B8794C"/>
    <w:rsid w:val="00B95EF4"/>
    <w:rsid w:val="00BA4A9A"/>
    <w:rsid w:val="00BA5791"/>
    <w:rsid w:val="00BB563E"/>
    <w:rsid w:val="00BB6509"/>
    <w:rsid w:val="00BC248C"/>
    <w:rsid w:val="00BE5797"/>
    <w:rsid w:val="00C01EC0"/>
    <w:rsid w:val="00C028D4"/>
    <w:rsid w:val="00C0311D"/>
    <w:rsid w:val="00C244EE"/>
    <w:rsid w:val="00C24D01"/>
    <w:rsid w:val="00C31A75"/>
    <w:rsid w:val="00C427FF"/>
    <w:rsid w:val="00C61FEF"/>
    <w:rsid w:val="00C72224"/>
    <w:rsid w:val="00C75706"/>
    <w:rsid w:val="00C86D1A"/>
    <w:rsid w:val="00C9218C"/>
    <w:rsid w:val="00CA133E"/>
    <w:rsid w:val="00CA4815"/>
    <w:rsid w:val="00CB002F"/>
    <w:rsid w:val="00CD76E5"/>
    <w:rsid w:val="00CE5620"/>
    <w:rsid w:val="00CF6562"/>
    <w:rsid w:val="00CF7E7C"/>
    <w:rsid w:val="00D02F08"/>
    <w:rsid w:val="00D1248D"/>
    <w:rsid w:val="00D23B18"/>
    <w:rsid w:val="00D518EB"/>
    <w:rsid w:val="00D5688A"/>
    <w:rsid w:val="00D57ECB"/>
    <w:rsid w:val="00D86284"/>
    <w:rsid w:val="00D9414C"/>
    <w:rsid w:val="00D96E73"/>
    <w:rsid w:val="00D97B2D"/>
    <w:rsid w:val="00DB1FBD"/>
    <w:rsid w:val="00DC2C2E"/>
    <w:rsid w:val="00DC5980"/>
    <w:rsid w:val="00DD0FD4"/>
    <w:rsid w:val="00DD2B46"/>
    <w:rsid w:val="00DF59B0"/>
    <w:rsid w:val="00E01DAA"/>
    <w:rsid w:val="00E06ED6"/>
    <w:rsid w:val="00E13135"/>
    <w:rsid w:val="00E17715"/>
    <w:rsid w:val="00E529E5"/>
    <w:rsid w:val="00E95640"/>
    <w:rsid w:val="00E95EF7"/>
    <w:rsid w:val="00EA0C7D"/>
    <w:rsid w:val="00EB1B34"/>
    <w:rsid w:val="00EB4C2F"/>
    <w:rsid w:val="00EC3DE1"/>
    <w:rsid w:val="00ED0DDF"/>
    <w:rsid w:val="00EF04EC"/>
    <w:rsid w:val="00F1000D"/>
    <w:rsid w:val="00F22420"/>
    <w:rsid w:val="00F311A4"/>
    <w:rsid w:val="00F332D4"/>
    <w:rsid w:val="00F41CC5"/>
    <w:rsid w:val="00F64498"/>
    <w:rsid w:val="00F7374E"/>
    <w:rsid w:val="00F76493"/>
    <w:rsid w:val="00F82C2C"/>
    <w:rsid w:val="00F85913"/>
    <w:rsid w:val="00FA1ABA"/>
    <w:rsid w:val="00FB4052"/>
    <w:rsid w:val="00FC7594"/>
    <w:rsid w:val="00FC7C3A"/>
    <w:rsid w:val="00FD4D6E"/>
    <w:rsid w:val="00FD6383"/>
    <w:rsid w:val="00FE556C"/>
    <w:rsid w:val="00FF5BC8"/>
    <w:rsid w:val="16025051"/>
    <w:rsid w:val="2D045C81"/>
    <w:rsid w:val="4B1CC748"/>
    <w:rsid w:val="4B82EEE3"/>
    <w:rsid w:val="626C5FB6"/>
    <w:rsid w:val="67B5F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EAD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F22420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22420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1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Title">
    <w:name w:val="Title"/>
    <w:basedOn w:val="Normal"/>
    <w:next w:val="Normal"/>
    <w:link w:val="TitleChar"/>
    <w:uiPriority w:val="7"/>
    <w:qFormat/>
    <w:rsid w:val="00625E20"/>
    <w:pPr>
      <w:spacing w:before="1080" w:after="0" w:line="276" w:lineRule="auto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25E20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table" w:customStyle="1" w:styleId="DESE">
    <w:name w:val="DESE"/>
    <w:basedOn w:val="TableNormal"/>
    <w:uiPriority w:val="99"/>
    <w:rsid w:val="00625E20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25E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5E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5E20"/>
    <w:rPr>
      <w:vertAlign w:val="superscript"/>
    </w:rPr>
  </w:style>
  <w:style w:type="paragraph" w:styleId="Revision">
    <w:name w:val="Revision"/>
    <w:hidden/>
    <w:uiPriority w:val="99"/>
    <w:semiHidden/>
    <w:rsid w:val="00E177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61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1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1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1B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F34CA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recurrent-funding-schools/schooling-resource-standard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E804F-573E-40BD-A9C8-1EF065EE5D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451B90-297B-4EA7-98AA-096877F8B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781FD9-C62F-4A38-9E61-B78C210CD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is school funding indexed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is school funding indexed</dc:title>
  <dc:subject/>
  <dc:creator/>
  <cp:keywords/>
  <dc:description/>
  <cp:lastModifiedBy/>
  <cp:revision>2</cp:revision>
  <dcterms:created xsi:type="dcterms:W3CDTF">2025-12-17T05:15:00Z</dcterms:created>
  <dcterms:modified xsi:type="dcterms:W3CDTF">2026-05-13T06:13:00Z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2026-04-23T04:27:36Z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963b98f6-3471-4b96-8c12-123c88723d6e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