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2AF9" w14:textId="77777777" w:rsidR="00270631" w:rsidRDefault="00270631" w:rsidP="008C1FEE">
      <w:pPr>
        <w:rPr>
          <w:rFonts w:ascii="Arial" w:hAnsi="Arial" w:cs="Arial"/>
          <w:szCs w:val="24"/>
        </w:rPr>
      </w:pPr>
    </w:p>
    <w:p w14:paraId="338E7A9C" w14:textId="1B9CF6B4" w:rsidR="00270631" w:rsidRDefault="00270631" w:rsidP="008C1FEE">
      <w:pPr>
        <w:rPr>
          <w:rFonts w:ascii="Arial" w:hAnsi="Arial" w:cs="Arial"/>
          <w:szCs w:val="24"/>
        </w:rPr>
      </w:pPr>
    </w:p>
    <w:p w14:paraId="7C0278BA" w14:textId="77777777" w:rsidR="00270631" w:rsidRDefault="00270631" w:rsidP="008C1FEE">
      <w:pPr>
        <w:rPr>
          <w:rFonts w:ascii="Arial" w:hAnsi="Arial" w:cs="Arial"/>
          <w:szCs w:val="24"/>
        </w:rPr>
      </w:pPr>
    </w:p>
    <w:p w14:paraId="05DE7168" w14:textId="77777777" w:rsidR="00270631" w:rsidRDefault="00270631" w:rsidP="008C1FEE">
      <w:pPr>
        <w:rPr>
          <w:rFonts w:ascii="Arial" w:hAnsi="Arial" w:cs="Arial"/>
          <w:szCs w:val="24"/>
        </w:rPr>
      </w:pPr>
    </w:p>
    <w:p w14:paraId="41B163BF" w14:textId="77777777" w:rsidR="00270631" w:rsidRDefault="00270631" w:rsidP="008C1FEE">
      <w:pPr>
        <w:rPr>
          <w:rFonts w:ascii="Arial" w:hAnsi="Arial" w:cs="Arial"/>
          <w:szCs w:val="24"/>
        </w:rPr>
      </w:pPr>
    </w:p>
    <w:p w14:paraId="4D4C5C5F" w14:textId="77777777" w:rsidR="00270631" w:rsidRDefault="00270631" w:rsidP="008C1FEE">
      <w:pPr>
        <w:rPr>
          <w:rFonts w:ascii="Arial" w:hAnsi="Arial" w:cs="Arial"/>
          <w:szCs w:val="24"/>
        </w:rPr>
      </w:pPr>
    </w:p>
    <w:p w14:paraId="05807504" w14:textId="77777777" w:rsidR="00270631" w:rsidRDefault="00270631" w:rsidP="008C1FEE">
      <w:pPr>
        <w:rPr>
          <w:rFonts w:ascii="Arial" w:hAnsi="Arial" w:cs="Arial"/>
          <w:szCs w:val="24"/>
        </w:rPr>
      </w:pPr>
    </w:p>
    <w:p w14:paraId="2C15DF64" w14:textId="77777777" w:rsidR="00270631" w:rsidRDefault="00270631" w:rsidP="008C1FEE">
      <w:pPr>
        <w:rPr>
          <w:rFonts w:ascii="Arial" w:hAnsi="Arial" w:cs="Arial"/>
          <w:szCs w:val="24"/>
        </w:rPr>
      </w:pPr>
    </w:p>
    <w:p w14:paraId="5E27B700" w14:textId="77777777" w:rsidR="00270631" w:rsidRDefault="00270631" w:rsidP="008C1FEE">
      <w:pPr>
        <w:rPr>
          <w:rFonts w:ascii="Arial" w:hAnsi="Arial" w:cs="Arial"/>
          <w:szCs w:val="24"/>
        </w:rPr>
      </w:pPr>
    </w:p>
    <w:p w14:paraId="0D9B4247" w14:textId="77777777" w:rsidR="00A3669D" w:rsidRDefault="00A3669D" w:rsidP="00EC7525">
      <w:pPr>
        <w:jc w:val="center"/>
        <w:rPr>
          <w:rFonts w:ascii="Arial" w:hAnsi="Arial" w:cs="Arial"/>
          <w:b/>
          <w:szCs w:val="24"/>
        </w:rPr>
      </w:pPr>
    </w:p>
    <w:p w14:paraId="1DC14B41" w14:textId="77777777" w:rsidR="00EC7525" w:rsidRDefault="00EC7525" w:rsidP="00EC7525">
      <w:pPr>
        <w:rPr>
          <w:rFonts w:ascii="Arial" w:hAnsi="Arial" w:cs="Arial"/>
          <w:szCs w:val="24"/>
        </w:rPr>
      </w:pPr>
    </w:p>
    <w:p w14:paraId="1B70D050" w14:textId="4285D708" w:rsidR="00EC7525" w:rsidRDefault="003D647E" w:rsidP="00EC7525">
      <w:pPr>
        <w:jc w:val="right"/>
        <w:rPr>
          <w:rFonts w:ascii="Arial" w:hAnsi="Arial" w:cs="Arial"/>
          <w:szCs w:val="24"/>
        </w:rPr>
      </w:pPr>
      <w:bookmarkStart w:id="0" w:name="_Hlk97710958"/>
      <w:r>
        <w:rPr>
          <w:rFonts w:ascii="Arial" w:hAnsi="Arial" w:cs="Arial"/>
          <w:szCs w:val="24"/>
        </w:rPr>
        <w:t xml:space="preserve">1 June </w:t>
      </w:r>
      <w:r w:rsidR="00EC7525">
        <w:rPr>
          <w:rFonts w:ascii="Arial" w:hAnsi="Arial" w:cs="Arial"/>
          <w:szCs w:val="24"/>
        </w:rPr>
        <w:t>2022</w:t>
      </w:r>
    </w:p>
    <w:bookmarkEnd w:id="0"/>
    <w:p w14:paraId="1F1B307F" w14:textId="4BB9146B" w:rsidR="007747EF" w:rsidRDefault="007747EF" w:rsidP="008C1FEE">
      <w:pPr>
        <w:rPr>
          <w:rFonts w:ascii="Arial" w:hAnsi="Arial" w:cs="Arial"/>
          <w:szCs w:val="24"/>
        </w:rPr>
      </w:pPr>
    </w:p>
    <w:p w14:paraId="16511FD2" w14:textId="77777777" w:rsidR="00884B79" w:rsidRDefault="00884B79" w:rsidP="008C1FEE">
      <w:pPr>
        <w:rPr>
          <w:rFonts w:ascii="Arial" w:hAnsi="Arial" w:cs="Arial"/>
          <w:szCs w:val="24"/>
        </w:rPr>
      </w:pPr>
    </w:p>
    <w:p w14:paraId="36B71325" w14:textId="77777777" w:rsidR="00EC7525" w:rsidRDefault="00EC7525" w:rsidP="00EC7525">
      <w:pPr>
        <w:rPr>
          <w:rFonts w:ascii="Arial" w:hAnsi="Arial" w:cs="Arial"/>
          <w:szCs w:val="24"/>
        </w:rPr>
      </w:pPr>
      <w:r>
        <w:rPr>
          <w:rFonts w:ascii="Arial" w:hAnsi="Arial" w:cs="Arial"/>
          <w:szCs w:val="24"/>
        </w:rPr>
        <w:t>Ms Melinda Hatton</w:t>
      </w:r>
    </w:p>
    <w:p w14:paraId="7B9D478A" w14:textId="24917C22" w:rsidR="00D157FA" w:rsidRDefault="008420A3" w:rsidP="008C1FEE">
      <w:pPr>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p>
    <w:p w14:paraId="5BCE688D" w14:textId="77777777"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r w:rsidR="007E5B58">
        <w:rPr>
          <w:rFonts w:ascii="Arial" w:hAnsi="Arial" w:cs="Arial"/>
          <w:szCs w:val="24"/>
        </w:rPr>
        <w:t>, Skills and Employment</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77777777" w:rsidR="00D157FA" w:rsidRDefault="007747EF"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 xml:space="preserve">ACT </w:t>
      </w:r>
      <w:r>
        <w:rPr>
          <w:rFonts w:ascii="Arial" w:hAnsi="Arial" w:cs="Arial"/>
          <w:szCs w:val="24"/>
        </w:rPr>
        <w:t xml:space="preserve"> </w:t>
      </w:r>
      <w:r w:rsidRPr="007747EF">
        <w:rPr>
          <w:rFonts w:ascii="Arial" w:hAnsi="Arial" w:cs="Arial"/>
          <w:szCs w:val="24"/>
        </w:rPr>
        <w:t>2601</w:t>
      </w:r>
    </w:p>
    <w:p w14:paraId="056306C1" w14:textId="37096A4F" w:rsidR="007747EF" w:rsidRDefault="007747EF" w:rsidP="008C1FEE">
      <w:pPr>
        <w:rPr>
          <w:rFonts w:ascii="Arial" w:hAnsi="Arial" w:cs="Arial"/>
          <w:szCs w:val="24"/>
        </w:rPr>
      </w:pPr>
    </w:p>
    <w:p w14:paraId="4306D575" w14:textId="23971CE2" w:rsidR="007747EF" w:rsidRDefault="007747EF" w:rsidP="008C1FEE">
      <w:pPr>
        <w:rPr>
          <w:rFonts w:ascii="Arial" w:hAnsi="Arial" w:cs="Arial"/>
          <w:b/>
          <w:bCs/>
          <w:szCs w:val="24"/>
        </w:rPr>
      </w:pPr>
    </w:p>
    <w:p w14:paraId="773BCECF" w14:textId="77777777" w:rsidR="003D647E" w:rsidRDefault="003D647E" w:rsidP="008C1FEE">
      <w:pPr>
        <w:rPr>
          <w:rFonts w:ascii="Arial" w:hAnsi="Arial" w:cs="Arial"/>
          <w:szCs w:val="24"/>
        </w:rPr>
      </w:pPr>
    </w:p>
    <w:p w14:paraId="3185E81B" w14:textId="77777777" w:rsidR="00EC7525" w:rsidRPr="004470A6" w:rsidRDefault="00EC7525" w:rsidP="00EC7525">
      <w:pPr>
        <w:rPr>
          <w:rFonts w:ascii="Arial" w:hAnsi="Arial" w:cs="Arial"/>
          <w:szCs w:val="24"/>
        </w:rPr>
      </w:pPr>
      <w:r w:rsidRPr="004470A6">
        <w:rPr>
          <w:rFonts w:ascii="Arial" w:hAnsi="Arial" w:cs="Arial"/>
          <w:szCs w:val="24"/>
        </w:rPr>
        <w:t xml:space="preserve">Dear </w:t>
      </w:r>
      <w:r>
        <w:rPr>
          <w:rFonts w:ascii="Arial" w:hAnsi="Arial" w:cs="Arial"/>
          <w:szCs w:val="24"/>
        </w:rPr>
        <w:t>Ms Hatton</w:t>
      </w:r>
    </w:p>
    <w:p w14:paraId="0D7EE1F5" w14:textId="1F7BF1AF" w:rsidR="008C1FEE" w:rsidRDefault="008C1FEE" w:rsidP="008C1FEE">
      <w:pPr>
        <w:rPr>
          <w:rFonts w:ascii="Arial" w:hAnsi="Arial" w:cs="Arial"/>
          <w:szCs w:val="24"/>
        </w:rPr>
      </w:pPr>
    </w:p>
    <w:p w14:paraId="016BA685" w14:textId="2905C49D" w:rsidR="00311F4C" w:rsidRPr="00DE746B" w:rsidRDefault="00311F4C" w:rsidP="00311F4C">
      <w:pPr>
        <w:rPr>
          <w:rFonts w:ascii="Arial" w:hAnsi="Arial" w:cs="Arial"/>
          <w:b/>
          <w:bCs/>
          <w:szCs w:val="24"/>
        </w:rPr>
      </w:pPr>
      <w:r w:rsidRPr="00DE746B">
        <w:rPr>
          <w:rFonts w:ascii="Arial" w:hAnsi="Arial" w:cs="Arial"/>
          <w:b/>
          <w:bCs/>
          <w:szCs w:val="24"/>
        </w:rPr>
        <w:t>Re: 2022 Up-Front Payments Tuition Protection Levy Advice</w:t>
      </w:r>
    </w:p>
    <w:p w14:paraId="70F3928D" w14:textId="77777777" w:rsidR="00311F4C" w:rsidRPr="004470A6" w:rsidRDefault="00311F4C" w:rsidP="008C1FEE">
      <w:pPr>
        <w:rPr>
          <w:rFonts w:ascii="Arial" w:hAnsi="Arial" w:cs="Arial"/>
          <w:szCs w:val="24"/>
        </w:rPr>
      </w:pPr>
    </w:p>
    <w:p w14:paraId="57AF1CFD" w14:textId="57BB07E8"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167-35(1)(b)</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to provide advice and make recommendations to you in relation to you</w:t>
      </w:r>
      <w:r w:rsidR="00F62010">
        <w:rPr>
          <w:rFonts w:ascii="Arial" w:hAnsi="Arial" w:cs="Arial"/>
          <w:szCs w:val="24"/>
        </w:rPr>
        <w:t>r</w:t>
      </w:r>
      <w:r w:rsidRPr="006542CF">
        <w:rPr>
          <w:rFonts w:ascii="Arial" w:hAnsi="Arial" w:cs="Arial"/>
          <w:szCs w:val="24"/>
        </w:rPr>
        <w:t xml:space="preserve"> making the legislative instrument for the risk rated premium and special tuition protection components of the </w:t>
      </w:r>
      <w:r w:rsidR="009E7B99">
        <w:rPr>
          <w:rFonts w:ascii="Arial" w:hAnsi="Arial" w:cs="Arial"/>
          <w:szCs w:val="24"/>
        </w:rPr>
        <w:t>Up-front Payments</w:t>
      </w:r>
      <w:r w:rsidR="0032060E">
        <w:rPr>
          <w:rFonts w:ascii="Arial" w:hAnsi="Arial" w:cs="Arial"/>
          <w:szCs w:val="24"/>
        </w:rPr>
        <w:t xml:space="preserve"> Tuition Protection Levy </w:t>
      </w:r>
      <w:r w:rsidRPr="006542CF">
        <w:rPr>
          <w:rFonts w:ascii="Arial" w:hAnsi="Arial" w:cs="Arial"/>
          <w:szCs w:val="24"/>
        </w:rPr>
        <w:t xml:space="preserve">for </w:t>
      </w:r>
      <w:r w:rsidR="001C6114">
        <w:rPr>
          <w:rFonts w:ascii="Arial" w:hAnsi="Arial" w:cs="Arial"/>
          <w:szCs w:val="24"/>
        </w:rPr>
        <w:t>2022</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4B641585"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32060E">
        <w:rPr>
          <w:rFonts w:ascii="Arial" w:hAnsi="Arial" w:cs="Arial"/>
          <w:szCs w:val="24"/>
        </w:rPr>
        <w:t>Higher Education</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009E7B99">
        <w:rPr>
          <w:rFonts w:ascii="Arial" w:hAnsi="Arial" w:cs="Arial"/>
          <w:szCs w:val="24"/>
        </w:rPr>
        <w:t>, feedback from the sector</w:t>
      </w:r>
      <w:r w:rsidRPr="006542CF">
        <w:rPr>
          <w:rFonts w:ascii="Arial" w:hAnsi="Arial" w:cs="Arial"/>
          <w:szCs w:val="24"/>
        </w:rPr>
        <w:t xml:space="preserve"> 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44231F54" w14:textId="77777777" w:rsidR="008C1FEE" w:rsidRPr="00731368" w:rsidRDefault="006542CF" w:rsidP="008C1FEE">
      <w:pPr>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1275A8DE" w14:textId="77777777" w:rsidR="008C1FEE" w:rsidRPr="00731368" w:rsidRDefault="008C1FEE" w:rsidP="008C1FEE">
      <w:pPr>
        <w:rPr>
          <w:rFonts w:ascii="Arial" w:hAnsi="Arial" w:cs="Arial"/>
          <w:szCs w:val="24"/>
        </w:rPr>
      </w:pPr>
    </w:p>
    <w:p w14:paraId="46DC0DD6" w14:textId="73A9165F" w:rsidR="00731368" w:rsidRPr="00884B79" w:rsidRDefault="00731368" w:rsidP="00884B79">
      <w:pPr>
        <w:numPr>
          <w:ilvl w:val="0"/>
          <w:numId w:val="1"/>
        </w:numPr>
        <w:spacing w:after="12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F32B02">
        <w:rPr>
          <w:rFonts w:ascii="Arial" w:hAnsi="Arial" w:cs="Arial"/>
          <w:szCs w:val="24"/>
        </w:rPr>
        <w:t>.</w:t>
      </w:r>
      <w:r w:rsidRPr="00884B79">
        <w:rPr>
          <w:rFonts w:ascii="Arial" w:hAnsi="Arial" w:cs="Arial"/>
          <w:szCs w:val="24"/>
        </w:rPr>
        <w:t xml:space="preserve"> </w:t>
      </w:r>
    </w:p>
    <w:p w14:paraId="030BA5A2" w14:textId="1D3360D3" w:rsidR="008C1FEE" w:rsidRPr="00731368" w:rsidRDefault="008C1FEE" w:rsidP="006074DC">
      <w:pPr>
        <w:numPr>
          <w:ilvl w:val="0"/>
          <w:numId w:val="1"/>
        </w:numPr>
        <w:spacing w:after="12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597708">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0DDF7FD" w14:textId="0EADCBC8" w:rsidR="008C1FEE" w:rsidRPr="00731368" w:rsidRDefault="008C1FEE" w:rsidP="008C1FEE">
      <w:pPr>
        <w:numPr>
          <w:ilvl w:val="0"/>
          <w:numId w:val="1"/>
        </w:numPr>
        <w:spacing w:after="120"/>
        <w:ind w:left="714" w:hanging="357"/>
        <w:rPr>
          <w:rFonts w:ascii="Arial" w:hAnsi="Arial" w:cs="Arial"/>
          <w:szCs w:val="24"/>
        </w:rPr>
      </w:pPr>
      <w:r w:rsidRPr="00731368">
        <w:rPr>
          <w:rFonts w:ascii="Arial" w:hAnsi="Arial" w:cs="Arial"/>
          <w:szCs w:val="24"/>
        </w:rPr>
        <w:t>The model should be as simple and transparent as possible, preferably</w:t>
      </w:r>
      <w:r w:rsidR="00E33EFF">
        <w:rPr>
          <w:rFonts w:ascii="Arial" w:hAnsi="Arial" w:cs="Arial"/>
          <w:szCs w:val="24"/>
        </w:rPr>
        <w:t xml:space="preserve"> </w:t>
      </w:r>
      <w:r w:rsidRPr="00731368">
        <w:rPr>
          <w:rFonts w:ascii="Arial" w:hAnsi="Arial" w:cs="Arial"/>
          <w:szCs w:val="24"/>
        </w:rPr>
        <w:t>based on a small number of risk factors.</w:t>
      </w:r>
    </w:p>
    <w:p w14:paraId="0E7F9156" w14:textId="77777777" w:rsidR="008C1FEE" w:rsidRPr="00731368" w:rsidRDefault="008C1FEE" w:rsidP="008C1FEE">
      <w:pPr>
        <w:numPr>
          <w:ilvl w:val="0"/>
          <w:numId w:val="1"/>
        </w:numPr>
        <w:spacing w:after="12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4EF7545A" w14:textId="77777777" w:rsidR="006542CF" w:rsidRPr="00731368" w:rsidRDefault="006542CF" w:rsidP="006542CF">
      <w:pPr>
        <w:pStyle w:val="ListParagraph"/>
        <w:numPr>
          <w:ilvl w:val="0"/>
          <w:numId w:val="1"/>
        </w:numPr>
        <w:rPr>
          <w:rFonts w:ascii="Arial" w:hAnsi="Arial" w:cs="Arial"/>
        </w:rPr>
      </w:pPr>
      <w:r w:rsidRPr="00731368">
        <w:rPr>
          <w:rFonts w:ascii="Arial" w:hAnsi="Arial" w:cs="Arial"/>
        </w:rPr>
        <w:lastRenderedPageBreak/>
        <w:t>Additional imposts on industry, such as data collection, should be minimised as far as possible, consistent with the ability to set sound risk-based levies.</w:t>
      </w:r>
    </w:p>
    <w:p w14:paraId="77BDCA08" w14:textId="77777777" w:rsidR="00CB17FD" w:rsidRDefault="00CB17FD" w:rsidP="000E5F78">
      <w:pPr>
        <w:rPr>
          <w:rFonts w:ascii="Arial" w:hAnsi="Arial" w:cs="Arial"/>
          <w:szCs w:val="24"/>
        </w:rPr>
      </w:pPr>
    </w:p>
    <w:p w14:paraId="4CEC3525" w14:textId="2E09A215" w:rsidR="00361757" w:rsidRDefault="00361757" w:rsidP="00361757">
      <w:pPr>
        <w:rPr>
          <w:rFonts w:ascii="Arial" w:hAnsi="Arial" w:cs="Arial"/>
          <w:szCs w:val="24"/>
        </w:rPr>
      </w:pPr>
      <w:r>
        <w:rPr>
          <w:rFonts w:ascii="Arial" w:hAnsi="Arial" w:cs="Arial"/>
          <w:szCs w:val="24"/>
        </w:rPr>
        <w:t xml:space="preserve">In formulating its advice for 2022, the Board has considered the </w:t>
      </w:r>
      <w:r w:rsidRPr="001A79A8">
        <w:rPr>
          <w:rFonts w:ascii="Arial" w:hAnsi="Arial" w:cs="Arial"/>
          <w:szCs w:val="24"/>
        </w:rPr>
        <w:t xml:space="preserve">domestic education sector for </w:t>
      </w:r>
      <w:r>
        <w:rPr>
          <w:rFonts w:ascii="Arial" w:hAnsi="Arial" w:cs="Arial"/>
          <w:szCs w:val="24"/>
        </w:rPr>
        <w:t xml:space="preserve">Up-front </w:t>
      </w:r>
      <w:r w:rsidRPr="001A79A8">
        <w:rPr>
          <w:rFonts w:ascii="Arial" w:hAnsi="Arial" w:cs="Arial"/>
          <w:szCs w:val="24"/>
        </w:rPr>
        <w:t>providers and considered the history of previous tuition assurance arrangements.</w:t>
      </w:r>
      <w:r>
        <w:rPr>
          <w:rFonts w:ascii="Arial" w:hAnsi="Arial" w:cs="Arial"/>
          <w:szCs w:val="24"/>
        </w:rPr>
        <w:t xml:space="preserve">  </w:t>
      </w:r>
    </w:p>
    <w:p w14:paraId="0A8FE260" w14:textId="77777777" w:rsidR="00361757" w:rsidRDefault="00361757" w:rsidP="001C6114">
      <w:pPr>
        <w:rPr>
          <w:rFonts w:ascii="Arial" w:hAnsi="Arial" w:cs="Arial"/>
          <w:szCs w:val="24"/>
        </w:rPr>
      </w:pPr>
    </w:p>
    <w:p w14:paraId="5F486387" w14:textId="31A463A8" w:rsidR="001C6114" w:rsidRPr="00A26332" w:rsidRDefault="001C6114" w:rsidP="001C6114">
      <w:pPr>
        <w:rPr>
          <w:rFonts w:ascii="Arial" w:hAnsi="Arial" w:cs="Arial"/>
          <w:szCs w:val="24"/>
        </w:rPr>
      </w:pPr>
      <w:r w:rsidRPr="00A26332">
        <w:rPr>
          <w:rFonts w:ascii="Arial" w:hAnsi="Arial" w:cs="Arial"/>
          <w:szCs w:val="24"/>
        </w:rPr>
        <w:t>The Board notes that the Acting Minister for Education and Youth waived the domestic TPS levies for 2021 and, therefore, 2022 is expected to be the inaugural collection of the Up-front Payments Tuition Protection Levy.</w:t>
      </w:r>
    </w:p>
    <w:p w14:paraId="35141A79" w14:textId="77777777" w:rsidR="001C6114" w:rsidRDefault="001C6114" w:rsidP="001C6114">
      <w:pPr>
        <w:rPr>
          <w:rFonts w:ascii="Arial" w:hAnsi="Arial" w:cs="Arial"/>
          <w:szCs w:val="24"/>
        </w:rPr>
      </w:pPr>
    </w:p>
    <w:p w14:paraId="5094F802" w14:textId="132A5266" w:rsidR="00290E88" w:rsidRDefault="001C6114" w:rsidP="00A44EEB">
      <w:pPr>
        <w:rPr>
          <w:rFonts w:ascii="Arial" w:hAnsi="Arial" w:cs="Arial"/>
          <w:i/>
          <w:szCs w:val="24"/>
        </w:rPr>
      </w:pPr>
      <w:r w:rsidRPr="003668AD">
        <w:rPr>
          <w:rFonts w:ascii="Arial" w:hAnsi="Arial" w:cs="Arial"/>
          <w:szCs w:val="24"/>
        </w:rPr>
        <w:t>The report from the AGA is a key document on which the Board has relied while preparing its advice. The AGA’s report to the Board</w:t>
      </w:r>
      <w:r>
        <w:rPr>
          <w:rFonts w:ascii="Arial" w:hAnsi="Arial" w:cs="Arial"/>
          <w:szCs w:val="24"/>
        </w:rPr>
        <w:t xml:space="preserve"> for the 2022 Up-front Payments </w:t>
      </w:r>
      <w:r w:rsidR="005764BA">
        <w:rPr>
          <w:rFonts w:ascii="Arial" w:hAnsi="Arial" w:cs="Arial"/>
          <w:szCs w:val="24"/>
        </w:rPr>
        <w:t>L</w:t>
      </w:r>
      <w:r>
        <w:rPr>
          <w:rFonts w:ascii="Arial" w:hAnsi="Arial" w:cs="Arial"/>
          <w:szCs w:val="24"/>
        </w:rPr>
        <w:t>evy</w:t>
      </w:r>
      <w:r w:rsidRPr="003668AD">
        <w:rPr>
          <w:rFonts w:ascii="Arial" w:hAnsi="Arial" w:cs="Arial"/>
          <w:szCs w:val="24"/>
        </w:rPr>
        <w:t xml:space="preserve">, provided in </w:t>
      </w:r>
      <w:r>
        <w:rPr>
          <w:rFonts w:ascii="Arial" w:hAnsi="Arial" w:cs="Arial"/>
          <w:szCs w:val="24"/>
        </w:rPr>
        <w:t>February 2022</w:t>
      </w:r>
      <w:r w:rsidRPr="003668AD">
        <w:rPr>
          <w:rFonts w:ascii="Arial" w:hAnsi="Arial" w:cs="Arial"/>
          <w:szCs w:val="24"/>
        </w:rPr>
        <w:t xml:space="preserve">, </w:t>
      </w:r>
      <w:r>
        <w:rPr>
          <w:rFonts w:ascii="Arial" w:hAnsi="Arial" w:cs="Arial"/>
          <w:szCs w:val="24"/>
        </w:rPr>
        <w:t>recommend</w:t>
      </w:r>
      <w:r w:rsidR="00A26332">
        <w:rPr>
          <w:rFonts w:ascii="Arial" w:hAnsi="Arial" w:cs="Arial"/>
          <w:szCs w:val="24"/>
        </w:rPr>
        <w:t>ed</w:t>
      </w:r>
      <w:r w:rsidRPr="003668AD">
        <w:rPr>
          <w:rFonts w:ascii="Arial" w:hAnsi="Arial" w:cs="Arial"/>
          <w:szCs w:val="24"/>
        </w:rPr>
        <w:t xml:space="preserve"> </w:t>
      </w:r>
      <w:r>
        <w:rPr>
          <w:rFonts w:ascii="Arial" w:hAnsi="Arial" w:cs="Arial"/>
          <w:szCs w:val="24"/>
        </w:rPr>
        <w:t>readopting all the settings determined for 2021. This includes applying the Special Tuition Protection component at the reduced rate of 0.10 per cent</w:t>
      </w:r>
      <w:r w:rsidR="00B2722B">
        <w:rPr>
          <w:rFonts w:ascii="Arial" w:hAnsi="Arial" w:cs="Arial"/>
          <w:szCs w:val="24"/>
        </w:rPr>
        <w:t>.</w:t>
      </w:r>
    </w:p>
    <w:p w14:paraId="37F29769" w14:textId="2A7536D3" w:rsidR="00B2722B" w:rsidRDefault="00B2722B" w:rsidP="00A44EEB">
      <w:pPr>
        <w:rPr>
          <w:rFonts w:ascii="Arial" w:hAnsi="Arial" w:cs="Arial"/>
          <w:i/>
          <w:szCs w:val="24"/>
        </w:rPr>
      </w:pPr>
    </w:p>
    <w:p w14:paraId="471A6043" w14:textId="16BF7D4E" w:rsidR="00B2722B" w:rsidRPr="00C125F7" w:rsidRDefault="00B2722B" w:rsidP="00CF124B">
      <w:pPr>
        <w:ind w:left="360"/>
        <w:rPr>
          <w:rFonts w:ascii="Arial" w:hAnsi="Arial" w:cs="Arial"/>
          <w:szCs w:val="24"/>
        </w:rPr>
      </w:pPr>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of retaining the risk factors of:</w:t>
      </w:r>
    </w:p>
    <w:p w14:paraId="59EBC168" w14:textId="77777777" w:rsidR="00B2722B" w:rsidRPr="00C125F7" w:rsidRDefault="00B2722B" w:rsidP="00B2722B">
      <w:pPr>
        <w:pStyle w:val="ListParagraph"/>
        <w:numPr>
          <w:ilvl w:val="0"/>
          <w:numId w:val="6"/>
        </w:numPr>
        <w:spacing w:before="40"/>
        <w:rPr>
          <w:rFonts w:ascii="Arial" w:hAnsi="Arial" w:cs="Arial"/>
        </w:rPr>
      </w:pPr>
      <w:r w:rsidRPr="00C125F7">
        <w:rPr>
          <w:rFonts w:ascii="Arial" w:hAnsi="Arial" w:cs="Arial"/>
        </w:rPr>
        <w:t>financial strength;</w:t>
      </w:r>
    </w:p>
    <w:p w14:paraId="44678F2B" w14:textId="77777777" w:rsidR="00B2722B" w:rsidRPr="00C125F7" w:rsidRDefault="00B2722B" w:rsidP="00B2722B">
      <w:pPr>
        <w:pStyle w:val="ListParagraph"/>
        <w:numPr>
          <w:ilvl w:val="0"/>
          <w:numId w:val="6"/>
        </w:numPr>
        <w:spacing w:before="40"/>
        <w:rPr>
          <w:rFonts w:ascii="Arial" w:hAnsi="Arial" w:cs="Arial"/>
        </w:rPr>
      </w:pPr>
      <w:r w:rsidRPr="00C125F7">
        <w:rPr>
          <w:rFonts w:ascii="Arial" w:hAnsi="Arial" w:cs="Arial"/>
        </w:rPr>
        <w:t xml:space="preserve">completion rate; and </w:t>
      </w:r>
    </w:p>
    <w:p w14:paraId="53EC3D09" w14:textId="77777777" w:rsidR="00B2722B" w:rsidRPr="00C125F7" w:rsidRDefault="00B2722B" w:rsidP="00B2722B">
      <w:pPr>
        <w:pStyle w:val="ListParagraph"/>
        <w:numPr>
          <w:ilvl w:val="0"/>
          <w:numId w:val="6"/>
        </w:numPr>
        <w:spacing w:before="40"/>
        <w:rPr>
          <w:rFonts w:ascii="Arial" w:hAnsi="Arial" w:cs="Arial"/>
        </w:rPr>
      </w:pPr>
      <w:r w:rsidRPr="00C125F7">
        <w:rPr>
          <w:rFonts w:ascii="Arial" w:hAnsi="Arial" w:cs="Arial"/>
        </w:rPr>
        <w:t>compliance history.</w:t>
      </w:r>
    </w:p>
    <w:p w14:paraId="28EE68FF" w14:textId="77777777" w:rsidR="00B2722B" w:rsidRDefault="00B2722B" w:rsidP="00B2722B">
      <w:pPr>
        <w:contextualSpacing/>
        <w:rPr>
          <w:rFonts w:ascii="Arial" w:hAnsi="Arial" w:cs="Arial"/>
          <w:szCs w:val="24"/>
        </w:rPr>
      </w:pPr>
    </w:p>
    <w:p w14:paraId="718A192D" w14:textId="77777777" w:rsidR="00B2722B" w:rsidRPr="00F62532" w:rsidRDefault="00B2722B" w:rsidP="00CF124B">
      <w:pPr>
        <w:ind w:left="360"/>
        <w:contextualSpacing/>
        <w:rPr>
          <w:rFonts w:ascii="Arial" w:hAnsi="Arial" w:cs="Arial"/>
          <w:szCs w:val="24"/>
        </w:rPr>
      </w:pPr>
      <w:r w:rsidRPr="00C125F7">
        <w:rPr>
          <w:rFonts w:ascii="Arial" w:hAnsi="Arial" w:cs="Arial"/>
          <w:szCs w:val="24"/>
        </w:rPr>
        <w:t>The Board is satisfied with the correlation of those factors with the risk of provider failure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s</w:t>
      </w:r>
      <w:r w:rsidRPr="00C125F7">
        <w:rPr>
          <w:rFonts w:ascii="Arial" w:hAnsi="Arial" w:cs="Arial"/>
          <w:szCs w:val="24"/>
        </w:rPr>
        <w:t>.</w:t>
      </w:r>
      <w:r>
        <w:rPr>
          <w:rFonts w:ascii="Arial" w:hAnsi="Arial" w:cs="Arial"/>
          <w:szCs w:val="24"/>
        </w:rPr>
        <w:t xml:space="preserve">  </w:t>
      </w:r>
      <w:r w:rsidRPr="00F62532">
        <w:rPr>
          <w:rFonts w:ascii="Arial" w:hAnsi="Arial" w:cs="Arial"/>
          <w:szCs w:val="24"/>
        </w:rPr>
        <w:t xml:space="preserve">The Board accepts the AGA’s recommended weightings for the risk factors, which are outlined at the end of this letter for the purposes of section 13(1)(c) of the </w:t>
      </w:r>
      <w:r>
        <w:rPr>
          <w:rFonts w:ascii="Arial" w:hAnsi="Arial" w:cs="Arial"/>
          <w:iCs/>
          <w:szCs w:val="24"/>
        </w:rPr>
        <w:t>Levy</w:t>
      </w:r>
      <w:r w:rsidRPr="00290E88">
        <w:rPr>
          <w:rFonts w:ascii="Arial" w:hAnsi="Arial" w:cs="Arial"/>
          <w:iCs/>
          <w:szCs w:val="24"/>
        </w:rPr>
        <w:t xml:space="preserve"> Act</w:t>
      </w:r>
      <w:r w:rsidRPr="00F62532">
        <w:rPr>
          <w:rFonts w:ascii="Arial" w:hAnsi="Arial" w:cs="Arial"/>
          <w:szCs w:val="24"/>
        </w:rPr>
        <w:t>.</w:t>
      </w:r>
    </w:p>
    <w:p w14:paraId="0E1653B4" w14:textId="77777777" w:rsidR="00C125F7" w:rsidRPr="00C125F7" w:rsidRDefault="00C125F7" w:rsidP="00561F73">
      <w:pPr>
        <w:spacing w:line="276" w:lineRule="auto"/>
        <w:rPr>
          <w:rFonts w:ascii="Arial" w:hAnsi="Arial" w:cs="Arial"/>
          <w:szCs w:val="24"/>
        </w:rPr>
      </w:pPr>
    </w:p>
    <w:p w14:paraId="367AB171" w14:textId="2A7EDC1B" w:rsidR="00D459E8" w:rsidRDefault="0075077C" w:rsidP="00CF124B">
      <w:pPr>
        <w:ind w:left="360"/>
        <w:rPr>
          <w:rFonts w:ascii="Arial" w:hAnsi="Arial" w:cs="Arial"/>
          <w:szCs w:val="24"/>
        </w:rPr>
      </w:pPr>
      <w:r>
        <w:rPr>
          <w:rFonts w:ascii="Arial" w:hAnsi="Arial" w:cs="Arial"/>
          <w:szCs w:val="24"/>
        </w:rPr>
        <w:t>The</w:t>
      </w:r>
      <w:r w:rsidR="00D459E8">
        <w:rPr>
          <w:rFonts w:ascii="Arial" w:hAnsi="Arial" w:cs="Arial"/>
          <w:szCs w:val="24"/>
        </w:rPr>
        <w:t xml:space="preserve"> Board has considered the levy parameters for the Up-Front Payment</w:t>
      </w:r>
      <w:r w:rsidR="00F62010">
        <w:rPr>
          <w:rFonts w:ascii="Arial" w:hAnsi="Arial" w:cs="Arial"/>
          <w:szCs w:val="24"/>
        </w:rPr>
        <w:t>s Tuition Protection Levy</w:t>
      </w:r>
      <w:r w:rsidR="00D459E8">
        <w:rPr>
          <w:rFonts w:ascii="Arial" w:hAnsi="Arial" w:cs="Arial"/>
          <w:szCs w:val="24"/>
        </w:rPr>
        <w:t xml:space="preserve"> on the basis that</w:t>
      </w:r>
      <w:r w:rsidR="00F62010">
        <w:rPr>
          <w:rFonts w:ascii="Arial" w:hAnsi="Arial" w:cs="Arial"/>
          <w:szCs w:val="24"/>
        </w:rPr>
        <w:t xml:space="preserve"> the</w:t>
      </w:r>
      <w:r w:rsidR="00D459E8">
        <w:rPr>
          <w:rFonts w:ascii="Arial" w:hAnsi="Arial" w:cs="Arial"/>
          <w:szCs w:val="24"/>
        </w:rPr>
        <w:t xml:space="preserve"> majority of </w:t>
      </w:r>
      <w:r>
        <w:rPr>
          <w:rFonts w:ascii="Arial" w:hAnsi="Arial" w:cs="Arial"/>
          <w:szCs w:val="24"/>
        </w:rPr>
        <w:t>h</w:t>
      </w:r>
      <w:r w:rsidR="00D459E8">
        <w:rPr>
          <w:rFonts w:ascii="Arial" w:hAnsi="Arial" w:cs="Arial"/>
          <w:szCs w:val="24"/>
        </w:rPr>
        <w:t xml:space="preserve">igher </w:t>
      </w:r>
      <w:r>
        <w:rPr>
          <w:rFonts w:ascii="Arial" w:hAnsi="Arial" w:cs="Arial"/>
          <w:szCs w:val="24"/>
        </w:rPr>
        <w:t>e</w:t>
      </w:r>
      <w:r w:rsidR="00D459E8">
        <w:rPr>
          <w:rFonts w:ascii="Arial" w:hAnsi="Arial" w:cs="Arial"/>
          <w:szCs w:val="24"/>
        </w:rPr>
        <w:t>ducation providers are both HESA</w:t>
      </w:r>
      <w:r>
        <w:rPr>
          <w:rFonts w:ascii="Arial" w:hAnsi="Arial" w:cs="Arial"/>
          <w:szCs w:val="24"/>
        </w:rPr>
        <w:t>-</w:t>
      </w:r>
      <w:r w:rsidR="00D459E8">
        <w:rPr>
          <w:rFonts w:ascii="Arial" w:hAnsi="Arial" w:cs="Arial"/>
          <w:szCs w:val="24"/>
        </w:rPr>
        <w:t xml:space="preserve">approved </w:t>
      </w:r>
      <w:r w:rsidR="00F62010">
        <w:rPr>
          <w:rFonts w:ascii="Arial" w:hAnsi="Arial" w:cs="Arial"/>
          <w:szCs w:val="24"/>
        </w:rPr>
        <w:t xml:space="preserve">HELP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as well as</w:t>
      </w:r>
      <w:r w:rsidRPr="0075077C">
        <w:rPr>
          <w:rFonts w:ascii="Arial" w:hAnsi="Arial" w:cs="Arial"/>
          <w:szCs w:val="24"/>
        </w:rPr>
        <w:t xml:space="preserve"> </w:t>
      </w:r>
      <w:r>
        <w:rPr>
          <w:rFonts w:ascii="Arial" w:hAnsi="Arial" w:cs="Arial"/>
          <w:szCs w:val="24"/>
        </w:rPr>
        <w:t xml:space="preserve">TEQSA-registered higher education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and share similar characteristics. </w:t>
      </w:r>
    </w:p>
    <w:p w14:paraId="4B6D7518" w14:textId="77777777" w:rsidR="00D459E8" w:rsidRDefault="00D459E8" w:rsidP="00561F73">
      <w:pPr>
        <w:rPr>
          <w:rFonts w:ascii="Arial" w:hAnsi="Arial" w:cs="Arial"/>
          <w:szCs w:val="24"/>
        </w:rPr>
      </w:pPr>
    </w:p>
    <w:p w14:paraId="30F3BAB5" w14:textId="3A6974D1" w:rsidR="00FD1495" w:rsidRPr="00F62532" w:rsidRDefault="00FD1495" w:rsidP="00CF124B">
      <w:pPr>
        <w:ind w:left="360"/>
        <w:contextualSpacing/>
        <w:rPr>
          <w:rFonts w:ascii="Arial" w:hAnsi="Arial" w:cs="Arial"/>
          <w:szCs w:val="24"/>
        </w:rPr>
      </w:pPr>
      <w:r>
        <w:rPr>
          <w:rFonts w:ascii="Arial" w:hAnsi="Arial" w:cs="Arial"/>
          <w:szCs w:val="24"/>
        </w:rPr>
        <w:t>The Board agrees that the</w:t>
      </w:r>
      <w:r w:rsidR="00AA2582" w:rsidRPr="00AA2582">
        <w:rPr>
          <w:rFonts w:ascii="Arial" w:hAnsi="Arial" w:cs="Arial"/>
          <w:szCs w:val="24"/>
        </w:rPr>
        <w:t xml:space="preserve"> </w:t>
      </w:r>
      <w:r w:rsidR="00AA2582">
        <w:rPr>
          <w:rFonts w:ascii="Arial" w:hAnsi="Arial" w:cs="Arial"/>
          <w:szCs w:val="24"/>
        </w:rPr>
        <w:t xml:space="preserve">risk factors for the </w:t>
      </w:r>
      <w:r>
        <w:rPr>
          <w:rFonts w:ascii="Arial" w:hAnsi="Arial" w:cs="Arial"/>
          <w:szCs w:val="24"/>
        </w:rPr>
        <w:t>HELP</w:t>
      </w:r>
      <w:r w:rsidR="00AA2582">
        <w:rPr>
          <w:rFonts w:ascii="Arial" w:hAnsi="Arial" w:cs="Arial"/>
          <w:szCs w:val="24"/>
        </w:rPr>
        <w:t xml:space="preserve"> Levy</w:t>
      </w:r>
      <w:r>
        <w:rPr>
          <w:rFonts w:ascii="Arial" w:hAnsi="Arial" w:cs="Arial"/>
          <w:szCs w:val="24"/>
        </w:rPr>
        <w:t xml:space="preserve"> are </w:t>
      </w:r>
      <w:r w:rsidR="000D5A4D">
        <w:rPr>
          <w:rFonts w:ascii="Arial" w:hAnsi="Arial" w:cs="Arial"/>
          <w:szCs w:val="24"/>
        </w:rPr>
        <w:t>appropriate and equally</w:t>
      </w:r>
      <w:r>
        <w:rPr>
          <w:rFonts w:ascii="Arial" w:hAnsi="Arial" w:cs="Arial"/>
          <w:szCs w:val="24"/>
        </w:rPr>
        <w:t xml:space="preserve"> applicable to Up-front Payments providers and</w:t>
      </w:r>
      <w:r w:rsidR="00CA4C75">
        <w:rPr>
          <w:rFonts w:ascii="Arial" w:hAnsi="Arial" w:cs="Arial"/>
          <w:szCs w:val="24"/>
        </w:rPr>
        <w:t>,</w:t>
      </w:r>
      <w:r>
        <w:rPr>
          <w:rFonts w:ascii="Arial" w:hAnsi="Arial" w:cs="Arial"/>
          <w:szCs w:val="24"/>
        </w:rPr>
        <w:t xml:space="preserve"> therefore</w:t>
      </w:r>
      <w:r w:rsidR="00CA4C75">
        <w:rPr>
          <w:rFonts w:ascii="Arial" w:hAnsi="Arial" w:cs="Arial"/>
          <w:szCs w:val="24"/>
        </w:rPr>
        <w:t>,</w:t>
      </w:r>
      <w:r>
        <w:rPr>
          <w:rFonts w:ascii="Arial" w:hAnsi="Arial" w:cs="Arial"/>
          <w:szCs w:val="24"/>
        </w:rPr>
        <w:t xml:space="preserve"> agrees that they apply for the Up-front Payment</w:t>
      </w:r>
      <w:r w:rsidR="003D647E">
        <w:rPr>
          <w:rFonts w:ascii="Arial" w:hAnsi="Arial" w:cs="Arial"/>
          <w:szCs w:val="24"/>
        </w:rPr>
        <w:t>s</w:t>
      </w:r>
      <w:r>
        <w:rPr>
          <w:rFonts w:ascii="Arial" w:hAnsi="Arial" w:cs="Arial"/>
          <w:szCs w:val="24"/>
        </w:rPr>
        <w:t xml:space="preserve"> Tuition Protection Levy.</w:t>
      </w:r>
    </w:p>
    <w:p w14:paraId="15D3627C" w14:textId="77777777" w:rsidR="00561F73" w:rsidRPr="00C125F7" w:rsidRDefault="00561F73" w:rsidP="00561F73">
      <w:pPr>
        <w:contextualSpacing/>
        <w:rPr>
          <w:rFonts w:ascii="Arial" w:hAnsi="Arial" w:cs="Arial"/>
          <w:szCs w:val="24"/>
        </w:rPr>
      </w:pPr>
    </w:p>
    <w:p w14:paraId="6975ED76" w14:textId="43F8E974" w:rsidR="00561F73" w:rsidRPr="00C125F7" w:rsidRDefault="00561F73" w:rsidP="00CF124B">
      <w:pPr>
        <w:ind w:left="360"/>
        <w:contextualSpacing/>
        <w:rPr>
          <w:rFonts w:ascii="Arial" w:hAnsi="Arial" w:cs="Arial"/>
          <w:szCs w:val="24"/>
        </w:rPr>
      </w:pPr>
      <w:r w:rsidRPr="00C125F7">
        <w:rPr>
          <w:rFonts w:ascii="Arial" w:hAnsi="Arial" w:cs="Arial"/>
          <w:szCs w:val="24"/>
        </w:rPr>
        <w:t xml:space="preserve">The </w:t>
      </w:r>
      <w:r w:rsidR="00C04E55">
        <w:rPr>
          <w:rFonts w:ascii="Arial" w:hAnsi="Arial" w:cs="Arial"/>
          <w:szCs w:val="24"/>
        </w:rPr>
        <w:t>R</w:t>
      </w:r>
      <w:r w:rsidRPr="00C125F7">
        <w:rPr>
          <w:rFonts w:ascii="Arial" w:hAnsi="Arial" w:cs="Arial"/>
          <w:szCs w:val="24"/>
        </w:rPr>
        <w:t xml:space="preserve">isk </w:t>
      </w:r>
      <w:r w:rsidR="00C04E55">
        <w:rPr>
          <w:rFonts w:ascii="Arial" w:hAnsi="Arial" w:cs="Arial"/>
          <w:szCs w:val="24"/>
        </w:rPr>
        <w:t>R</w:t>
      </w:r>
      <w:r w:rsidRPr="00C125F7">
        <w:rPr>
          <w:rFonts w:ascii="Arial" w:hAnsi="Arial" w:cs="Arial"/>
          <w:szCs w:val="24"/>
        </w:rPr>
        <w:t xml:space="preserve">ated </w:t>
      </w:r>
      <w:r w:rsidR="00C04E55">
        <w:rPr>
          <w:rFonts w:ascii="Arial" w:hAnsi="Arial" w:cs="Arial"/>
          <w:szCs w:val="24"/>
        </w:rPr>
        <w:t>P</w:t>
      </w:r>
      <w:r w:rsidRPr="00C125F7">
        <w:rPr>
          <w:rFonts w:ascii="Arial" w:hAnsi="Arial" w:cs="Arial"/>
          <w:szCs w:val="24"/>
        </w:rPr>
        <w:t xml:space="preserve">remium component formula includes a per student charge and a percentage rate multiple of the loan amounts paid to the provider.  The Board accepts the AGA’s recommendation </w:t>
      </w:r>
      <w:r w:rsidR="00C125F7" w:rsidRPr="00C125F7">
        <w:rPr>
          <w:rFonts w:ascii="Arial" w:hAnsi="Arial" w:cs="Arial"/>
          <w:szCs w:val="24"/>
        </w:rPr>
        <w:t xml:space="preserve">that these </w:t>
      </w:r>
      <w:r w:rsidR="00CB17FD">
        <w:rPr>
          <w:rFonts w:ascii="Arial" w:hAnsi="Arial" w:cs="Arial"/>
          <w:szCs w:val="24"/>
        </w:rPr>
        <w:t>be</w:t>
      </w:r>
      <w:r w:rsidR="00C04E55">
        <w:rPr>
          <w:rFonts w:ascii="Arial" w:hAnsi="Arial" w:cs="Arial"/>
          <w:szCs w:val="24"/>
        </w:rPr>
        <w:t xml:space="preserve"> set</w:t>
      </w:r>
      <w:r w:rsidR="00CB17FD">
        <w:rPr>
          <w:rFonts w:ascii="Arial" w:hAnsi="Arial" w:cs="Arial"/>
          <w:szCs w:val="24"/>
        </w:rPr>
        <w:t xml:space="preserve"> lower than</w:t>
      </w:r>
      <w:r w:rsidR="00C125F7" w:rsidRPr="00C125F7">
        <w:rPr>
          <w:rFonts w:ascii="Arial" w:hAnsi="Arial" w:cs="Arial"/>
          <w:szCs w:val="24"/>
        </w:rPr>
        <w:t xml:space="preserve"> </w:t>
      </w:r>
      <w:r w:rsidR="00CB17FD">
        <w:rPr>
          <w:rFonts w:ascii="Arial" w:hAnsi="Arial" w:cs="Arial"/>
          <w:szCs w:val="24"/>
        </w:rPr>
        <w:t xml:space="preserve">for the HELP levy, given the different nature of many Up-front Payments providers and </w:t>
      </w:r>
      <w:r w:rsidR="00C04E55">
        <w:rPr>
          <w:rFonts w:ascii="Arial" w:hAnsi="Arial" w:cs="Arial"/>
          <w:szCs w:val="24"/>
        </w:rPr>
        <w:t>that it will be</w:t>
      </w:r>
      <w:r w:rsidR="00CB17FD">
        <w:rPr>
          <w:rFonts w:ascii="Arial" w:hAnsi="Arial" w:cs="Arial"/>
          <w:szCs w:val="24"/>
        </w:rPr>
        <w:t xml:space="preserve"> the inaugural year of the Up-front Payments levy.  </w:t>
      </w:r>
    </w:p>
    <w:p w14:paraId="6C23AD78" w14:textId="77777777" w:rsidR="00561F73" w:rsidRPr="001069F7" w:rsidRDefault="00561F73" w:rsidP="00561F73">
      <w:pPr>
        <w:contextualSpacing/>
        <w:rPr>
          <w:rFonts w:ascii="Arial" w:hAnsi="Arial" w:cs="Arial"/>
          <w:szCs w:val="24"/>
          <w:highlight w:val="yellow"/>
        </w:rPr>
      </w:pPr>
      <w:bookmarkStart w:id="1" w:name="_Hlk97913408"/>
    </w:p>
    <w:p w14:paraId="2FC2BA1F" w14:textId="4B36D38E" w:rsidR="00561F73" w:rsidRPr="00C125F7" w:rsidRDefault="00857A72" w:rsidP="00561F73">
      <w:pPr>
        <w:rPr>
          <w:rFonts w:ascii="Arial" w:hAnsi="Arial" w:cs="Arial"/>
          <w:szCs w:val="24"/>
        </w:rPr>
      </w:pPr>
      <w:r>
        <w:rPr>
          <w:rFonts w:ascii="Arial" w:hAnsi="Arial" w:cs="Arial"/>
          <w:szCs w:val="24"/>
        </w:rPr>
        <w:t>Accordingly, t</w:t>
      </w:r>
      <w:r w:rsidR="00561F73" w:rsidRPr="00C125F7">
        <w:rPr>
          <w:rFonts w:ascii="Arial" w:hAnsi="Arial" w:cs="Arial"/>
          <w:szCs w:val="24"/>
        </w:rPr>
        <w:t xml:space="preserve">he Board recommends that: </w:t>
      </w:r>
    </w:p>
    <w:p w14:paraId="5C6B15E5" w14:textId="77777777" w:rsidR="00561F73" w:rsidRPr="00C125F7" w:rsidRDefault="00561F73" w:rsidP="00561F73">
      <w:pPr>
        <w:rPr>
          <w:rFonts w:ascii="Arial" w:hAnsi="Arial" w:cs="Arial"/>
          <w:szCs w:val="24"/>
        </w:rPr>
      </w:pPr>
    </w:p>
    <w:p w14:paraId="1333DBD8" w14:textId="7DD92909" w:rsidR="00561F73" w:rsidRPr="00C125F7" w:rsidRDefault="00561F73" w:rsidP="003D647E">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R</w:t>
      </w:r>
      <w:r w:rsidRPr="00C125F7">
        <w:rPr>
          <w:rFonts w:ascii="Arial" w:hAnsi="Arial" w:cs="Arial"/>
          <w:szCs w:val="24"/>
        </w:rPr>
        <w:t xml:space="preserve">isk </w:t>
      </w:r>
      <w:r w:rsidR="00CD3251">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remium component of the levy be</w:t>
      </w:r>
      <w:r w:rsidR="000F1455" w:rsidRPr="00C125F7">
        <w:rPr>
          <w:rFonts w:ascii="Arial" w:hAnsi="Arial" w:cs="Arial"/>
          <w:szCs w:val="24"/>
        </w:rPr>
        <w:t xml:space="preserve"> 0.</w:t>
      </w:r>
      <w:r w:rsidR="00F153A7">
        <w:rPr>
          <w:rFonts w:ascii="Arial" w:hAnsi="Arial" w:cs="Arial"/>
          <w:szCs w:val="24"/>
        </w:rPr>
        <w:t>0</w:t>
      </w:r>
      <w:r w:rsidR="00CB17FD">
        <w:rPr>
          <w:rFonts w:ascii="Arial" w:hAnsi="Arial" w:cs="Arial"/>
          <w:szCs w:val="24"/>
        </w:rPr>
        <w:t>4</w:t>
      </w:r>
      <w:r w:rsidRPr="00C125F7">
        <w:rPr>
          <w:rFonts w:ascii="Arial" w:hAnsi="Arial" w:cs="Arial"/>
          <w:szCs w:val="24"/>
        </w:rPr>
        <w:t xml:space="preserve">% </w:t>
      </w:r>
      <w:r w:rsidR="001731CD" w:rsidRPr="00C125F7">
        <w:rPr>
          <w:rFonts w:ascii="Arial" w:hAnsi="Arial" w:cs="Arial"/>
          <w:szCs w:val="24"/>
        </w:rPr>
        <w:t>–</w:t>
      </w:r>
      <w:r w:rsidRPr="00C125F7">
        <w:rPr>
          <w:rFonts w:ascii="Arial" w:hAnsi="Arial" w:cs="Arial"/>
          <w:szCs w:val="24"/>
        </w:rPr>
        <w:t xml:space="preserve"> section 13(1)(b), </w:t>
      </w:r>
      <w:r w:rsidR="00F153A7">
        <w:rPr>
          <w:rFonts w:ascii="Arial" w:hAnsi="Arial" w:cs="Arial"/>
          <w:szCs w:val="24"/>
        </w:rPr>
        <w:t xml:space="preserve">the </w:t>
      </w:r>
      <w:r w:rsidR="00290E88">
        <w:rPr>
          <w:rFonts w:ascii="Arial" w:hAnsi="Arial" w:cs="Arial"/>
          <w:iCs/>
          <w:szCs w:val="24"/>
        </w:rPr>
        <w:t>Levy Act</w:t>
      </w:r>
      <w:r w:rsidRPr="00C125F7">
        <w:rPr>
          <w:rFonts w:ascii="Arial" w:hAnsi="Arial" w:cs="Arial"/>
          <w:szCs w:val="24"/>
        </w:rPr>
        <w:t xml:space="preserve">; </w:t>
      </w:r>
    </w:p>
    <w:p w14:paraId="4785A54A" w14:textId="0203C813" w:rsidR="0059309D" w:rsidRPr="00C125F7" w:rsidRDefault="00561F73" w:rsidP="003D647E">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 student amount for the </w:t>
      </w:r>
      <w:r w:rsidR="00CD3251">
        <w:rPr>
          <w:rFonts w:ascii="Arial" w:hAnsi="Arial" w:cs="Arial"/>
          <w:szCs w:val="24"/>
        </w:rPr>
        <w:t>R</w:t>
      </w:r>
      <w:r w:rsidRPr="00C125F7">
        <w:rPr>
          <w:rFonts w:ascii="Arial" w:hAnsi="Arial" w:cs="Arial"/>
          <w:szCs w:val="24"/>
        </w:rPr>
        <w:t xml:space="preserve">isk </w:t>
      </w:r>
      <w:r w:rsidR="00CD3251">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remium component of the levy be $</w:t>
      </w:r>
      <w:r w:rsidR="00CB17FD">
        <w:rPr>
          <w:rFonts w:ascii="Arial" w:hAnsi="Arial" w:cs="Arial"/>
          <w:szCs w:val="24"/>
        </w:rPr>
        <w:t>2</w:t>
      </w:r>
      <w:r w:rsidRPr="00C125F7">
        <w:rPr>
          <w:rFonts w:ascii="Arial" w:hAnsi="Arial" w:cs="Arial"/>
          <w:szCs w:val="24"/>
        </w:rPr>
        <w:t xml:space="preserve">.00 – section 13(1)(a), </w:t>
      </w:r>
      <w:r w:rsidR="00F153A7">
        <w:rPr>
          <w:rFonts w:ascii="Arial" w:hAnsi="Arial" w:cs="Arial"/>
          <w:iCs/>
          <w:szCs w:val="24"/>
        </w:rPr>
        <w:t>the</w:t>
      </w:r>
      <w:r w:rsidR="00290E88" w:rsidRPr="00290E88">
        <w:rPr>
          <w:rFonts w:ascii="Arial" w:hAnsi="Arial" w:cs="Arial"/>
          <w:iCs/>
          <w:szCs w:val="24"/>
        </w:rPr>
        <w:t xml:space="preserve"> Levy Act</w:t>
      </w:r>
      <w:r w:rsidR="0059309D" w:rsidRPr="00C125F7">
        <w:rPr>
          <w:rFonts w:ascii="Arial" w:hAnsi="Arial" w:cs="Arial"/>
          <w:szCs w:val="24"/>
        </w:rPr>
        <w:t>; and</w:t>
      </w:r>
    </w:p>
    <w:p w14:paraId="6D22EE15" w14:textId="52AD0D3D" w:rsidR="00561F73" w:rsidRPr="00C125F7" w:rsidRDefault="0059309D" w:rsidP="003D647E">
      <w:pPr>
        <w:pStyle w:val="ListParagraph"/>
        <w:numPr>
          <w:ilvl w:val="0"/>
          <w:numId w:val="3"/>
        </w:numPr>
        <w:spacing w:line="276" w:lineRule="auto"/>
        <w:contextualSpacing/>
        <w:rPr>
          <w:rFonts w:ascii="Arial" w:hAnsi="Arial" w:cs="Arial"/>
          <w:szCs w:val="24"/>
        </w:rPr>
      </w:pPr>
      <w:r w:rsidRPr="00C125F7">
        <w:rPr>
          <w:rFonts w:ascii="Arial" w:hAnsi="Arial" w:cs="Arial"/>
          <w:szCs w:val="24"/>
        </w:rPr>
        <w:lastRenderedPageBreak/>
        <w:t xml:space="preserve">the specified percentage rate for the </w:t>
      </w:r>
      <w:r w:rsidR="00CD3251">
        <w:rPr>
          <w:rFonts w:ascii="Arial" w:hAnsi="Arial" w:cs="Arial"/>
          <w:szCs w:val="24"/>
        </w:rPr>
        <w:t>S</w:t>
      </w:r>
      <w:r w:rsidRPr="00C125F7">
        <w:rPr>
          <w:rFonts w:ascii="Arial" w:hAnsi="Arial" w:cs="Arial"/>
          <w:szCs w:val="24"/>
        </w:rPr>
        <w:t xml:space="preserve">pecial </w:t>
      </w:r>
      <w:r w:rsidR="00CD3251">
        <w:rPr>
          <w:rFonts w:ascii="Arial" w:hAnsi="Arial" w:cs="Arial"/>
          <w:szCs w:val="24"/>
        </w:rPr>
        <w:t>T</w:t>
      </w:r>
      <w:r w:rsidR="001A6CF4" w:rsidRPr="00C125F7">
        <w:rPr>
          <w:rFonts w:ascii="Arial" w:hAnsi="Arial" w:cs="Arial"/>
          <w:szCs w:val="24"/>
        </w:rPr>
        <w:t xml:space="preserve">uition </w:t>
      </w:r>
      <w:r w:rsidR="00CD3251">
        <w:rPr>
          <w:rFonts w:ascii="Arial" w:hAnsi="Arial" w:cs="Arial"/>
          <w:szCs w:val="24"/>
        </w:rPr>
        <w:t>P</w:t>
      </w:r>
      <w:r w:rsidR="001A6CF4" w:rsidRPr="00C125F7">
        <w:rPr>
          <w:rFonts w:ascii="Arial" w:hAnsi="Arial" w:cs="Arial"/>
          <w:szCs w:val="24"/>
        </w:rPr>
        <w:t xml:space="preserve">rotection </w:t>
      </w:r>
      <w:r w:rsidRPr="00C125F7">
        <w:rPr>
          <w:rFonts w:ascii="Arial" w:hAnsi="Arial" w:cs="Arial"/>
          <w:szCs w:val="24"/>
        </w:rPr>
        <w:t xml:space="preserve">component of the levy be </w:t>
      </w:r>
      <w:r w:rsidR="001A6CF4" w:rsidRPr="00C125F7">
        <w:rPr>
          <w:rFonts w:ascii="Arial" w:hAnsi="Arial" w:cs="Arial"/>
          <w:szCs w:val="24"/>
        </w:rPr>
        <w:t>0</w:t>
      </w:r>
      <w:r w:rsidRPr="00C125F7">
        <w:rPr>
          <w:rFonts w:ascii="Arial" w:hAnsi="Arial" w:cs="Arial"/>
          <w:szCs w:val="24"/>
        </w:rPr>
        <w:t>.1</w:t>
      </w:r>
      <w:r w:rsidR="00F153A7">
        <w:rPr>
          <w:rFonts w:ascii="Arial" w:hAnsi="Arial" w:cs="Arial"/>
          <w:szCs w:val="24"/>
        </w:rPr>
        <w:t>0</w:t>
      </w:r>
      <w:r w:rsidRPr="00C125F7">
        <w:rPr>
          <w:rFonts w:ascii="Arial" w:hAnsi="Arial" w:cs="Arial"/>
          <w:szCs w:val="24"/>
        </w:rPr>
        <w:t>%</w:t>
      </w:r>
      <w:r w:rsidR="001A6CF4" w:rsidRPr="00C125F7">
        <w:rPr>
          <w:rFonts w:ascii="Arial" w:hAnsi="Arial" w:cs="Arial"/>
          <w:szCs w:val="24"/>
        </w:rPr>
        <w:t xml:space="preserve"> </w:t>
      </w:r>
      <w:r w:rsidR="001731CD" w:rsidRPr="00C125F7">
        <w:rPr>
          <w:rFonts w:ascii="Arial" w:hAnsi="Arial" w:cs="Arial"/>
          <w:szCs w:val="24"/>
        </w:rPr>
        <w:t>–</w:t>
      </w:r>
      <w:r w:rsidR="001731CD">
        <w:rPr>
          <w:rFonts w:ascii="Arial" w:hAnsi="Arial" w:cs="Arial"/>
          <w:szCs w:val="24"/>
        </w:rPr>
        <w:t xml:space="preserve"> </w:t>
      </w:r>
      <w:r w:rsidR="001A6CF4" w:rsidRPr="00C125F7">
        <w:rPr>
          <w:rFonts w:ascii="Arial" w:hAnsi="Arial" w:cs="Arial"/>
          <w:szCs w:val="24"/>
        </w:rPr>
        <w:t xml:space="preserve">section 13(1)(d), </w:t>
      </w:r>
      <w:r w:rsidR="00F153A7">
        <w:rPr>
          <w:rFonts w:ascii="Arial" w:hAnsi="Arial" w:cs="Arial"/>
          <w:szCs w:val="24"/>
        </w:rPr>
        <w:t>the</w:t>
      </w:r>
      <w:r w:rsidR="00290E88">
        <w:rPr>
          <w:rFonts w:ascii="Arial" w:hAnsi="Arial" w:cs="Arial"/>
          <w:szCs w:val="24"/>
        </w:rPr>
        <w:t xml:space="preserve"> Levy Act.</w:t>
      </w:r>
    </w:p>
    <w:bookmarkEnd w:id="1"/>
    <w:p w14:paraId="7014928A" w14:textId="77777777" w:rsidR="00561F73" w:rsidRPr="001069F7" w:rsidRDefault="00561F73" w:rsidP="00561F73">
      <w:pPr>
        <w:contextualSpacing/>
        <w:rPr>
          <w:rFonts w:ascii="Arial" w:hAnsi="Arial" w:cs="Arial"/>
          <w:szCs w:val="24"/>
          <w:highlight w:val="yellow"/>
        </w:rPr>
      </w:pPr>
    </w:p>
    <w:p w14:paraId="62341F60" w14:textId="77777777" w:rsidR="004C48AA" w:rsidRPr="001069F7" w:rsidRDefault="004C48AA" w:rsidP="00561F73">
      <w:pPr>
        <w:contextualSpacing/>
        <w:rPr>
          <w:rFonts w:ascii="Arial" w:hAnsi="Arial" w:cs="Arial"/>
          <w:szCs w:val="24"/>
          <w:highlight w:val="yellow"/>
        </w:rPr>
      </w:pPr>
    </w:p>
    <w:p w14:paraId="04A4A2EF" w14:textId="77777777"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3B0B645F" w14:textId="77777777" w:rsidR="00561F73" w:rsidRPr="001731CD" w:rsidRDefault="00561F73" w:rsidP="00561F73">
      <w:pPr>
        <w:contextualSpacing/>
        <w:rPr>
          <w:rFonts w:ascii="Arial" w:hAnsi="Arial" w:cs="Arial"/>
          <w:szCs w:val="24"/>
        </w:rPr>
      </w:pPr>
    </w:p>
    <w:p w14:paraId="3F16572B" w14:textId="77777777" w:rsidR="00561F73" w:rsidRPr="001731CD" w:rsidRDefault="00561F73" w:rsidP="00561F73">
      <w:pPr>
        <w:contextualSpacing/>
        <w:rPr>
          <w:rFonts w:ascii="Arial" w:hAnsi="Arial" w:cs="Arial"/>
          <w:szCs w:val="24"/>
        </w:rPr>
      </w:pPr>
    </w:p>
    <w:p w14:paraId="571AF179" w14:textId="77777777" w:rsidR="00561F73" w:rsidRPr="001731CD" w:rsidRDefault="00561F73" w:rsidP="00561F73">
      <w:pPr>
        <w:contextualSpacing/>
        <w:rPr>
          <w:rFonts w:ascii="Arial" w:hAnsi="Arial" w:cs="Arial"/>
          <w:szCs w:val="24"/>
        </w:rPr>
      </w:pPr>
    </w:p>
    <w:p w14:paraId="3FAE9B87" w14:textId="77777777" w:rsidR="00561F73" w:rsidRPr="001731CD" w:rsidRDefault="00561F73" w:rsidP="00561F73">
      <w:pPr>
        <w:contextualSpacing/>
        <w:rPr>
          <w:rFonts w:ascii="Arial" w:hAnsi="Arial" w:cs="Arial"/>
          <w:szCs w:val="24"/>
        </w:rPr>
      </w:pPr>
    </w:p>
    <w:p w14:paraId="28916B74" w14:textId="77777777" w:rsidR="00561F73" w:rsidRPr="001731CD" w:rsidRDefault="00561F73" w:rsidP="00561F73">
      <w:pPr>
        <w:contextualSpacing/>
        <w:rPr>
          <w:rFonts w:ascii="Arial" w:hAnsi="Arial" w:cs="Arial"/>
          <w:szCs w:val="24"/>
        </w:rPr>
      </w:pPr>
    </w:p>
    <w:p w14:paraId="6DD3F9B6" w14:textId="77777777" w:rsidR="00561F73" w:rsidRPr="001731CD" w:rsidRDefault="00561F73" w:rsidP="00561F73">
      <w:pPr>
        <w:contextualSpacing/>
        <w:rPr>
          <w:rFonts w:ascii="Arial" w:hAnsi="Arial" w:cs="Arial"/>
          <w:szCs w:val="24"/>
        </w:rPr>
      </w:pPr>
    </w:p>
    <w:p w14:paraId="5E93CC99" w14:textId="77777777" w:rsidR="00C04E55" w:rsidRPr="001731CD" w:rsidRDefault="00C04E55" w:rsidP="00C04E55">
      <w:pPr>
        <w:contextualSpacing/>
        <w:rPr>
          <w:rFonts w:ascii="Arial" w:hAnsi="Arial" w:cs="Arial"/>
          <w:szCs w:val="24"/>
        </w:rPr>
      </w:pPr>
      <w:r w:rsidRPr="001731CD">
        <w:rPr>
          <w:rFonts w:ascii="Arial" w:hAnsi="Arial" w:cs="Arial"/>
          <w:szCs w:val="24"/>
        </w:rPr>
        <w:t>Helen Zimmerman</w:t>
      </w:r>
    </w:p>
    <w:p w14:paraId="671CE90A" w14:textId="77777777" w:rsidR="00C04E55" w:rsidRPr="001731CD" w:rsidRDefault="00C04E55" w:rsidP="00C04E55">
      <w:pPr>
        <w:contextualSpacing/>
        <w:rPr>
          <w:rFonts w:ascii="Arial" w:hAnsi="Arial" w:cs="Arial"/>
          <w:szCs w:val="24"/>
        </w:rPr>
      </w:pPr>
      <w:r w:rsidRPr="001731CD">
        <w:rPr>
          <w:rFonts w:ascii="Arial" w:hAnsi="Arial" w:cs="Arial"/>
          <w:szCs w:val="24"/>
        </w:rPr>
        <w:t>Chair</w:t>
      </w:r>
    </w:p>
    <w:p w14:paraId="78F1804A" w14:textId="1C51B52F" w:rsidR="00561F73" w:rsidRDefault="00F153A7" w:rsidP="00561F73">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p>
    <w:p w14:paraId="43A92328" w14:textId="3F20DD4F" w:rsidR="00561F73" w:rsidRPr="001731CD" w:rsidRDefault="00561F73" w:rsidP="005E5D63">
      <w:pPr>
        <w:spacing w:after="160" w:line="259" w:lineRule="auto"/>
        <w:jc w:val="center"/>
        <w:rPr>
          <w:rFonts w:asciiTheme="minorHAnsi" w:hAnsiTheme="minorHAnsi" w:cstheme="minorHAnsi"/>
          <w:b/>
        </w:rPr>
      </w:pPr>
      <w:r>
        <w:rPr>
          <w:rFonts w:ascii="Arial" w:hAnsi="Arial" w:cs="Arial"/>
          <w:szCs w:val="24"/>
        </w:rPr>
        <w:br w:type="page"/>
      </w:r>
      <w:r w:rsidRPr="001731CD">
        <w:rPr>
          <w:rFonts w:asciiTheme="minorHAnsi" w:hAnsiTheme="minorHAnsi" w:cstheme="minorHAnsi"/>
          <w:b/>
        </w:rPr>
        <w:lastRenderedPageBreak/>
        <w:t>Risk Factors and Weightings for the Risk Rated Premium Component</w:t>
      </w:r>
    </w:p>
    <w:p w14:paraId="4AB69EE1" w14:textId="745C528D" w:rsidR="00561F73" w:rsidRPr="001731CD" w:rsidRDefault="00561F73" w:rsidP="00561F73">
      <w:pPr>
        <w:jc w:val="center"/>
        <w:rPr>
          <w:rFonts w:asciiTheme="minorHAnsi" w:hAnsiTheme="minorHAnsi" w:cstheme="minorHAnsi"/>
          <w:b/>
        </w:rPr>
      </w:pPr>
      <w:r w:rsidRPr="001731CD">
        <w:rPr>
          <w:rFonts w:asciiTheme="minorHAnsi" w:hAnsiTheme="minorHAnsi" w:cstheme="minorHAnsi"/>
          <w:b/>
        </w:rPr>
        <w:t xml:space="preserve">for the </w:t>
      </w:r>
      <w:r w:rsidR="00CB17FD">
        <w:rPr>
          <w:rFonts w:asciiTheme="minorHAnsi" w:hAnsiTheme="minorHAnsi" w:cstheme="minorHAnsi"/>
          <w:b/>
          <w:i/>
          <w:iCs/>
        </w:rPr>
        <w:t>Up-front Payments</w:t>
      </w:r>
      <w:r w:rsidRPr="005D0E6F">
        <w:rPr>
          <w:rFonts w:asciiTheme="minorHAnsi" w:hAnsiTheme="minorHAnsi" w:cstheme="minorHAnsi"/>
          <w:b/>
          <w:i/>
          <w:iCs/>
        </w:rPr>
        <w:t xml:space="preserve"> Tuition Protection Levy</w:t>
      </w:r>
      <w:r w:rsidRPr="001731CD">
        <w:rPr>
          <w:rFonts w:asciiTheme="minorHAnsi" w:hAnsiTheme="minorHAnsi" w:cstheme="minorHAnsi"/>
          <w:b/>
        </w:rPr>
        <w:t xml:space="preserve"> in </w:t>
      </w:r>
      <w:r w:rsidR="001069F7" w:rsidRPr="001731CD">
        <w:rPr>
          <w:rFonts w:asciiTheme="minorHAnsi" w:hAnsiTheme="minorHAnsi" w:cstheme="minorHAnsi"/>
          <w:b/>
        </w:rPr>
        <w:t>2021</w:t>
      </w:r>
    </w:p>
    <w:p w14:paraId="5AFA0669" w14:textId="77777777" w:rsidR="00561F73" w:rsidRPr="001069F7" w:rsidRDefault="00561F73" w:rsidP="00561F73">
      <w:pPr>
        <w:jc w:val="center"/>
        <w:rPr>
          <w:rFonts w:asciiTheme="minorHAnsi" w:hAnsiTheme="minorHAnsi" w:cstheme="minorHAnsi"/>
          <w:b/>
          <w:highlight w:val="yellow"/>
        </w:rPr>
      </w:pPr>
    </w:p>
    <w:tbl>
      <w:tblPr>
        <w:tblW w:w="9782" w:type="dxa"/>
        <w:tblInd w:w="-176" w:type="dxa"/>
        <w:tblCellMar>
          <w:left w:w="0" w:type="dxa"/>
          <w:right w:w="0" w:type="dxa"/>
        </w:tblCellMar>
        <w:tblLook w:val="04A0" w:firstRow="1" w:lastRow="0" w:firstColumn="1" w:lastColumn="0" w:noHBand="0" w:noVBand="1"/>
      </w:tblPr>
      <w:tblGrid>
        <w:gridCol w:w="3820"/>
        <w:gridCol w:w="3694"/>
        <w:gridCol w:w="2268"/>
      </w:tblGrid>
      <w:tr w:rsidR="00561F73" w:rsidRPr="001069F7" w14:paraId="35EA8D97" w14:textId="77777777" w:rsidTr="00FF37AF">
        <w:trPr>
          <w:trHeight w:val="261"/>
        </w:trPr>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4E0D5" w14:textId="77777777" w:rsidR="00561F73" w:rsidRPr="001731CD" w:rsidRDefault="00561F73" w:rsidP="00FF37AF">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 xml:space="preserve">Risk Factor </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21A6E" w14:textId="77777777" w:rsidR="00561F73" w:rsidRPr="001731CD" w:rsidRDefault="00561F73" w:rsidP="00FF37AF">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Category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CB9A3" w14:textId="77777777" w:rsidR="00561F73" w:rsidRPr="001731CD" w:rsidRDefault="00561F73" w:rsidP="00FF37AF">
            <w:pPr>
              <w:pStyle w:val="subsection"/>
              <w:ind w:left="0" w:firstLine="0"/>
              <w:rPr>
                <w:rFonts w:asciiTheme="minorHAnsi" w:hAnsiTheme="minorHAnsi" w:cstheme="minorHAnsi"/>
                <w:b/>
                <w:bCs/>
                <w:sz w:val="24"/>
                <w:szCs w:val="24"/>
              </w:rPr>
            </w:pPr>
            <w:r w:rsidRPr="001731CD">
              <w:rPr>
                <w:rFonts w:asciiTheme="minorHAnsi" w:hAnsiTheme="minorHAnsi" w:cstheme="minorHAnsi"/>
                <w:b/>
                <w:bCs/>
                <w:sz w:val="24"/>
                <w:szCs w:val="24"/>
              </w:rPr>
              <w:t xml:space="preserve">Risk Factor Weight </w:t>
            </w:r>
          </w:p>
        </w:tc>
      </w:tr>
      <w:tr w:rsidR="00561F73" w:rsidRPr="001069F7" w14:paraId="70E81833" w14:textId="77777777" w:rsidTr="00FF37AF">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69893" w14:textId="77777777" w:rsidR="00561F73" w:rsidRPr="001731CD" w:rsidRDefault="00561F73"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Financial Strength</w:t>
            </w:r>
          </w:p>
          <w:p w14:paraId="6957F426" w14:textId="77777777" w:rsidR="00561F73" w:rsidRPr="001731CD" w:rsidRDefault="00561F73" w:rsidP="00FF37AF">
            <w:pPr>
              <w:pStyle w:val="subsection"/>
              <w:ind w:left="720" w:firstLine="0"/>
              <w:rPr>
                <w:rFonts w:asciiTheme="minorHAnsi" w:hAnsiTheme="minorHAnsi" w:cstheme="minorHAnsi"/>
                <w:sz w:val="24"/>
                <w:szCs w:val="24"/>
              </w:rPr>
            </w:pPr>
            <w:r w:rsidRPr="001731CD">
              <w:rPr>
                <w:rFonts w:asciiTheme="minorHAnsi" w:hAnsiTheme="minorHAnsi" w:cstheme="minorHAnsi"/>
                <w:sz w:val="24"/>
                <w:szCs w:val="24"/>
              </w:rPr>
              <w:t>score of:</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6E3E5136" w14:textId="77777777" w:rsidR="00561F73" w:rsidRPr="001731CD" w:rsidRDefault="00561F73" w:rsidP="00FF37AF">
            <w:pPr>
              <w:pStyle w:val="subsection"/>
              <w:ind w:left="0" w:firstLine="0"/>
              <w:rPr>
                <w:rFonts w:asciiTheme="minorHAnsi" w:eastAsiaTheme="minorHAnsi" w:hAnsiTheme="minorHAnsi" w:cstheme="minorHAnsi"/>
                <w:sz w:val="24"/>
                <w:szCs w:val="24"/>
              </w:rPr>
            </w:pPr>
            <w:r w:rsidRPr="001731CD">
              <w:rPr>
                <w:rFonts w:asciiTheme="minorHAnsi" w:hAnsiTheme="minorHAnsi" w:cstheme="minorHAnsi"/>
                <w:sz w:val="24"/>
                <w:szCs w:val="24"/>
              </w:rPr>
              <w:t>8 or 9</w:t>
            </w:r>
          </w:p>
          <w:p w14:paraId="67BE7BAD" w14:textId="77777777" w:rsidR="00561F73" w:rsidRPr="001731CD" w:rsidRDefault="00561F73"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6 or 7</w:t>
            </w:r>
          </w:p>
          <w:p w14:paraId="215612C1" w14:textId="77777777" w:rsidR="00561F73" w:rsidRPr="001731CD" w:rsidRDefault="00561F73"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1 to 5</w:t>
            </w:r>
          </w:p>
          <w:p w14:paraId="119B8DD1" w14:textId="2B2670F8" w:rsidR="001731CD" w:rsidRPr="001731CD" w:rsidRDefault="001731CD" w:rsidP="00FF37AF">
            <w:pPr>
              <w:pStyle w:val="subsection"/>
              <w:ind w:left="0" w:firstLine="0"/>
              <w:rPr>
                <w:rFonts w:asciiTheme="minorHAnsi" w:hAnsiTheme="minorHAnsi" w:cstheme="minorHAnsi"/>
                <w:sz w:val="24"/>
                <w:szCs w:val="24"/>
              </w:rPr>
            </w:pPr>
            <w:r w:rsidRPr="001731CD">
              <w:rPr>
                <w:rFonts w:asciiTheme="minorHAnsi" w:hAnsiTheme="minorHAnsi" w:cstheme="minorHAnsi"/>
                <w:sz w:val="24"/>
                <w:szCs w:val="24"/>
              </w:rPr>
              <w:t>Provider did not submit data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79C48F8" w14:textId="77777777" w:rsidR="00561F73" w:rsidRPr="001731CD" w:rsidRDefault="00561F73" w:rsidP="00FF37AF">
            <w:pPr>
              <w:pStyle w:val="subsection"/>
              <w:ind w:left="0" w:firstLine="0"/>
              <w:jc w:val="center"/>
              <w:rPr>
                <w:rFonts w:asciiTheme="minorHAnsi" w:eastAsiaTheme="minorHAnsi" w:hAnsiTheme="minorHAnsi" w:cstheme="minorHAnsi"/>
                <w:sz w:val="24"/>
                <w:szCs w:val="24"/>
              </w:rPr>
            </w:pPr>
            <w:r w:rsidRPr="001731CD">
              <w:rPr>
                <w:rFonts w:asciiTheme="minorHAnsi" w:hAnsiTheme="minorHAnsi" w:cstheme="minorHAnsi"/>
                <w:sz w:val="24"/>
                <w:szCs w:val="24"/>
              </w:rPr>
              <w:t>0.0</w:t>
            </w:r>
          </w:p>
          <w:p w14:paraId="61A814DA" w14:textId="77777777" w:rsidR="00561F73" w:rsidRPr="001731CD" w:rsidRDefault="00561F73" w:rsidP="00FF37AF">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1.0</w:t>
            </w:r>
          </w:p>
          <w:p w14:paraId="37E2C992" w14:textId="77777777" w:rsidR="00561F73" w:rsidRPr="001731CD" w:rsidRDefault="00561F73" w:rsidP="00FF37AF">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2.0</w:t>
            </w:r>
          </w:p>
          <w:p w14:paraId="0834E955" w14:textId="0EB08E18" w:rsidR="001731CD" w:rsidRPr="001731CD" w:rsidRDefault="001731CD" w:rsidP="00FF37AF">
            <w:pPr>
              <w:pStyle w:val="subsection"/>
              <w:ind w:left="0" w:firstLine="0"/>
              <w:jc w:val="center"/>
              <w:rPr>
                <w:rFonts w:asciiTheme="minorHAnsi" w:hAnsiTheme="minorHAnsi" w:cstheme="minorHAnsi"/>
                <w:sz w:val="24"/>
                <w:szCs w:val="24"/>
              </w:rPr>
            </w:pPr>
            <w:r w:rsidRPr="001731CD">
              <w:rPr>
                <w:rFonts w:asciiTheme="minorHAnsi" w:hAnsiTheme="minorHAnsi" w:cstheme="minorHAnsi"/>
                <w:sz w:val="24"/>
                <w:szCs w:val="24"/>
              </w:rPr>
              <w:t>2.5</w:t>
            </w:r>
          </w:p>
        </w:tc>
      </w:tr>
      <w:tr w:rsidR="00561F73" w:rsidRPr="001069F7" w14:paraId="6D6F8C8F" w14:textId="77777777" w:rsidTr="00FF37AF">
        <w:tc>
          <w:tcPr>
            <w:tcW w:w="3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F550D2" w14:textId="77777777" w:rsidR="00561F73" w:rsidRPr="00812F26" w:rsidRDefault="00561F73" w:rsidP="00FF37AF">
            <w:pPr>
              <w:pStyle w:val="subsection"/>
              <w:rPr>
                <w:rFonts w:asciiTheme="minorHAnsi" w:hAnsiTheme="minorHAnsi" w:cstheme="minorHAnsi"/>
                <w:sz w:val="24"/>
                <w:szCs w:val="24"/>
              </w:rPr>
            </w:pPr>
            <w:r w:rsidRPr="00812F26">
              <w:rPr>
                <w:rFonts w:asciiTheme="minorHAnsi" w:hAnsiTheme="minorHAnsi" w:cstheme="minorHAnsi"/>
                <w:sz w:val="24"/>
                <w:szCs w:val="24"/>
              </w:rPr>
              <w:t>Completion rate</w:t>
            </w:r>
          </w:p>
          <w:p w14:paraId="682A382B" w14:textId="77777777" w:rsidR="00561F73" w:rsidRPr="00812F26" w:rsidRDefault="00561F73" w:rsidP="00FF37AF">
            <w:pPr>
              <w:pStyle w:val="subsection"/>
              <w:rPr>
                <w:rFonts w:asciiTheme="minorHAnsi" w:hAnsiTheme="minorHAnsi" w:cstheme="minorHAnsi"/>
                <w:sz w:val="24"/>
                <w:szCs w:val="24"/>
              </w:rPr>
            </w:pPr>
          </w:p>
        </w:tc>
        <w:tc>
          <w:tcPr>
            <w:tcW w:w="3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B9A615"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85% or higher</w:t>
            </w:r>
          </w:p>
          <w:p w14:paraId="0B255304"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60% to &lt;85%</w:t>
            </w:r>
          </w:p>
          <w:p w14:paraId="31EE7CB2"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35% to &lt;60%</w:t>
            </w:r>
          </w:p>
          <w:p w14:paraId="25329401"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0% to &lt;35%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64ADF3" w14:textId="77777777" w:rsidR="00561F73" w:rsidRPr="00812F26" w:rsidRDefault="00561F73" w:rsidP="00FF37AF">
            <w:pPr>
              <w:pStyle w:val="subsection"/>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p w14:paraId="517216F9" w14:textId="77777777" w:rsidR="00561F73" w:rsidRPr="00812F26" w:rsidRDefault="00561F73" w:rsidP="00FF37AF">
            <w:pPr>
              <w:pStyle w:val="subsection"/>
              <w:ind w:left="0" w:firstLine="0"/>
              <w:jc w:val="center"/>
              <w:rPr>
                <w:rFonts w:asciiTheme="minorHAnsi" w:eastAsiaTheme="minorHAnsi" w:hAnsiTheme="minorHAnsi" w:cstheme="minorHAnsi"/>
                <w:sz w:val="24"/>
                <w:szCs w:val="24"/>
              </w:rPr>
            </w:pPr>
            <w:r w:rsidRPr="00812F26">
              <w:rPr>
                <w:rFonts w:asciiTheme="minorHAnsi" w:hAnsiTheme="minorHAnsi" w:cstheme="minorHAnsi"/>
                <w:sz w:val="24"/>
                <w:szCs w:val="24"/>
              </w:rPr>
              <w:t>0.0</w:t>
            </w:r>
          </w:p>
          <w:p w14:paraId="20E8242D" w14:textId="2B0A7860" w:rsidR="00561F73" w:rsidRPr="00812F26" w:rsidRDefault="00812F26" w:rsidP="00FF37AF">
            <w:pPr>
              <w:pStyle w:val="subsection"/>
              <w:ind w:left="0" w:firstLine="0"/>
              <w:jc w:val="center"/>
              <w:rPr>
                <w:rFonts w:asciiTheme="minorHAnsi" w:hAnsiTheme="minorHAnsi" w:cstheme="minorHAnsi"/>
                <w:sz w:val="24"/>
                <w:szCs w:val="24"/>
              </w:rPr>
            </w:pPr>
            <w:r w:rsidRPr="00812F26">
              <w:rPr>
                <w:rFonts w:asciiTheme="minorHAnsi" w:hAnsiTheme="minorHAnsi" w:cstheme="minorHAnsi"/>
                <w:sz w:val="24"/>
                <w:szCs w:val="24"/>
              </w:rPr>
              <w:t>1.7</w:t>
            </w:r>
          </w:p>
          <w:p w14:paraId="04C0A466" w14:textId="74033B7E" w:rsidR="00561F73" w:rsidRPr="00812F26" w:rsidRDefault="00812F26" w:rsidP="00FF37AF">
            <w:pPr>
              <w:pStyle w:val="subsection"/>
              <w:ind w:left="0" w:firstLine="0"/>
              <w:jc w:val="center"/>
              <w:rPr>
                <w:rFonts w:asciiTheme="minorHAnsi" w:hAnsiTheme="minorHAnsi" w:cstheme="minorHAnsi"/>
                <w:sz w:val="24"/>
                <w:szCs w:val="24"/>
              </w:rPr>
            </w:pPr>
            <w:r w:rsidRPr="00812F26">
              <w:rPr>
                <w:rFonts w:asciiTheme="minorHAnsi" w:hAnsiTheme="minorHAnsi" w:cstheme="minorHAnsi"/>
                <w:sz w:val="24"/>
                <w:szCs w:val="24"/>
              </w:rPr>
              <w:t>2.7</w:t>
            </w:r>
          </w:p>
        </w:tc>
      </w:tr>
      <w:tr w:rsidR="00561F73" w:rsidRPr="00EC330E" w14:paraId="062B9316" w14:textId="77777777" w:rsidTr="00FF37AF">
        <w:trPr>
          <w:trHeight w:val="4380"/>
        </w:trPr>
        <w:tc>
          <w:tcPr>
            <w:tcW w:w="38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7029EE" w14:textId="77777777" w:rsidR="00561F73" w:rsidRPr="00812F26" w:rsidRDefault="00561F73" w:rsidP="00FF37AF">
            <w:pPr>
              <w:pStyle w:val="subsection"/>
              <w:ind w:left="0" w:firstLine="0"/>
              <w:rPr>
                <w:rFonts w:asciiTheme="minorHAnsi" w:eastAsiaTheme="minorHAnsi" w:hAnsiTheme="minorHAnsi" w:cstheme="minorHAnsi"/>
                <w:sz w:val="24"/>
                <w:szCs w:val="24"/>
              </w:rPr>
            </w:pPr>
            <w:r w:rsidRPr="00812F26">
              <w:rPr>
                <w:rFonts w:asciiTheme="minorHAnsi" w:hAnsiTheme="minorHAnsi" w:cstheme="minorHAnsi"/>
                <w:sz w:val="24"/>
                <w:szCs w:val="24"/>
              </w:rPr>
              <w:t>Non-compliance history</w:t>
            </w:r>
          </w:p>
        </w:tc>
        <w:tc>
          <w:tcPr>
            <w:tcW w:w="36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058386"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A weighted late payment measure of 30 days or more and/or the provider has been sanctioned under the relevant (specified) section of the relevant Act.</w:t>
            </w:r>
          </w:p>
          <w:p w14:paraId="73939374"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a weighted late payment measure of less than 30 days but at least 15 days</w:t>
            </w:r>
          </w:p>
          <w:p w14:paraId="7F8CB8EE"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a weighted late payment measure of less than 15 days but at least 1 day</w:t>
            </w:r>
          </w:p>
          <w:p w14:paraId="2FDAD1D8" w14:textId="77777777" w:rsidR="00561F73" w:rsidRPr="00812F26" w:rsidRDefault="00561F73"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There is no weighted late payment measure (payment made on time).</w:t>
            </w:r>
          </w:p>
          <w:p w14:paraId="0F374024" w14:textId="77777777" w:rsidR="00812F26" w:rsidRPr="00812F26" w:rsidRDefault="00812F26" w:rsidP="00FF37AF">
            <w:pPr>
              <w:pStyle w:val="subsection"/>
              <w:ind w:left="0" w:firstLine="0"/>
              <w:rPr>
                <w:rFonts w:asciiTheme="minorHAnsi" w:hAnsiTheme="minorHAnsi" w:cstheme="minorHAnsi"/>
                <w:b/>
                <w:bCs/>
                <w:sz w:val="24"/>
                <w:szCs w:val="24"/>
              </w:rPr>
            </w:pPr>
            <w:r w:rsidRPr="00812F26">
              <w:rPr>
                <w:rFonts w:asciiTheme="minorHAnsi" w:hAnsiTheme="minorHAnsi" w:cstheme="minorHAnsi"/>
                <w:b/>
                <w:bCs/>
                <w:sz w:val="24"/>
                <w:szCs w:val="24"/>
              </w:rPr>
              <w:t>Plus</w:t>
            </w:r>
          </w:p>
          <w:p w14:paraId="00B487DC" w14:textId="77F261D6" w:rsidR="00812F26" w:rsidRPr="00812F26" w:rsidRDefault="00812F26"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 xml:space="preserve">For </w:t>
            </w:r>
            <w:r w:rsidR="003B4E35">
              <w:rPr>
                <w:rFonts w:asciiTheme="minorHAnsi" w:hAnsiTheme="minorHAnsi" w:cstheme="minorHAnsi"/>
                <w:sz w:val="24"/>
                <w:szCs w:val="24"/>
              </w:rPr>
              <w:t>Higher Education</w:t>
            </w:r>
            <w:r w:rsidRPr="00812F26">
              <w:rPr>
                <w:rFonts w:asciiTheme="minorHAnsi" w:hAnsiTheme="minorHAnsi" w:cstheme="minorHAnsi"/>
                <w:sz w:val="24"/>
                <w:szCs w:val="24"/>
              </w:rPr>
              <w:t xml:space="preserve"> registration periods* less than the maximum allowable</w:t>
            </w:r>
          </w:p>
          <w:p w14:paraId="549F82F6" w14:textId="193F1F40" w:rsidR="00812F26" w:rsidRPr="00812F26" w:rsidRDefault="00812F26" w:rsidP="00FF37AF">
            <w:pPr>
              <w:pStyle w:val="subsection"/>
              <w:ind w:left="0" w:firstLine="0"/>
              <w:rPr>
                <w:rFonts w:asciiTheme="minorHAnsi" w:hAnsiTheme="minorHAnsi" w:cstheme="minorHAnsi"/>
                <w:sz w:val="24"/>
                <w:szCs w:val="24"/>
              </w:rPr>
            </w:pPr>
            <w:r w:rsidRPr="00812F26">
              <w:rPr>
                <w:rFonts w:asciiTheme="minorHAnsi" w:hAnsiTheme="minorHAnsi" w:cstheme="minorHAnsi"/>
                <w:sz w:val="24"/>
                <w:szCs w:val="24"/>
              </w:rPr>
              <w:t xml:space="preserve">For </w:t>
            </w:r>
            <w:r w:rsidR="003B4E35">
              <w:rPr>
                <w:rFonts w:asciiTheme="minorHAnsi" w:hAnsiTheme="minorHAnsi" w:cstheme="minorHAnsi"/>
                <w:sz w:val="24"/>
                <w:szCs w:val="24"/>
              </w:rPr>
              <w:t>Higher Education</w:t>
            </w:r>
            <w:r w:rsidRPr="00812F26">
              <w:rPr>
                <w:rFonts w:asciiTheme="minorHAnsi" w:hAnsiTheme="minorHAnsi" w:cstheme="minorHAnsi"/>
                <w:sz w:val="24"/>
                <w:szCs w:val="24"/>
              </w:rPr>
              <w:t xml:space="preserve"> registration periods* equal to the maximum allowable</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7004FE"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127C2DC9"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40F5439F"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2.0</w:t>
            </w:r>
          </w:p>
          <w:p w14:paraId="1C300F2B"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7AC2A761"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189C2E60"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3AABCF59"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0.9</w:t>
            </w:r>
          </w:p>
          <w:p w14:paraId="6C3E6531" w14:textId="57967221"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41A54BC8"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30BCFD2A"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5D49118B"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0.7</w:t>
            </w:r>
          </w:p>
          <w:p w14:paraId="5732E0CE"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55E71A79" w14:textId="77777777" w:rsidR="00561F73" w:rsidRPr="00812F26" w:rsidRDefault="00561F73" w:rsidP="00FF37AF">
            <w:pPr>
              <w:pStyle w:val="subsection"/>
              <w:spacing w:before="0"/>
              <w:ind w:left="0" w:firstLine="0"/>
              <w:jc w:val="center"/>
              <w:rPr>
                <w:rFonts w:asciiTheme="minorHAnsi" w:hAnsiTheme="minorHAnsi" w:cstheme="minorHAnsi"/>
                <w:sz w:val="24"/>
                <w:szCs w:val="24"/>
              </w:rPr>
            </w:pPr>
          </w:p>
          <w:p w14:paraId="6C255118"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06AC4403" w14:textId="5AC90082" w:rsidR="00561F73" w:rsidRPr="00812F26" w:rsidRDefault="00561F73"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p w14:paraId="649CCEEB"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169B4019"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7F6C26C6"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351A623F" w14:textId="73186BBE" w:rsidR="00812F26" w:rsidRPr="00812F26" w:rsidRDefault="00812F26"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1.0</w:t>
            </w:r>
          </w:p>
          <w:p w14:paraId="07CACDBA" w14:textId="6EA4E5B3"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470CF817" w14:textId="77777777" w:rsidR="00812F26" w:rsidRPr="00812F26" w:rsidRDefault="00812F26" w:rsidP="00FF37AF">
            <w:pPr>
              <w:pStyle w:val="subsection"/>
              <w:spacing w:before="0"/>
              <w:ind w:left="0" w:firstLine="0"/>
              <w:jc w:val="center"/>
              <w:rPr>
                <w:rFonts w:asciiTheme="minorHAnsi" w:hAnsiTheme="minorHAnsi" w:cstheme="minorHAnsi"/>
                <w:sz w:val="24"/>
                <w:szCs w:val="24"/>
              </w:rPr>
            </w:pPr>
          </w:p>
          <w:p w14:paraId="1DEF736B" w14:textId="4B4396C1" w:rsidR="00812F26" w:rsidRPr="00812F26" w:rsidRDefault="00812F26" w:rsidP="00FF37AF">
            <w:pPr>
              <w:pStyle w:val="subsection"/>
              <w:spacing w:before="0"/>
              <w:ind w:left="0" w:firstLine="0"/>
              <w:jc w:val="center"/>
              <w:rPr>
                <w:rFonts w:asciiTheme="minorHAnsi" w:hAnsiTheme="minorHAnsi" w:cstheme="minorHAnsi"/>
                <w:sz w:val="24"/>
                <w:szCs w:val="24"/>
              </w:rPr>
            </w:pPr>
            <w:r w:rsidRPr="00812F26">
              <w:rPr>
                <w:rFonts w:asciiTheme="minorHAnsi" w:hAnsiTheme="minorHAnsi" w:cstheme="minorHAnsi"/>
                <w:sz w:val="24"/>
                <w:szCs w:val="24"/>
              </w:rPr>
              <w:t>0.0</w:t>
            </w:r>
          </w:p>
        </w:tc>
      </w:tr>
    </w:tbl>
    <w:p w14:paraId="50B663D8" w14:textId="431552D6" w:rsidR="00561F73" w:rsidRDefault="00561F73" w:rsidP="00561F73">
      <w:pPr>
        <w:contextualSpacing/>
        <w:rPr>
          <w:rFonts w:ascii="Arial" w:hAnsi="Arial" w:cs="Arial"/>
          <w:szCs w:val="24"/>
        </w:rPr>
      </w:pPr>
    </w:p>
    <w:p w14:paraId="2417A8EC" w14:textId="77777777" w:rsidR="00290E88" w:rsidRDefault="00290E88" w:rsidP="00561F73">
      <w:pPr>
        <w:contextualSpacing/>
        <w:rPr>
          <w:rFonts w:ascii="Arial" w:hAnsi="Arial" w:cs="Arial"/>
          <w:szCs w:val="24"/>
        </w:rPr>
      </w:pPr>
    </w:p>
    <w:p w14:paraId="7C5D5C89" w14:textId="4F40C8FA" w:rsidR="00290E88" w:rsidRPr="00290E88" w:rsidRDefault="00290E88" w:rsidP="00290E88">
      <w:pPr>
        <w:contextualSpacing/>
        <w:rPr>
          <w:rFonts w:ascii="Arial" w:hAnsi="Arial" w:cs="Arial"/>
          <w:sz w:val="18"/>
          <w:szCs w:val="18"/>
        </w:rPr>
      </w:pPr>
      <w:r w:rsidRPr="00290E88">
        <w:rPr>
          <w:rFonts w:ascii="Arial" w:hAnsi="Arial" w:cs="Arial"/>
          <w:sz w:val="18"/>
          <w:szCs w:val="18"/>
        </w:rPr>
        <w:t>*</w:t>
      </w:r>
      <w:r w:rsidRPr="00290E88">
        <w:rPr>
          <w:sz w:val="18"/>
          <w:szCs w:val="18"/>
        </w:rPr>
        <w:t xml:space="preserve"> </w:t>
      </w:r>
      <w:r w:rsidRPr="00290E88">
        <w:rPr>
          <w:rFonts w:ascii="Arial" w:hAnsi="Arial" w:cs="Arial"/>
          <w:sz w:val="18"/>
          <w:szCs w:val="18"/>
        </w:rPr>
        <w:t xml:space="preserve">Where </w:t>
      </w:r>
      <w:r w:rsidR="003B4E35">
        <w:rPr>
          <w:rFonts w:ascii="Arial" w:hAnsi="Arial" w:cs="Arial"/>
          <w:sz w:val="18"/>
          <w:szCs w:val="18"/>
        </w:rPr>
        <w:t>Higher Education</w:t>
      </w:r>
      <w:r w:rsidRPr="00290E88">
        <w:rPr>
          <w:rFonts w:ascii="Arial" w:hAnsi="Arial" w:cs="Arial"/>
          <w:sz w:val="18"/>
          <w:szCs w:val="18"/>
        </w:rPr>
        <w:t xml:space="preserve"> registration period is the length of a provider’s current registration period rounded to the nearest whole number of years.</w:t>
      </w:r>
    </w:p>
    <w:sectPr w:rsidR="00290E88" w:rsidRPr="00290E88" w:rsidSect="004C48AA">
      <w:footerReference w:type="default" r:id="rId11"/>
      <w:headerReference w:type="first" r:id="rId12"/>
      <w:footerReference w:type="first" r:id="rId13"/>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48C8" w14:textId="77777777" w:rsidR="00D84D75" w:rsidRDefault="00D84D75" w:rsidP="008C1FEE">
      <w:r>
        <w:separator/>
      </w:r>
    </w:p>
  </w:endnote>
  <w:endnote w:type="continuationSeparator" w:id="0">
    <w:p w14:paraId="29896A67" w14:textId="77777777" w:rsidR="00D84D75" w:rsidRDefault="00D84D75" w:rsidP="008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17035"/>
      <w:docPartObj>
        <w:docPartGallery w:val="Page Numbers (Bottom of Page)"/>
        <w:docPartUnique/>
      </w:docPartObj>
    </w:sdtPr>
    <w:sdtEndPr>
      <w:rPr>
        <w:noProof/>
      </w:rPr>
    </w:sdtEndPr>
    <w:sdtContent>
      <w:p w14:paraId="32F38BB7" w14:textId="02AF28DE" w:rsidR="00A15C4F" w:rsidRDefault="00A15C4F">
        <w:pPr>
          <w:pStyle w:val="Footer"/>
          <w:jc w:val="right"/>
        </w:pPr>
        <w:r>
          <w:fldChar w:fldCharType="begin"/>
        </w:r>
        <w:r>
          <w:instrText xml:space="preserve"> PAGE   \* MERGEFORMAT </w:instrText>
        </w:r>
        <w:r>
          <w:fldChar w:fldCharType="separate"/>
        </w:r>
        <w:r w:rsidR="00287B81">
          <w:rPr>
            <w:noProof/>
          </w:rPr>
          <w:t>4</w:t>
        </w:r>
        <w:r>
          <w:rPr>
            <w:noProof/>
          </w:rPr>
          <w:fldChar w:fldCharType="end"/>
        </w:r>
      </w:p>
    </w:sdtContent>
  </w:sdt>
  <w:p w14:paraId="611B72F0" w14:textId="77777777" w:rsidR="00A15C4F" w:rsidRDefault="00A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57239"/>
      <w:docPartObj>
        <w:docPartGallery w:val="Page Numbers (Bottom of Page)"/>
        <w:docPartUnique/>
      </w:docPartObj>
    </w:sdtPr>
    <w:sdtEndPr>
      <w:rPr>
        <w:rFonts w:asciiTheme="minorHAnsi" w:hAnsiTheme="minorHAnsi" w:cstheme="minorHAnsi"/>
        <w:noProof/>
      </w:rPr>
    </w:sdtEndPr>
    <w:sdtContent>
      <w:p w14:paraId="0167C329" w14:textId="5FDDE135" w:rsidR="000F1FE5" w:rsidRPr="00CF124B" w:rsidRDefault="000F1FE5">
        <w:pPr>
          <w:pStyle w:val="Footer"/>
          <w:jc w:val="right"/>
          <w:rPr>
            <w:rFonts w:asciiTheme="minorHAnsi" w:hAnsiTheme="minorHAnsi" w:cstheme="minorHAnsi"/>
          </w:rPr>
        </w:pPr>
        <w:r w:rsidRPr="00CF124B">
          <w:rPr>
            <w:rFonts w:asciiTheme="minorHAnsi" w:hAnsiTheme="minorHAnsi" w:cstheme="minorHAnsi"/>
          </w:rPr>
          <w:fldChar w:fldCharType="begin"/>
        </w:r>
        <w:r w:rsidRPr="00CF124B">
          <w:rPr>
            <w:rFonts w:asciiTheme="minorHAnsi" w:hAnsiTheme="minorHAnsi" w:cstheme="minorHAnsi"/>
          </w:rPr>
          <w:instrText xml:space="preserve"> PAGE   \* MERGEFORMAT </w:instrText>
        </w:r>
        <w:r w:rsidRPr="00CF124B">
          <w:rPr>
            <w:rFonts w:asciiTheme="minorHAnsi" w:hAnsiTheme="minorHAnsi" w:cstheme="minorHAnsi"/>
          </w:rPr>
          <w:fldChar w:fldCharType="separate"/>
        </w:r>
        <w:r w:rsidR="00287B81">
          <w:rPr>
            <w:rFonts w:asciiTheme="minorHAnsi" w:hAnsiTheme="minorHAnsi" w:cstheme="minorHAnsi"/>
            <w:noProof/>
          </w:rPr>
          <w:t>1</w:t>
        </w:r>
        <w:r w:rsidRPr="00CF124B">
          <w:rPr>
            <w:rFonts w:asciiTheme="minorHAnsi" w:hAnsiTheme="minorHAnsi" w:cstheme="minorHAnsi"/>
            <w:noProof/>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85A5" w14:textId="77777777" w:rsidR="00D84D75" w:rsidRDefault="00D84D75" w:rsidP="008C1FEE">
      <w:r>
        <w:separator/>
      </w:r>
    </w:p>
  </w:footnote>
  <w:footnote w:type="continuationSeparator" w:id="0">
    <w:p w14:paraId="43E2E3B4" w14:textId="77777777" w:rsidR="00D84D75" w:rsidRDefault="00D84D75" w:rsidP="008C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7EA3" w14:textId="110DC678" w:rsidR="00A3669D" w:rsidRDefault="00A3669D">
    <w:pPr>
      <w:pStyle w:val="Header"/>
    </w:pPr>
    <w:r w:rsidRPr="00821168">
      <w:rPr>
        <w:noProof/>
        <w:lang w:eastAsia="en-AU"/>
      </w:rPr>
      <w:drawing>
        <wp:anchor distT="0" distB="0" distL="114300" distR="114300" simplePos="0" relativeHeight="251657216" behindDoc="0" locked="0" layoutInCell="1" allowOverlap="1" wp14:anchorId="53FDEDF3" wp14:editId="31B95529">
          <wp:simplePos x="0" y="0"/>
          <wp:positionH relativeFrom="column">
            <wp:posOffset>-701749</wp:posOffset>
          </wp:positionH>
          <wp:positionV relativeFrom="paragraph">
            <wp:posOffset>-447202</wp:posOffset>
          </wp:positionV>
          <wp:extent cx="7522754" cy="223266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2754" cy="2232660"/>
                  </a:xfrm>
                  <a:prstGeom prst="rect">
                    <a:avLst/>
                  </a:prstGeom>
                </pic:spPr>
              </pic:pic>
            </a:graphicData>
          </a:graphic>
          <wp14:sizeRelH relativeFrom="margin">
            <wp14:pctWidth>0</wp14:pctWidth>
          </wp14:sizeRelH>
          <wp14:sizeRelV relativeFrom="margin">
            <wp14:pctHeight>0</wp14:pctHeight>
          </wp14:sizeRelV>
        </wp:anchor>
      </w:drawing>
    </w:r>
  </w:p>
  <w:p w14:paraId="118C59FE" w14:textId="1D126BE6" w:rsidR="00270631" w:rsidRDefault="002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311D6"/>
    <w:rsid w:val="00074AEB"/>
    <w:rsid w:val="00095197"/>
    <w:rsid w:val="000951B5"/>
    <w:rsid w:val="000B7C23"/>
    <w:rsid w:val="000D5A4D"/>
    <w:rsid w:val="000D783A"/>
    <w:rsid w:val="000E19A1"/>
    <w:rsid w:val="000E5F78"/>
    <w:rsid w:val="000F1455"/>
    <w:rsid w:val="000F1FE5"/>
    <w:rsid w:val="001069F7"/>
    <w:rsid w:val="001731CD"/>
    <w:rsid w:val="001A309E"/>
    <w:rsid w:val="001A6CF4"/>
    <w:rsid w:val="001A79A8"/>
    <w:rsid w:val="001C43A6"/>
    <w:rsid w:val="001C6114"/>
    <w:rsid w:val="002313E9"/>
    <w:rsid w:val="00270631"/>
    <w:rsid w:val="00287B81"/>
    <w:rsid w:val="00290E88"/>
    <w:rsid w:val="00294D99"/>
    <w:rsid w:val="002D33FB"/>
    <w:rsid w:val="00311F4C"/>
    <w:rsid w:val="0032060E"/>
    <w:rsid w:val="00361757"/>
    <w:rsid w:val="003668AD"/>
    <w:rsid w:val="00385B06"/>
    <w:rsid w:val="003B4E35"/>
    <w:rsid w:val="003C376A"/>
    <w:rsid w:val="003D231F"/>
    <w:rsid w:val="003D647E"/>
    <w:rsid w:val="00415A2C"/>
    <w:rsid w:val="00444182"/>
    <w:rsid w:val="004457D4"/>
    <w:rsid w:val="004C48AA"/>
    <w:rsid w:val="004D7A26"/>
    <w:rsid w:val="0050507C"/>
    <w:rsid w:val="00561F73"/>
    <w:rsid w:val="005764BA"/>
    <w:rsid w:val="0059309D"/>
    <w:rsid w:val="00597708"/>
    <w:rsid w:val="005D0E6F"/>
    <w:rsid w:val="005E5D63"/>
    <w:rsid w:val="0060330D"/>
    <w:rsid w:val="0062291C"/>
    <w:rsid w:val="0063443A"/>
    <w:rsid w:val="006542CF"/>
    <w:rsid w:val="0066632C"/>
    <w:rsid w:val="00687413"/>
    <w:rsid w:val="00713C35"/>
    <w:rsid w:val="00731368"/>
    <w:rsid w:val="0075077C"/>
    <w:rsid w:val="00764843"/>
    <w:rsid w:val="00771F8E"/>
    <w:rsid w:val="007747EF"/>
    <w:rsid w:val="007E5B58"/>
    <w:rsid w:val="00812F26"/>
    <w:rsid w:val="008420A3"/>
    <w:rsid w:val="00854101"/>
    <w:rsid w:val="00857A72"/>
    <w:rsid w:val="00874D1B"/>
    <w:rsid w:val="00884B79"/>
    <w:rsid w:val="008C1FEE"/>
    <w:rsid w:val="008E36A9"/>
    <w:rsid w:val="008E4B7B"/>
    <w:rsid w:val="00983DF3"/>
    <w:rsid w:val="009870EC"/>
    <w:rsid w:val="009E7B99"/>
    <w:rsid w:val="00A15C4F"/>
    <w:rsid w:val="00A26332"/>
    <w:rsid w:val="00A36167"/>
    <w:rsid w:val="00A3669D"/>
    <w:rsid w:val="00A44EEB"/>
    <w:rsid w:val="00A50ED7"/>
    <w:rsid w:val="00A63D4A"/>
    <w:rsid w:val="00AA2582"/>
    <w:rsid w:val="00AC697C"/>
    <w:rsid w:val="00B01ABB"/>
    <w:rsid w:val="00B2722B"/>
    <w:rsid w:val="00B31E3D"/>
    <w:rsid w:val="00B372E7"/>
    <w:rsid w:val="00B53EB7"/>
    <w:rsid w:val="00B81AEC"/>
    <w:rsid w:val="00BE3824"/>
    <w:rsid w:val="00C04E55"/>
    <w:rsid w:val="00C125F7"/>
    <w:rsid w:val="00CA4C75"/>
    <w:rsid w:val="00CB17FD"/>
    <w:rsid w:val="00CD3251"/>
    <w:rsid w:val="00CF124B"/>
    <w:rsid w:val="00D157FA"/>
    <w:rsid w:val="00D459E8"/>
    <w:rsid w:val="00D57867"/>
    <w:rsid w:val="00D67B43"/>
    <w:rsid w:val="00D84D75"/>
    <w:rsid w:val="00D924A4"/>
    <w:rsid w:val="00D95C7E"/>
    <w:rsid w:val="00DA4578"/>
    <w:rsid w:val="00DB395A"/>
    <w:rsid w:val="00DB6DF0"/>
    <w:rsid w:val="00DE746B"/>
    <w:rsid w:val="00E33EFF"/>
    <w:rsid w:val="00E55E72"/>
    <w:rsid w:val="00EA04CE"/>
    <w:rsid w:val="00EB6E35"/>
    <w:rsid w:val="00EC7525"/>
    <w:rsid w:val="00F153A7"/>
    <w:rsid w:val="00F32B02"/>
    <w:rsid w:val="00F6008B"/>
    <w:rsid w:val="00F62010"/>
    <w:rsid w:val="00F62532"/>
    <w:rsid w:val="00F823AE"/>
    <w:rsid w:val="00F90610"/>
    <w:rsid w:val="00FD1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semiHidden/>
    <w:unhideWhenUsed/>
    <w:rsid w:val="00874D1B"/>
    <w:rPr>
      <w:sz w:val="20"/>
    </w:rPr>
  </w:style>
  <w:style w:type="character" w:customStyle="1" w:styleId="CommentTextChar">
    <w:name w:val="Comment Text Char"/>
    <w:basedOn w:val="DefaultParagraphFont"/>
    <w:link w:val="CommentText"/>
    <w:uiPriority w:val="99"/>
    <w:semiHidden/>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350E0-7FE5-487A-AAF3-D3066B8BF7D1}">
  <ds:schemaRefs>
    <ds:schemaRef ds:uri="http://schemas.microsoft.com/sharepoint/v3/contenttype/forms"/>
  </ds:schemaRefs>
</ds:datastoreItem>
</file>

<file path=customXml/itemProps2.xml><?xml version="1.0" encoding="utf-8"?>
<ds:datastoreItem xmlns:ds="http://schemas.openxmlformats.org/officeDocument/2006/customXml" ds:itemID="{430FE1EE-CD96-460E-B4FB-0456AD1A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4.xml><?xml version="1.0" encoding="utf-8"?>
<ds:datastoreItem xmlns:ds="http://schemas.openxmlformats.org/officeDocument/2006/customXml" ds:itemID="{D2C26DCA-C77E-40ED-ABED-CC15CA000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2022-06-27T04:53:00Z</dcterms:created>
  <dcterms:modified xsi:type="dcterms:W3CDTF">2022-06-27T06:10:00Z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2022-06-15T05:15:28Z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84da6df0-773f-41f5-b3c2-fd35022bf449</vt:lpwstr>
  </property>
  <property fmtid="{D5CDD505-2E9C-101B-9397-08002B2CF9AE}" pid="8" name="MSIP_Label_5f877481-9e35-4b68-b667-876a73c6db41_ContentBits">
    <vt:lpwstr>0</vt:lpwstr>
  </property>
</Properties>
</file>