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AF7CB" w14:textId="1E2FF792" w:rsidR="00E063CC" w:rsidRPr="00D76326" w:rsidRDefault="00DA44EC" w:rsidP="00525225">
      <w:pPr>
        <w:pStyle w:val="Heading1"/>
        <w:spacing w:before="0" w:after="120"/>
        <w:rPr>
          <w:b/>
          <w:bCs/>
        </w:rPr>
      </w:pPr>
      <w:r w:rsidRPr="00D76326">
        <w:rPr>
          <w:b/>
          <w:bCs/>
        </w:rPr>
        <w:t>N</w:t>
      </w:r>
      <w:r w:rsidR="009E22AF" w:rsidRPr="00D76326">
        <w:rPr>
          <w:b/>
          <w:bCs/>
        </w:rPr>
        <w:t xml:space="preserve">ational </w:t>
      </w:r>
      <w:r w:rsidRPr="00D76326">
        <w:rPr>
          <w:b/>
          <w:bCs/>
        </w:rPr>
        <w:t>R</w:t>
      </w:r>
      <w:r w:rsidR="009E22AF" w:rsidRPr="00D76326">
        <w:rPr>
          <w:b/>
          <w:bCs/>
        </w:rPr>
        <w:t xml:space="preserve">esearch </w:t>
      </w:r>
      <w:r w:rsidRPr="00D76326">
        <w:rPr>
          <w:b/>
          <w:bCs/>
        </w:rPr>
        <w:t>I</w:t>
      </w:r>
      <w:r w:rsidR="009E22AF" w:rsidRPr="00D76326">
        <w:rPr>
          <w:b/>
          <w:bCs/>
        </w:rPr>
        <w:t>nfrastructure</w:t>
      </w:r>
      <w:r w:rsidRPr="00D76326">
        <w:rPr>
          <w:b/>
          <w:bCs/>
        </w:rPr>
        <w:t xml:space="preserve"> and </w:t>
      </w:r>
      <w:r w:rsidR="00437C4E" w:rsidRPr="00D76326">
        <w:rPr>
          <w:b/>
          <w:bCs/>
        </w:rPr>
        <w:t xml:space="preserve">Industry Engagement </w:t>
      </w:r>
    </w:p>
    <w:p w14:paraId="3DB338AF" w14:textId="485E2C57" w:rsidR="00E063CC" w:rsidRPr="00D76326" w:rsidRDefault="00E063CC" w:rsidP="00525225">
      <w:pPr>
        <w:pStyle w:val="Heading2"/>
        <w:spacing w:before="240" w:after="120"/>
        <w:rPr>
          <w:sz w:val="28"/>
          <w:szCs w:val="28"/>
        </w:rPr>
      </w:pPr>
      <w:r w:rsidRPr="00D76326">
        <w:rPr>
          <w:sz w:val="28"/>
          <w:szCs w:val="28"/>
        </w:rPr>
        <w:t>Purpose</w:t>
      </w:r>
      <w:r w:rsidR="009E22AF" w:rsidRPr="00D76326">
        <w:rPr>
          <w:sz w:val="28"/>
          <w:szCs w:val="28"/>
        </w:rPr>
        <w:t xml:space="preserve"> of this paper</w:t>
      </w:r>
    </w:p>
    <w:p w14:paraId="63834DA1" w14:textId="0F4C4D5D" w:rsidR="009E22AF" w:rsidRDefault="00525225">
      <w:pPr>
        <w:spacing w:after="120"/>
      </w:pPr>
      <w:r>
        <w:t>The</w:t>
      </w:r>
      <w:r w:rsidR="00577A27">
        <w:t xml:space="preserve"> issues raised in this paper </w:t>
      </w:r>
      <w:r w:rsidR="00B21266">
        <w:t>are</w:t>
      </w:r>
      <w:r w:rsidR="00577A27">
        <w:t xml:space="preserve"> t</w:t>
      </w:r>
      <w:r w:rsidR="00E063CC" w:rsidRPr="00437C4E">
        <w:t xml:space="preserve">o </w:t>
      </w:r>
      <w:r w:rsidR="002734FC" w:rsidRPr="00525225">
        <w:t xml:space="preserve">help stimulate discussion </w:t>
      </w:r>
      <w:r w:rsidR="00E063CC" w:rsidRPr="00437C4E">
        <w:t xml:space="preserve">in preparation for </w:t>
      </w:r>
      <w:r w:rsidR="002734FC" w:rsidRPr="00525225">
        <w:t>a public</w:t>
      </w:r>
      <w:r w:rsidR="002734FC" w:rsidRPr="00437C4E">
        <w:t xml:space="preserve"> </w:t>
      </w:r>
      <w:r w:rsidR="00A66408" w:rsidRPr="00437C4E">
        <w:t>I</w:t>
      </w:r>
      <w:r w:rsidR="00E063CC" w:rsidRPr="00437C4E">
        <w:t xml:space="preserve">deas </w:t>
      </w:r>
      <w:r w:rsidR="00A66408" w:rsidRPr="00437C4E">
        <w:t>J</w:t>
      </w:r>
      <w:r w:rsidR="00E063CC" w:rsidRPr="00437C4E">
        <w:t>am</w:t>
      </w:r>
      <w:r w:rsidR="009E22AF" w:rsidRPr="00437C4E">
        <w:t xml:space="preserve"> on industry engagement with N</w:t>
      </w:r>
      <w:r w:rsidR="00A66408" w:rsidRPr="00437C4E">
        <w:t xml:space="preserve">ational </w:t>
      </w:r>
      <w:r w:rsidR="009E22AF" w:rsidRPr="00437C4E">
        <w:t>R</w:t>
      </w:r>
      <w:r w:rsidR="00A66408" w:rsidRPr="00437C4E">
        <w:t>esearch Infrastructure (NRI)</w:t>
      </w:r>
      <w:r w:rsidR="00577A27">
        <w:t xml:space="preserve">. It is </w:t>
      </w:r>
      <w:r w:rsidR="009E22AF" w:rsidRPr="00437C4E">
        <w:t xml:space="preserve">part of the </w:t>
      </w:r>
      <w:r w:rsidR="002734FC" w:rsidRPr="00525225">
        <w:t xml:space="preserve">broader </w:t>
      </w:r>
      <w:r w:rsidR="00C03D93" w:rsidRPr="00437C4E">
        <w:t xml:space="preserve">stakeholder </w:t>
      </w:r>
      <w:r w:rsidR="009E22AF" w:rsidRPr="00437C4E">
        <w:t xml:space="preserve">consultation process </w:t>
      </w:r>
      <w:r w:rsidR="00C03D93" w:rsidRPr="00437C4E">
        <w:t>to inform</w:t>
      </w:r>
      <w:r w:rsidR="009E22AF" w:rsidRPr="00437C4E">
        <w:t xml:space="preserve"> </w:t>
      </w:r>
      <w:r w:rsidR="005370C6">
        <w:t xml:space="preserve">development of </w:t>
      </w:r>
      <w:r w:rsidR="009E22AF" w:rsidRPr="00437C4E">
        <w:t xml:space="preserve">the 2021 </w:t>
      </w:r>
      <w:r w:rsidR="00C03D93" w:rsidRPr="00437C4E">
        <w:t xml:space="preserve">NRI </w:t>
      </w:r>
      <w:r w:rsidR="009E22AF" w:rsidRPr="00437C4E">
        <w:t>Roadmap</w:t>
      </w:r>
      <w:r w:rsidR="00E063CC" w:rsidRPr="00437C4E">
        <w:t>.</w:t>
      </w:r>
    </w:p>
    <w:p w14:paraId="49DB85DB" w14:textId="0CACFDBD" w:rsidR="00525225" w:rsidRDefault="00457B76" w:rsidP="00DB6953">
      <w:pPr>
        <w:spacing w:after="0" w:line="240" w:lineRule="auto"/>
      </w:pPr>
      <w:r w:rsidRPr="00247FAF">
        <w:t xml:space="preserve">The </w:t>
      </w:r>
      <w:r>
        <w:t xml:space="preserve">2021 Roadmap will identify Australia’s research infrastructure needs and priorities for the next five to 10 years </w:t>
      </w:r>
      <w:proofErr w:type="gramStart"/>
      <w:r>
        <w:t>taking into account</w:t>
      </w:r>
      <w:proofErr w:type="gramEnd"/>
      <w:r>
        <w:t xml:space="preserve"> </w:t>
      </w:r>
      <w:r w:rsidR="00AE682B">
        <w:t xml:space="preserve">new and </w:t>
      </w:r>
      <w:r>
        <w:t xml:space="preserve">emerging research trends, national priorities and </w:t>
      </w:r>
      <w:r w:rsidR="00AE682B">
        <w:t>initiatives</w:t>
      </w:r>
      <w:r>
        <w:t xml:space="preserve">. The Government has recently consulted with the research and industry sector on the establishment of a </w:t>
      </w:r>
      <w:hyperlink r:id="rId11" w:history="1">
        <w:r w:rsidRPr="004C7BC1">
          <w:rPr>
            <w:rStyle w:val="Hyperlink"/>
          </w:rPr>
          <w:t>University Research Commercialisation Scheme</w:t>
        </w:r>
      </w:hyperlink>
      <w:r>
        <w:t xml:space="preserve"> (URCS)</w:t>
      </w:r>
      <w:r w:rsidRPr="00E222EF">
        <w:t xml:space="preserve"> to better translate and commercialise university research outputs. </w:t>
      </w:r>
      <w:r>
        <w:t>The work of the NRI Roadmap complement</w:t>
      </w:r>
      <w:r w:rsidR="004940FA">
        <w:t>s</w:t>
      </w:r>
      <w:r>
        <w:t xml:space="preserve"> this work by further discussing the opportunity to improve research sector and industry collaboration through our suite of n</w:t>
      </w:r>
      <w:r w:rsidR="00DB6953">
        <w:t>ational research infrastructure</w:t>
      </w:r>
      <w:r>
        <w:t xml:space="preserve">s. </w:t>
      </w:r>
    </w:p>
    <w:p w14:paraId="2BD77D2A" w14:textId="77777777" w:rsidR="00525225" w:rsidRDefault="00457B76" w:rsidP="00525225">
      <w:pPr>
        <w:pStyle w:val="Heading2"/>
        <w:spacing w:before="240" w:after="120"/>
      </w:pPr>
      <w:r w:rsidRPr="00525225">
        <w:rPr>
          <w:rFonts w:asciiTheme="minorHAnsi" w:eastAsiaTheme="minorHAnsi" w:hAnsiTheme="minorHAnsi" w:cstheme="minorBidi"/>
          <w:color w:val="auto"/>
          <w:sz w:val="22"/>
          <w:szCs w:val="22"/>
        </w:rPr>
        <w:t>NRI</w:t>
      </w:r>
      <w:r w:rsidR="00DB6953" w:rsidRPr="00525225">
        <w:rPr>
          <w:rFonts w:asciiTheme="minorHAnsi" w:eastAsiaTheme="minorHAnsi" w:hAnsiTheme="minorHAnsi" w:cstheme="minorBidi"/>
          <w:color w:val="auto"/>
          <w:sz w:val="22"/>
          <w:szCs w:val="22"/>
        </w:rPr>
        <w:t xml:space="preserve"> is a critical enabler in our research and innovation system providing foundational capability for leading-edge research and innovation at all stages of the innovation pipeline</w:t>
      </w:r>
      <w:r w:rsidRPr="00525225">
        <w:rPr>
          <w:rFonts w:asciiTheme="minorHAnsi" w:eastAsiaTheme="minorHAnsi" w:hAnsiTheme="minorHAnsi" w:cstheme="minorBidi"/>
          <w:color w:val="auto"/>
          <w:sz w:val="22"/>
          <w:szCs w:val="22"/>
        </w:rPr>
        <w:t xml:space="preserve">. It is particularly supportive of </w:t>
      </w:r>
      <w:r w:rsidR="00DB6953" w:rsidRPr="00525225">
        <w:rPr>
          <w:rFonts w:asciiTheme="minorHAnsi" w:eastAsiaTheme="minorHAnsi" w:hAnsiTheme="minorHAnsi" w:cstheme="minorBidi"/>
          <w:color w:val="auto"/>
          <w:sz w:val="22"/>
          <w:szCs w:val="22"/>
        </w:rPr>
        <w:t xml:space="preserve">the earlier stages </w:t>
      </w:r>
      <w:r w:rsidRPr="00525225">
        <w:rPr>
          <w:rFonts w:asciiTheme="minorHAnsi" w:eastAsiaTheme="minorHAnsi" w:hAnsiTheme="minorHAnsi" w:cstheme="minorBidi"/>
          <w:color w:val="auto"/>
          <w:sz w:val="22"/>
          <w:szCs w:val="22"/>
        </w:rPr>
        <w:t xml:space="preserve">of the pipeline, </w:t>
      </w:r>
      <w:r w:rsidR="00DB6953" w:rsidRPr="00525225">
        <w:rPr>
          <w:rFonts w:asciiTheme="minorHAnsi" w:eastAsiaTheme="minorHAnsi" w:hAnsiTheme="minorHAnsi" w:cstheme="minorBidi"/>
          <w:color w:val="auto"/>
          <w:sz w:val="22"/>
          <w:szCs w:val="22"/>
        </w:rPr>
        <w:t>enabling high-quality research outcomes.</w:t>
      </w:r>
      <w:r w:rsidR="00DB6953">
        <w:t xml:space="preserve"> </w:t>
      </w:r>
    </w:p>
    <w:p w14:paraId="3849F9C3" w14:textId="55B214DE" w:rsidR="00764090" w:rsidRPr="00D76326" w:rsidRDefault="00764090" w:rsidP="00525225">
      <w:pPr>
        <w:pStyle w:val="Heading2"/>
        <w:spacing w:before="240" w:after="120"/>
        <w:rPr>
          <w:sz w:val="28"/>
          <w:szCs w:val="28"/>
        </w:rPr>
      </w:pPr>
      <w:r w:rsidRPr="00D76326">
        <w:rPr>
          <w:sz w:val="28"/>
          <w:szCs w:val="28"/>
        </w:rPr>
        <w:t xml:space="preserve">What is </w:t>
      </w:r>
      <w:r w:rsidR="003F3925">
        <w:rPr>
          <w:sz w:val="28"/>
          <w:szCs w:val="28"/>
        </w:rPr>
        <w:t xml:space="preserve">an </w:t>
      </w:r>
      <w:r w:rsidRPr="00D76326">
        <w:rPr>
          <w:sz w:val="28"/>
          <w:szCs w:val="28"/>
        </w:rPr>
        <w:t xml:space="preserve">ideas jam and what do we want to get out of it? </w:t>
      </w:r>
    </w:p>
    <w:p w14:paraId="08FF8A9B" w14:textId="31182ADA" w:rsidR="00764090" w:rsidRDefault="00764090" w:rsidP="00525225">
      <w:pPr>
        <w:spacing w:after="120"/>
      </w:pPr>
      <w:r>
        <w:t>An Ideas Jam is a collaborative</w:t>
      </w:r>
      <w:r w:rsidR="00D13952">
        <w:t xml:space="preserve"> online</w:t>
      </w:r>
      <w:r>
        <w:t xml:space="preserve"> brainstorming activity</w:t>
      </w:r>
      <w:r w:rsidR="00B21266">
        <w:t xml:space="preserve"> </w:t>
      </w:r>
      <w:r w:rsidR="00577A27">
        <w:t xml:space="preserve">that </w:t>
      </w:r>
      <w:r>
        <w:t>take</w:t>
      </w:r>
      <w:r w:rsidR="00577A27">
        <w:t>s</w:t>
      </w:r>
      <w:r>
        <w:t xml:space="preserve"> place over a period of days, so the public can participate and have time to </w:t>
      </w:r>
      <w:r w:rsidR="003F3925">
        <w:t xml:space="preserve">consider </w:t>
      </w:r>
      <w:r>
        <w:t xml:space="preserve">and discuss ideas. Each Ideas Jam will focus on a specific question, </w:t>
      </w:r>
      <w:proofErr w:type="gramStart"/>
      <w:r>
        <w:t>scenario</w:t>
      </w:r>
      <w:proofErr w:type="gramEnd"/>
      <w:r>
        <w:t xml:space="preserve"> or theme. These are collectively referred to as ‘</w:t>
      </w:r>
      <w:proofErr w:type="gramStart"/>
      <w:r w:rsidR="00D13952">
        <w:t>challenges’</w:t>
      </w:r>
      <w:proofErr w:type="gramEnd"/>
      <w:r w:rsidR="00D13952">
        <w:t>.</w:t>
      </w:r>
    </w:p>
    <w:p w14:paraId="31EB24C4" w14:textId="77777777" w:rsidR="00336F9D" w:rsidRPr="00C03D93" w:rsidRDefault="00336F9D" w:rsidP="00525225">
      <w:pPr>
        <w:spacing w:after="120"/>
      </w:pPr>
      <w:r w:rsidRPr="00ED3172">
        <w:rPr>
          <w:b/>
          <w:bCs/>
        </w:rPr>
        <w:t>The aim of this challenge is</w:t>
      </w:r>
      <w:r>
        <w:t xml:space="preserve"> to c</w:t>
      </w:r>
      <w:r w:rsidRPr="00C03D93">
        <w:t>rowdsource ideas from stakeholders, especially from the industry sector, on how the government’s investment in NRI can be leveraged to:</w:t>
      </w:r>
    </w:p>
    <w:p w14:paraId="24EE38AA" w14:textId="61F021C0" w:rsidR="00336F9D" w:rsidRPr="00C03D93" w:rsidRDefault="00336F9D">
      <w:pPr>
        <w:numPr>
          <w:ilvl w:val="0"/>
          <w:numId w:val="9"/>
        </w:numPr>
        <w:spacing w:after="120" w:line="240" w:lineRule="auto"/>
        <w:ind w:left="714" w:hanging="357"/>
      </w:pPr>
      <w:r w:rsidRPr="00C03D93">
        <w:t>improve industry sector visibility of NRI and understanding of how NRI can support industry</w:t>
      </w:r>
    </w:p>
    <w:p w14:paraId="620093D8" w14:textId="544B9D56" w:rsidR="00336F9D" w:rsidRPr="00C03D93" w:rsidRDefault="00336F9D">
      <w:pPr>
        <w:numPr>
          <w:ilvl w:val="0"/>
          <w:numId w:val="9"/>
        </w:numPr>
        <w:spacing w:after="120" w:line="240" w:lineRule="auto"/>
        <w:ind w:left="714" w:hanging="357"/>
      </w:pPr>
      <w:r w:rsidRPr="00C03D93">
        <w:t>increase industry access to NRI, with a focus on small to medium sized enterprises (SMEs)</w:t>
      </w:r>
    </w:p>
    <w:p w14:paraId="4B34A740" w14:textId="2DD3C5E4" w:rsidR="00336F9D" w:rsidRPr="00C03D93" w:rsidRDefault="00336F9D">
      <w:pPr>
        <w:numPr>
          <w:ilvl w:val="0"/>
          <w:numId w:val="9"/>
        </w:numPr>
        <w:spacing w:after="120" w:line="240" w:lineRule="auto"/>
        <w:ind w:left="714" w:hanging="357"/>
      </w:pPr>
      <w:r w:rsidRPr="00C03D93">
        <w:t>improve integration and standardisation of NRI to increase industry engagement</w:t>
      </w:r>
      <w:r w:rsidR="005370C6">
        <w:t>; and</w:t>
      </w:r>
    </w:p>
    <w:p w14:paraId="412BD396" w14:textId="73952E5B" w:rsidR="00764090" w:rsidRDefault="00336F9D">
      <w:pPr>
        <w:numPr>
          <w:ilvl w:val="0"/>
          <w:numId w:val="9"/>
        </w:numPr>
        <w:spacing w:after="120" w:line="240" w:lineRule="auto"/>
        <w:ind w:left="714" w:hanging="357"/>
      </w:pPr>
      <w:r w:rsidRPr="00C03D93">
        <w:t>support research and industry sector collaboration and partnerships that can solve</w:t>
      </w:r>
      <w:r w:rsidR="004940FA">
        <w:t xml:space="preserve"> real world</w:t>
      </w:r>
      <w:r w:rsidRPr="00C03D93">
        <w:t xml:space="preserve"> problems and advance research translation and commercialisation outcomes.</w:t>
      </w:r>
    </w:p>
    <w:p w14:paraId="6AF14899" w14:textId="77777777" w:rsidR="003F3E51" w:rsidRPr="00D76326" w:rsidRDefault="003F3E51" w:rsidP="00525225">
      <w:pPr>
        <w:pStyle w:val="Heading2"/>
        <w:spacing w:before="240" w:after="120"/>
        <w:rPr>
          <w:sz w:val="28"/>
          <w:szCs w:val="28"/>
        </w:rPr>
      </w:pPr>
      <w:r>
        <w:rPr>
          <w:sz w:val="28"/>
          <w:szCs w:val="28"/>
        </w:rPr>
        <w:t>Definitions</w:t>
      </w:r>
    </w:p>
    <w:p w14:paraId="1EC9A3E8" w14:textId="58EBC27D" w:rsidR="00A66408" w:rsidRPr="003F3E51" w:rsidRDefault="00A66408" w:rsidP="00525225">
      <w:pPr>
        <w:spacing w:after="120"/>
        <w:rPr>
          <w:rFonts w:ascii="Calibri" w:eastAsia="Calibri" w:hAnsi="Calibri" w:cs="Calibri"/>
        </w:rPr>
      </w:pPr>
      <w:r w:rsidRPr="001B2ED8">
        <w:rPr>
          <w:rFonts w:ascii="Calibri" w:eastAsia="Calibri" w:hAnsi="Calibri" w:cs="Calibri"/>
          <w:b/>
          <w:bCs/>
        </w:rPr>
        <w:t>Industry access</w:t>
      </w:r>
      <w:r>
        <w:rPr>
          <w:rFonts w:ascii="Calibri" w:eastAsia="Calibri" w:hAnsi="Calibri" w:cs="Calibri"/>
          <w:b/>
          <w:bCs/>
        </w:rPr>
        <w:t xml:space="preserve"> to NRI </w:t>
      </w:r>
      <w:r>
        <w:rPr>
          <w:rFonts w:ascii="Calibri" w:eastAsia="Calibri" w:hAnsi="Calibri" w:cs="Calibri"/>
        </w:rPr>
        <w:t>is broader than just access to equipment at the facilities, it also includes industry using and sharing NRI driven data and knowledge, technical advice, and services. It can also mean industry accessing NRI indirectly through research partners or NRI fostering research-industry partnership</w:t>
      </w:r>
      <w:r w:rsidR="003F3925">
        <w:rPr>
          <w:rFonts w:ascii="Calibri" w:eastAsia="Calibri" w:hAnsi="Calibri" w:cs="Calibri"/>
        </w:rPr>
        <w:t>s</w:t>
      </w:r>
      <w:r>
        <w:rPr>
          <w:rFonts w:ascii="Calibri" w:eastAsia="Calibri" w:hAnsi="Calibri" w:cs="Calibri"/>
        </w:rPr>
        <w:t xml:space="preserve">. </w:t>
      </w:r>
    </w:p>
    <w:p w14:paraId="457B145C" w14:textId="7285EB53" w:rsidR="003F3E51" w:rsidRDefault="003F3E51" w:rsidP="00525225">
      <w:pPr>
        <w:spacing w:after="120"/>
        <w:rPr>
          <w:rFonts w:ascii="Calibri" w:eastAsia="Calibri" w:hAnsi="Calibri" w:cs="Calibri"/>
        </w:rPr>
      </w:pPr>
      <w:r w:rsidRPr="001B2ED8">
        <w:rPr>
          <w:rFonts w:ascii="Calibri" w:eastAsia="Calibri" w:hAnsi="Calibri" w:cs="Calibri"/>
          <w:b/>
          <w:bCs/>
        </w:rPr>
        <w:t>Research translation</w:t>
      </w:r>
      <w:r>
        <w:rPr>
          <w:rFonts w:ascii="Calibri" w:eastAsia="Calibri" w:hAnsi="Calibri" w:cs="Calibri"/>
          <w:b/>
          <w:bCs/>
        </w:rPr>
        <w:t>,</w:t>
      </w:r>
      <w:r w:rsidRPr="001B2ED8">
        <w:rPr>
          <w:rFonts w:ascii="Calibri" w:eastAsia="Calibri" w:hAnsi="Calibri" w:cs="Calibri"/>
          <w:b/>
          <w:bCs/>
        </w:rPr>
        <w:t xml:space="preserve"> </w:t>
      </w:r>
      <w:r>
        <w:rPr>
          <w:rFonts w:ascii="Calibri" w:eastAsia="Calibri" w:hAnsi="Calibri" w:cs="Calibri"/>
        </w:rPr>
        <w:t xml:space="preserve">in this context, can be broader than commercialisation, referring to practical research outcomes and outputs of national interest that may not have a direct and immediate commercial return. For example, this could </w:t>
      </w:r>
      <w:r w:rsidR="003F3925">
        <w:rPr>
          <w:rFonts w:ascii="Calibri" w:eastAsia="Calibri" w:hAnsi="Calibri" w:cs="Calibri"/>
        </w:rPr>
        <w:t xml:space="preserve">include </w:t>
      </w:r>
      <w:r>
        <w:rPr>
          <w:rFonts w:ascii="Calibri" w:eastAsia="Calibri" w:hAnsi="Calibri" w:cs="Calibri"/>
        </w:rPr>
        <w:t xml:space="preserve">outcomes that improve </w:t>
      </w:r>
      <w:r w:rsidR="003F3925">
        <w:rPr>
          <w:rFonts w:ascii="Calibri" w:eastAsia="Calibri" w:hAnsi="Calibri" w:cs="Calibri"/>
        </w:rPr>
        <w:t xml:space="preserve">business </w:t>
      </w:r>
      <w:r>
        <w:rPr>
          <w:rFonts w:ascii="Calibri" w:eastAsia="Calibri" w:hAnsi="Calibri" w:cs="Calibri"/>
        </w:rPr>
        <w:t xml:space="preserve">processes or bring societal benefits that are harder to quantify like climate change mitigation or integration of Indigenous knowledge into science. </w:t>
      </w:r>
    </w:p>
    <w:p w14:paraId="16A1C46B" w14:textId="77777777" w:rsidR="00866C5D" w:rsidRDefault="00866C5D" w:rsidP="00525225">
      <w:pPr>
        <w:spacing w:after="120"/>
        <w:rPr>
          <w:rFonts w:ascii="Calibri" w:eastAsia="Calibri" w:hAnsi="Calibri" w:cs="Calibri"/>
        </w:rPr>
      </w:pPr>
    </w:p>
    <w:p w14:paraId="53DC4F6F" w14:textId="717C420A" w:rsidR="00B47260" w:rsidRDefault="00ED3172" w:rsidP="00525225">
      <w:pPr>
        <w:pStyle w:val="Heading2"/>
        <w:spacing w:before="240" w:after="120"/>
        <w:rPr>
          <w:sz w:val="28"/>
          <w:szCs w:val="28"/>
        </w:rPr>
      </w:pPr>
      <w:r>
        <w:rPr>
          <w:sz w:val="28"/>
          <w:szCs w:val="28"/>
        </w:rPr>
        <w:lastRenderedPageBreak/>
        <w:t xml:space="preserve">Why </w:t>
      </w:r>
      <w:r w:rsidR="003F3925">
        <w:rPr>
          <w:sz w:val="28"/>
          <w:szCs w:val="28"/>
        </w:rPr>
        <w:t xml:space="preserve">is </w:t>
      </w:r>
      <w:r>
        <w:rPr>
          <w:sz w:val="28"/>
          <w:szCs w:val="28"/>
        </w:rPr>
        <w:t>NRI and industry engagement important?</w:t>
      </w:r>
      <w:r w:rsidR="008A7F62">
        <w:rPr>
          <w:sz w:val="28"/>
          <w:szCs w:val="28"/>
        </w:rPr>
        <w:t xml:space="preserve"> </w:t>
      </w:r>
    </w:p>
    <w:p w14:paraId="170010DF" w14:textId="1179459C" w:rsidR="00D76326" w:rsidRDefault="00D76326" w:rsidP="00525225">
      <w:pPr>
        <w:spacing w:after="120"/>
      </w:pPr>
      <w:r w:rsidRPr="00D76326">
        <w:t>NRI plays an important role in encourag</w:t>
      </w:r>
      <w:r w:rsidR="00E50721">
        <w:t>ing</w:t>
      </w:r>
      <w:r w:rsidRPr="00D76326">
        <w:t xml:space="preserve"> strong long-term industry and research partnerships, both domestically and internationally</w:t>
      </w:r>
      <w:r w:rsidR="00ED3172">
        <w:t>,</w:t>
      </w:r>
      <w:r w:rsidRPr="00D76326">
        <w:t xml:space="preserve"> by providing access to nationally significant research assets, facilities, </w:t>
      </w:r>
      <w:r w:rsidR="0012779E">
        <w:t xml:space="preserve">expert advice and </w:t>
      </w:r>
      <w:r w:rsidRPr="00D76326">
        <w:t>services for research and innovation that can benefit Australia</w:t>
      </w:r>
      <w:r w:rsidR="005370C6">
        <w:t>’s</w:t>
      </w:r>
      <w:r w:rsidRPr="00D76326">
        <w:t xml:space="preserve"> economy and society.</w:t>
      </w:r>
    </w:p>
    <w:p w14:paraId="3A344673" w14:textId="2083C598" w:rsidR="00E33316" w:rsidRDefault="00E33316" w:rsidP="00525225">
      <w:pPr>
        <w:spacing w:after="120"/>
      </w:pPr>
      <w:bookmarkStart w:id="0" w:name="_Hlk78453089"/>
      <w:r w:rsidRPr="00D76326">
        <w:t xml:space="preserve">NRI is well placed to enhance and catalyse research and industry </w:t>
      </w:r>
      <w:r w:rsidR="005370C6">
        <w:t xml:space="preserve">sector </w:t>
      </w:r>
      <w:r w:rsidRPr="00D76326">
        <w:t>engagement to</w:t>
      </w:r>
      <w:r w:rsidR="004940FA">
        <w:t xml:space="preserve"> support</w:t>
      </w:r>
      <w:r w:rsidRPr="00D76326">
        <w:t xml:space="preserve"> advance</w:t>
      </w:r>
      <w:r w:rsidR="004940FA">
        <w:t>ment of</w:t>
      </w:r>
      <w:r w:rsidRPr="00D76326">
        <w:t xml:space="preserve"> innovation and research translation outcomes. NRI provides the tools and the environment for researchers and industry professionals to work together on practical solutions to shared problems, fostering industry innovation and research translation. </w:t>
      </w:r>
    </w:p>
    <w:p w14:paraId="1C903D5C" w14:textId="3593A5DA" w:rsidR="00E73659" w:rsidRDefault="00C008BE" w:rsidP="00525225">
      <w:pPr>
        <w:spacing w:after="120"/>
      </w:pPr>
      <w:bookmarkStart w:id="1" w:name="_Hlk80795872"/>
      <w:r>
        <w:t>The industry sector, and particularly SMEs</w:t>
      </w:r>
      <w:r w:rsidR="007B25C4">
        <w:rPr>
          <w:rStyle w:val="FootnoteReference"/>
        </w:rPr>
        <w:footnoteReference w:id="1"/>
      </w:r>
      <w:r>
        <w:t xml:space="preserve">, have a lot to gain from </w:t>
      </w:r>
      <w:r w:rsidR="00A66408">
        <w:t xml:space="preserve">engagement with </w:t>
      </w:r>
      <w:r>
        <w:t>the research sector.</w:t>
      </w:r>
      <w:r w:rsidR="00A66408">
        <w:t xml:space="preserve"> For example,</w:t>
      </w:r>
      <w:r>
        <w:t xml:space="preserve"> SMEs that collaborate with the research sector experience higher innovation and economic performance.</w:t>
      </w:r>
      <w:r w:rsidR="007B25C4" w:rsidRPr="007B25C4">
        <w:t xml:space="preserve"> </w:t>
      </w:r>
      <w:r w:rsidR="007B25C4">
        <w:t>As SMEs collaborate with researchers, they gain in the short</w:t>
      </w:r>
      <w:r w:rsidR="007B25C4">
        <w:rPr>
          <w:rFonts w:ascii="Cambria Math" w:hAnsi="Cambria Math" w:cs="Cambria Math"/>
        </w:rPr>
        <w:t>‑</w:t>
      </w:r>
      <w:r w:rsidR="007B25C4">
        <w:t xml:space="preserve">term through problem-solving capabilities, knowledge access and R&amp;D solutions </w:t>
      </w:r>
      <w:r w:rsidR="007B25C4">
        <w:rPr>
          <w:rStyle w:val="FootnoteReference"/>
        </w:rPr>
        <w:footnoteReference w:id="2"/>
      </w:r>
      <w:r w:rsidR="007B25C4">
        <w:t>, and gain long-term competencies of in-house staff</w:t>
      </w:r>
      <w:r w:rsidR="007B25C4">
        <w:rPr>
          <w:rStyle w:val="FootnoteReference"/>
        </w:rPr>
        <w:footnoteReference w:id="3"/>
      </w:r>
      <w:r w:rsidR="007B25C4">
        <w:t xml:space="preserve"> through tacit and informal exchange of learning and knowledge</w:t>
      </w:r>
      <w:r w:rsidR="007B25C4">
        <w:rPr>
          <w:rStyle w:val="FootnoteReference"/>
        </w:rPr>
        <w:footnoteReference w:id="4"/>
      </w:r>
      <w:r w:rsidR="007B25C4">
        <w:t>.</w:t>
      </w:r>
    </w:p>
    <w:bookmarkEnd w:id="1"/>
    <w:p w14:paraId="02B41FC1" w14:textId="2883593C" w:rsidR="005A6340" w:rsidRPr="007B25C4" w:rsidRDefault="005A6340" w:rsidP="00525225">
      <w:pPr>
        <w:pStyle w:val="Heading2"/>
        <w:spacing w:before="240" w:after="120"/>
        <w:rPr>
          <w:sz w:val="28"/>
          <w:szCs w:val="28"/>
        </w:rPr>
      </w:pPr>
      <w:r>
        <w:rPr>
          <w:sz w:val="28"/>
          <w:szCs w:val="28"/>
        </w:rPr>
        <w:t xml:space="preserve">Why </w:t>
      </w:r>
      <w:r w:rsidR="003F3925">
        <w:rPr>
          <w:sz w:val="28"/>
          <w:szCs w:val="28"/>
        </w:rPr>
        <w:t xml:space="preserve">is </w:t>
      </w:r>
      <w:r>
        <w:rPr>
          <w:sz w:val="28"/>
          <w:szCs w:val="28"/>
        </w:rPr>
        <w:t xml:space="preserve">now the time to talk about NRI and industry engagement? </w:t>
      </w:r>
    </w:p>
    <w:bookmarkEnd w:id="0"/>
    <w:p w14:paraId="4973A42A" w14:textId="50FC9F91" w:rsidR="00A66408" w:rsidRPr="00A66408" w:rsidRDefault="00A66408" w:rsidP="00525225">
      <w:pPr>
        <w:spacing w:after="120"/>
      </w:pPr>
      <w:r w:rsidRPr="00A66408">
        <w:t xml:space="preserve">Every five years, the Australian Government </w:t>
      </w:r>
      <w:r w:rsidR="003F3925">
        <w:t>reviews</w:t>
      </w:r>
      <w:r w:rsidRPr="00A66408">
        <w:t xml:space="preserve"> its policy approach to </w:t>
      </w:r>
      <w:r w:rsidR="003F3925">
        <w:t>NRI</w:t>
      </w:r>
      <w:r w:rsidRPr="00A66408">
        <w:t xml:space="preserve"> investment by engaging the research community and its stakeholders in the development of a strategic roadmap.</w:t>
      </w:r>
      <w:r>
        <w:t xml:space="preserve"> </w:t>
      </w:r>
      <w:r w:rsidRPr="00A66408">
        <w:t>Every two years the Government releases a Research Infrastructure Investment Plan to support the Roadmap’s vision and ensure investment reflects ongoing technological developments</w:t>
      </w:r>
      <w:r w:rsidR="003F3925">
        <w:t xml:space="preserve"> and strategic priorities</w:t>
      </w:r>
      <w:r w:rsidRPr="00A66408">
        <w:t>.</w:t>
      </w:r>
      <w:r>
        <w:t xml:space="preserve"> </w:t>
      </w:r>
      <w:r w:rsidRPr="00A66408">
        <w:t>The 2021 Roadmap will inform the 2022 and 2024 investment plans.</w:t>
      </w:r>
      <w:r w:rsidR="00182A14">
        <w:t xml:space="preserve"> </w:t>
      </w:r>
      <w:r w:rsidR="004F7BCC" w:rsidRPr="00837F37">
        <w:t xml:space="preserve">The National Collaborative Research Infrastructure </w:t>
      </w:r>
      <w:r w:rsidR="00530C7A">
        <w:t xml:space="preserve">Strategy </w:t>
      </w:r>
      <w:r w:rsidR="004F7BCC" w:rsidRPr="00837F37">
        <w:t>(NCRIS)</w:t>
      </w:r>
      <w:r w:rsidR="00D05D0D" w:rsidRPr="00837F37">
        <w:t xml:space="preserve"> program implements the </w:t>
      </w:r>
      <w:r w:rsidR="004F7BCC" w:rsidRPr="00837F37">
        <w:t>investment plans</w:t>
      </w:r>
      <w:r w:rsidR="00D05D0D" w:rsidRPr="00837F37">
        <w:t>.</w:t>
      </w:r>
    </w:p>
    <w:p w14:paraId="6E25F5E2" w14:textId="10117FA5" w:rsidR="00E33316" w:rsidRDefault="00E33316" w:rsidP="00525225">
      <w:pPr>
        <w:spacing w:after="120"/>
      </w:pPr>
      <w:r w:rsidRPr="00D76326">
        <w:t>The Terms of Reference for the 2021 N</w:t>
      </w:r>
      <w:r w:rsidR="005370C6">
        <w:t>RI</w:t>
      </w:r>
      <w:r w:rsidRPr="00D76326">
        <w:t xml:space="preserve"> Roadmap tasks the Expert Working Group with </w:t>
      </w:r>
      <w:r w:rsidRPr="00D76326">
        <w:rPr>
          <w:i/>
        </w:rPr>
        <w:t xml:space="preserve">“identifying opportunities to improve levels of collaboration between the research and industry sectors, particularly </w:t>
      </w:r>
      <w:bookmarkStart w:id="2" w:name="_Hlk77771124"/>
      <w:r w:rsidRPr="00D76326">
        <w:rPr>
          <w:i/>
        </w:rPr>
        <w:t>for small to medium sized enterprises</w:t>
      </w:r>
      <w:bookmarkEnd w:id="2"/>
      <w:r w:rsidRPr="00D76326">
        <w:rPr>
          <w:i/>
        </w:rPr>
        <w:t>”</w:t>
      </w:r>
      <w:r w:rsidRPr="00D76326">
        <w:t xml:space="preserve">.  In driving research excellence, the NCRIS </w:t>
      </w:r>
      <w:hyperlink r:id="rId12" w:history="1">
        <w:r w:rsidRPr="00D76326">
          <w:rPr>
            <w:rStyle w:val="Hyperlink"/>
          </w:rPr>
          <w:t>guidelines</w:t>
        </w:r>
      </w:hyperlink>
      <w:r w:rsidRPr="00D76326">
        <w:t xml:space="preserve"> highlight the need to maximise opportunities for industry engagement.</w:t>
      </w:r>
    </w:p>
    <w:p w14:paraId="1127AD69" w14:textId="6403CF8B" w:rsidR="00E33316" w:rsidRDefault="00E33316">
      <w:pPr>
        <w:spacing w:after="120"/>
      </w:pPr>
      <w:r>
        <w:t>T</w:t>
      </w:r>
      <w:r w:rsidRPr="00D76326">
        <w:t>h</w:t>
      </w:r>
      <w:r>
        <w:t>us, th</w:t>
      </w:r>
      <w:r w:rsidRPr="00D76326">
        <w:t xml:space="preserve">e opportunity exists through the Roadmap to </w:t>
      </w:r>
      <w:r w:rsidR="00577A27">
        <w:t xml:space="preserve">consider how to </w:t>
      </w:r>
      <w:r w:rsidRPr="00D76326">
        <w:t xml:space="preserve">make NRI more visible and accessible to industry, </w:t>
      </w:r>
      <w:r>
        <w:t xml:space="preserve">and to </w:t>
      </w:r>
      <w:r w:rsidRPr="00D76326">
        <w:t>better integrate NRI and enhance quality frameworks to foster more industry engagement</w:t>
      </w:r>
      <w:r>
        <w:t xml:space="preserve"> and research translation.</w:t>
      </w:r>
    </w:p>
    <w:p w14:paraId="1C9B8D60" w14:textId="3D9091A0" w:rsidR="008A7F62" w:rsidRPr="008A7F62" w:rsidRDefault="008A7F62" w:rsidP="00525225">
      <w:pPr>
        <w:pStyle w:val="Heading2"/>
        <w:spacing w:before="240" w:after="120"/>
        <w:rPr>
          <w:sz w:val="28"/>
          <w:szCs w:val="28"/>
        </w:rPr>
      </w:pPr>
      <w:bookmarkStart w:id="3" w:name="_Hlk78453018"/>
      <w:r>
        <w:rPr>
          <w:sz w:val="28"/>
          <w:szCs w:val="28"/>
        </w:rPr>
        <w:t>Current state of NRI and problem identification</w:t>
      </w:r>
    </w:p>
    <w:p w14:paraId="152D2D69" w14:textId="270B4C40" w:rsidR="00147B73" w:rsidRDefault="0012779E" w:rsidP="00525225">
      <w:pPr>
        <w:spacing w:after="120"/>
      </w:pPr>
      <w:r>
        <w:t xml:space="preserve">Currently, </w:t>
      </w:r>
      <w:r w:rsidR="00D76326" w:rsidRPr="00D76326">
        <w:t xml:space="preserve">NRI facilities support all stages of the innovation pipeline but are most active in the earlier stages </w:t>
      </w:r>
      <w:r w:rsidR="00ED3172">
        <w:t>of research</w:t>
      </w:r>
      <w:r w:rsidR="00D76326" w:rsidRPr="00D76326">
        <w:t>.</w:t>
      </w:r>
      <w:r w:rsidR="00ED3172" w:rsidRPr="00ED3172">
        <w:t xml:space="preserve"> Examples include providing researchers with </w:t>
      </w:r>
      <w:r w:rsidR="004940FA">
        <w:t>T</w:t>
      </w:r>
      <w:r w:rsidR="00ED3172" w:rsidRPr="00ED3172">
        <w:t>ier 1 H</w:t>
      </w:r>
      <w:r w:rsidR="003806A1">
        <w:t xml:space="preserve">igh </w:t>
      </w:r>
      <w:r w:rsidR="00ED3172" w:rsidRPr="00ED3172">
        <w:t>P</w:t>
      </w:r>
      <w:r w:rsidR="003806A1">
        <w:t xml:space="preserve">erformance </w:t>
      </w:r>
      <w:r w:rsidR="00ED3172" w:rsidRPr="00ED3172">
        <w:t>C</w:t>
      </w:r>
      <w:r w:rsidR="003806A1">
        <w:t>omputing</w:t>
      </w:r>
      <w:r w:rsidR="00ED3172" w:rsidRPr="00ED3172">
        <w:t xml:space="preserve"> capability, environmental monitoring datasets, or data visualisation tools.</w:t>
      </w:r>
      <w:r w:rsidR="00147B73">
        <w:t xml:space="preserve"> In the final stage of the commercialisation value chain, NRI can assist development of prototypes, testing and manufacturing of components.</w:t>
      </w:r>
    </w:p>
    <w:p w14:paraId="54B3DE24" w14:textId="6E29C53C" w:rsidR="00D76326" w:rsidRPr="00D76326" w:rsidRDefault="00D05D0D" w:rsidP="00525225">
      <w:pPr>
        <w:spacing w:after="120"/>
      </w:pPr>
      <w:bookmarkStart w:id="4" w:name="_Hlk80799533"/>
      <w:bookmarkEnd w:id="3"/>
      <w:r w:rsidRPr="00837F37">
        <w:lastRenderedPageBreak/>
        <w:t>C</w:t>
      </w:r>
      <w:r w:rsidR="00D76326" w:rsidRPr="00837F37">
        <w:t xml:space="preserve">ollaboration and strong partnerships with </w:t>
      </w:r>
      <w:r w:rsidRPr="00837F37">
        <w:t xml:space="preserve">research agencies and </w:t>
      </w:r>
      <w:r w:rsidR="00D76326" w:rsidRPr="00837F37">
        <w:t>the industry sector a</w:t>
      </w:r>
      <w:r w:rsidRPr="00837F37">
        <w:t xml:space="preserve">re a key </w:t>
      </w:r>
      <w:r w:rsidR="000600E3" w:rsidRPr="00837F37">
        <w:t>element</w:t>
      </w:r>
      <w:r w:rsidR="00B21266">
        <w:t xml:space="preserve"> </w:t>
      </w:r>
      <w:r>
        <w:t xml:space="preserve">of the NCRIS </w:t>
      </w:r>
      <w:proofErr w:type="gramStart"/>
      <w:r>
        <w:t>f</w:t>
      </w:r>
      <w:r w:rsidR="00527556">
        <w:t>acilities</w:t>
      </w:r>
      <w:r w:rsidR="008F5C0F">
        <w:t>,</w:t>
      </w:r>
      <w:r w:rsidR="00527556">
        <w:t xml:space="preserve"> </w:t>
      </w:r>
      <w:r w:rsidR="0023476F">
        <w:t>and</w:t>
      </w:r>
      <w:proofErr w:type="gramEnd"/>
      <w:r w:rsidR="00C946EF">
        <w:t xml:space="preserve"> help</w:t>
      </w:r>
      <w:r w:rsidR="00D76326" w:rsidRPr="00D76326">
        <w:t xml:space="preserve"> demonstrate</w:t>
      </w:r>
      <w:r w:rsidR="00C946EF">
        <w:t xml:space="preserve"> the</w:t>
      </w:r>
      <w:r w:rsidR="00D76326" w:rsidRPr="00D76326">
        <w:t xml:space="preserve"> impact and outcomes of research through translation and commercialisation. This has been highlighted by the success of NCRIS facilities in pivoting their operations to meet the challenges and opportunities presented by COVID-19. </w:t>
      </w:r>
      <w:r w:rsidR="008F5C0F">
        <w:t xml:space="preserve">This </w:t>
      </w:r>
      <w:r w:rsidR="003E25BF">
        <w:t>ranges from</w:t>
      </w:r>
      <w:r w:rsidR="008F5C0F">
        <w:t xml:space="preserve"> the development and testing of vaccines to designing treatment drugs and manufacturing personal protective equipment. </w:t>
      </w:r>
      <w:r w:rsidR="00D76326" w:rsidRPr="00D76326">
        <w:t>Some examples of industry collaboration and partnerships include:</w:t>
      </w:r>
    </w:p>
    <w:p w14:paraId="135DF8B4" w14:textId="3F07C5AE" w:rsidR="00D76326" w:rsidRPr="00D76326" w:rsidRDefault="00D76326">
      <w:pPr>
        <w:numPr>
          <w:ilvl w:val="0"/>
          <w:numId w:val="11"/>
        </w:numPr>
        <w:spacing w:after="120" w:line="240" w:lineRule="auto"/>
        <w:ind w:left="765" w:hanging="357"/>
      </w:pPr>
      <w:r w:rsidRPr="00D76326">
        <w:t xml:space="preserve">The Australian National Fabrication Facility, Microscopy Australia and Phenomics Australia have been working with </w:t>
      </w:r>
      <w:proofErr w:type="spellStart"/>
      <w:r w:rsidRPr="00D76326">
        <w:t>WearOptimo</w:t>
      </w:r>
      <w:proofErr w:type="spellEnd"/>
      <w:r w:rsidRPr="00D76326">
        <w:t xml:space="preserve">, a company based in Queensland, to </w:t>
      </w:r>
      <w:hyperlink r:id="rId13" w:history="1">
        <w:r w:rsidRPr="00C9133D">
          <w:rPr>
            <w:rStyle w:val="Hyperlink"/>
          </w:rPr>
          <w:t>develop a wearable sticker that monitors the immune system</w:t>
        </w:r>
      </w:hyperlink>
      <w:r w:rsidRPr="00D76326">
        <w:t>, including</w:t>
      </w:r>
      <w:r w:rsidR="00875B3F">
        <w:t xml:space="preserve"> tracking</w:t>
      </w:r>
      <w:r w:rsidRPr="00D76326">
        <w:t xml:space="preserve"> which COVID-19 patients are on the path to severe respiratory distress.</w:t>
      </w:r>
    </w:p>
    <w:p w14:paraId="171ABAE7" w14:textId="181D0092" w:rsidR="00D76326" w:rsidRDefault="00C9133D">
      <w:pPr>
        <w:numPr>
          <w:ilvl w:val="0"/>
          <w:numId w:val="11"/>
        </w:numPr>
        <w:spacing w:after="120" w:line="240" w:lineRule="auto"/>
      </w:pPr>
      <w:r>
        <w:t xml:space="preserve">Astronomy Australia Limited are supporting researchers at the University of Sydney and Australian Astronomical Observatory in the </w:t>
      </w:r>
      <w:hyperlink r:id="rId14" w:history="1">
        <w:r w:rsidRPr="00313AC1">
          <w:rPr>
            <w:rStyle w:val="Hyperlink"/>
          </w:rPr>
          <w:t>development of a “photonic lantern”</w:t>
        </w:r>
      </w:hyperlink>
      <w:r>
        <w:t xml:space="preserve"> to filter out unwanted light from signal</w:t>
      </w:r>
      <w:r w:rsidR="00313AC1">
        <w:t>s</w:t>
      </w:r>
      <w:r w:rsidR="005370C6">
        <w:t xml:space="preserve">. </w:t>
      </w:r>
      <w:r w:rsidRPr="00C9133D">
        <w:t xml:space="preserve">This photonic lantern technology can be added to existing fibreoptic cables to increase their bandwidth and has already been taken up by companies such as Nokia, Phoenix photonics and </w:t>
      </w:r>
      <w:proofErr w:type="spellStart"/>
      <w:r w:rsidRPr="00C9133D">
        <w:t>Optoscribe</w:t>
      </w:r>
      <w:proofErr w:type="spellEnd"/>
      <w:r w:rsidR="00D76326" w:rsidRPr="00D76326">
        <w:t>.</w:t>
      </w:r>
    </w:p>
    <w:p w14:paraId="0D820B44" w14:textId="057C4CE4" w:rsidR="00975527" w:rsidRPr="002734FC" w:rsidRDefault="00313AC1" w:rsidP="00525225">
      <w:pPr>
        <w:numPr>
          <w:ilvl w:val="0"/>
          <w:numId w:val="11"/>
        </w:numPr>
        <w:spacing w:after="120" w:line="240" w:lineRule="auto"/>
        <w:rPr>
          <w:rFonts w:eastAsia="Times New Roman"/>
        </w:rPr>
      </w:pPr>
      <w:r>
        <w:t>The National Deuteration Facility has been investigating how</w:t>
      </w:r>
      <w:r w:rsidRPr="00313AC1">
        <w:t xml:space="preserve"> skin cells could </w:t>
      </w:r>
      <w:hyperlink r:id="rId15" w:history="1">
        <w:r w:rsidRPr="00313AC1">
          <w:rPr>
            <w:rStyle w:val="Hyperlink"/>
          </w:rPr>
          <w:t>replace animal testing in the cosmetics industry</w:t>
        </w:r>
      </w:hyperlink>
      <w:r w:rsidRPr="00313AC1">
        <w:t>. Deuteration means to replace the hydrogen atoms in a molecule with deuterium, a heavy isotope of hydrogen. Doing this helps researchers better understand those molecules and how they interact with other molecules. The detailed understanding that deuteration gives us could replace animal testing – a key issue for the cosmetics industry – and create new cosmetic products as well</w:t>
      </w:r>
      <w:r>
        <w:t>.</w:t>
      </w:r>
    </w:p>
    <w:bookmarkEnd w:id="4"/>
    <w:p w14:paraId="2B9475DD" w14:textId="4415F1CA" w:rsidR="00D76326" w:rsidRPr="00D76326" w:rsidRDefault="00D76326" w:rsidP="00525225">
      <w:pPr>
        <w:spacing w:after="120"/>
      </w:pPr>
      <w:r w:rsidRPr="00D76326">
        <w:t xml:space="preserve">However, there are still areas of improvement to fully realise the potential of NRI to foster and enable greater collaboration between the research and industry sectors in Australia. </w:t>
      </w:r>
    </w:p>
    <w:p w14:paraId="55F14A5B" w14:textId="77777777" w:rsidR="00ED5608" w:rsidRDefault="00D76326" w:rsidP="00525225">
      <w:pPr>
        <w:pStyle w:val="ListParagraph"/>
        <w:numPr>
          <w:ilvl w:val="0"/>
          <w:numId w:val="13"/>
        </w:numPr>
        <w:spacing w:after="120"/>
        <w:contextualSpacing w:val="0"/>
      </w:pPr>
      <w:r w:rsidRPr="00D76326">
        <w:t xml:space="preserve">Business and industry researchers comprise only 2 per cent of NCRIS facility users despite performing approximately 42 per cent of Australia’s R&amp;D. </w:t>
      </w:r>
    </w:p>
    <w:p w14:paraId="61AF8FA8" w14:textId="2C2BE151" w:rsidR="00C95869" w:rsidRDefault="00D76326" w:rsidP="00525225">
      <w:pPr>
        <w:pStyle w:val="ListParagraph"/>
        <w:numPr>
          <w:ilvl w:val="0"/>
          <w:numId w:val="13"/>
        </w:numPr>
        <w:spacing w:after="120"/>
        <w:contextualSpacing w:val="0"/>
      </w:pPr>
      <w:r w:rsidRPr="00D76326">
        <w:t>Nearly 45 per cent of businesses innovate, and 18 per cent collaborate with other parties, but only 5 per cent of that collaboration is with universities and research institutes (URI).</w:t>
      </w:r>
      <w:r w:rsidRPr="00D76326">
        <w:rPr>
          <w:vertAlign w:val="superscript"/>
        </w:rPr>
        <w:footnoteReference w:id="5"/>
      </w:r>
      <w:r w:rsidRPr="00D76326">
        <w:t xml:space="preserve"> </w:t>
      </w:r>
    </w:p>
    <w:p w14:paraId="2A6FAF54" w14:textId="3FC7C9B0" w:rsidR="00440876" w:rsidRDefault="00BF3522" w:rsidP="00525225">
      <w:pPr>
        <w:pStyle w:val="ListParagraph"/>
        <w:numPr>
          <w:ilvl w:val="0"/>
          <w:numId w:val="13"/>
        </w:numPr>
        <w:spacing w:after="120"/>
        <w:contextualSpacing w:val="0"/>
      </w:pPr>
      <w:r>
        <w:t>Small to medium enterprises (</w:t>
      </w:r>
      <w:r w:rsidR="00440876">
        <w:t>SME</w:t>
      </w:r>
      <w:r>
        <w:t>)</w:t>
      </w:r>
      <w:r w:rsidR="00440876">
        <w:t xml:space="preserve"> make up more than 99 per cent of businesses</w:t>
      </w:r>
      <w:r w:rsidR="00440876">
        <w:rPr>
          <w:rStyle w:val="FootnoteReference"/>
        </w:rPr>
        <w:footnoteReference w:id="6"/>
      </w:r>
      <w:r w:rsidR="00440876">
        <w:t xml:space="preserve"> in Australia</w:t>
      </w:r>
      <w:r>
        <w:t xml:space="preserve">, but SME/ </w:t>
      </w:r>
      <w:r w:rsidR="00440876" w:rsidRPr="00D76326">
        <w:t xml:space="preserve">URI collaboration is even lower, and Australian SMEs rank particularly poorly for </w:t>
      </w:r>
      <w:r w:rsidR="004171DA">
        <w:t>URI</w:t>
      </w:r>
      <w:r w:rsidR="00440876" w:rsidRPr="00D76326">
        <w:t xml:space="preserve"> collaboration.</w:t>
      </w:r>
      <w:r w:rsidR="00440876" w:rsidRPr="00C95869">
        <w:t xml:space="preserve"> </w:t>
      </w:r>
    </w:p>
    <w:p w14:paraId="6620DBA9" w14:textId="145889DE" w:rsidR="001F7F2C" w:rsidRDefault="001F7F2C" w:rsidP="00525225">
      <w:pPr>
        <w:pStyle w:val="ListParagraph"/>
        <w:numPr>
          <w:ilvl w:val="0"/>
          <w:numId w:val="13"/>
        </w:numPr>
        <w:spacing w:after="120"/>
        <w:contextualSpacing w:val="0"/>
      </w:pPr>
      <w:bookmarkStart w:id="5" w:name="_Hlk78966902"/>
      <w:r>
        <w:t>Australia is ranked the lowest among the OECD countries for collaboration between the research and industry sector</w:t>
      </w:r>
      <w:r>
        <w:rPr>
          <w:rStyle w:val="FootnoteReference"/>
        </w:rPr>
        <w:footnoteReference w:id="7"/>
      </w:r>
      <w:r w:rsidR="00634F6E">
        <w:t>.</w:t>
      </w:r>
    </w:p>
    <w:bookmarkEnd w:id="5"/>
    <w:p w14:paraId="6AF2CD61" w14:textId="77777777" w:rsidR="00D76326" w:rsidRPr="00D76326" w:rsidRDefault="00D76326" w:rsidP="00525225">
      <w:pPr>
        <w:spacing w:after="120"/>
      </w:pPr>
      <w:r w:rsidRPr="00D76326">
        <w:t>Translation and commercialisation of research delivers productivity gains and competitive advantage. Australia performs strongly in research excellence (10th largest contributor to publications) but performs poorly by international standards in translating publicly funded research into commercial outcomes (ranked 31st).</w:t>
      </w:r>
      <w:bookmarkStart w:id="6" w:name="_Hlk80798954"/>
      <w:r w:rsidRPr="00D76326">
        <w:rPr>
          <w:vertAlign w:val="superscript"/>
        </w:rPr>
        <w:footnoteReference w:id="8"/>
      </w:r>
      <w:bookmarkEnd w:id="6"/>
      <w:r w:rsidRPr="00D76326">
        <w:t xml:space="preserve"> No Australian university is ranked in the top 100 innovative universities worldwide – pointing to a deficit in collaborative research translation.</w:t>
      </w:r>
      <w:r w:rsidRPr="00D76326">
        <w:rPr>
          <w:vertAlign w:val="superscript"/>
        </w:rPr>
        <w:footnoteReference w:id="9"/>
      </w:r>
      <w:r w:rsidRPr="00D76326">
        <w:t xml:space="preserve"> </w:t>
      </w:r>
    </w:p>
    <w:p w14:paraId="74570D57" w14:textId="77777777" w:rsidR="00C06CE3" w:rsidRDefault="003A2443" w:rsidP="00525225">
      <w:pPr>
        <w:spacing w:after="120"/>
      </w:pPr>
      <w:r>
        <w:lastRenderedPageBreak/>
        <w:t>Through</w:t>
      </w:r>
      <w:r w:rsidR="00D76326" w:rsidRPr="00D76326">
        <w:t xml:space="preserve"> various stakeholder consultation exercises undertaken as part of the process for the development of the 2021 NRI Roadmap, including a recently conducted survey, meetings and other discussion forums, industry engagement was identified as an important issue to be addressed.</w:t>
      </w:r>
    </w:p>
    <w:p w14:paraId="36E68102" w14:textId="5CD05C82" w:rsidR="00D76326" w:rsidRPr="00B70F24" w:rsidRDefault="00C06CE3" w:rsidP="00B70F24">
      <w:pPr>
        <w:pStyle w:val="Heading2"/>
        <w:spacing w:before="240" w:after="120"/>
        <w:rPr>
          <w:sz w:val="28"/>
          <w:szCs w:val="28"/>
        </w:rPr>
      </w:pPr>
      <w:r w:rsidRPr="00B70F24">
        <w:rPr>
          <w:sz w:val="28"/>
          <w:szCs w:val="28"/>
        </w:rPr>
        <w:t>Barriers impacting on industry engagement with NRI</w:t>
      </w:r>
    </w:p>
    <w:p w14:paraId="43EFE9CA" w14:textId="4079C676" w:rsidR="00D76326" w:rsidRPr="00C06CE3" w:rsidRDefault="00C06CE3" w:rsidP="00525225">
      <w:pPr>
        <w:spacing w:after="120"/>
      </w:pPr>
      <w:r>
        <w:rPr>
          <w:bCs/>
        </w:rPr>
        <w:t>S</w:t>
      </w:r>
      <w:r w:rsidRPr="00B70F24">
        <w:rPr>
          <w:bCs/>
        </w:rPr>
        <w:t>ome c</w:t>
      </w:r>
      <w:r w:rsidR="00D76326" w:rsidRPr="00B70F24">
        <w:rPr>
          <w:bCs/>
        </w:rPr>
        <w:t>ommon barriers</w:t>
      </w:r>
      <w:r w:rsidR="00D76326" w:rsidRPr="00C06CE3">
        <w:t xml:space="preserve"> to industry engagement reported include:</w:t>
      </w:r>
      <w:r w:rsidR="00D76326" w:rsidRPr="00C06CE3">
        <w:rPr>
          <w:vertAlign w:val="superscript"/>
        </w:rPr>
        <w:footnoteReference w:id="10"/>
      </w:r>
    </w:p>
    <w:p w14:paraId="29CB58AA" w14:textId="5380919F" w:rsidR="00F04CE2" w:rsidRDefault="00D76326" w:rsidP="00525225">
      <w:pPr>
        <w:numPr>
          <w:ilvl w:val="0"/>
          <w:numId w:val="10"/>
        </w:numPr>
        <w:spacing w:after="120" w:line="240" w:lineRule="auto"/>
        <w:ind w:left="714" w:hanging="357"/>
      </w:pPr>
      <w:bookmarkStart w:id="8" w:name="_Hlk78290040"/>
      <w:r w:rsidRPr="00D76326">
        <w:t>Difficulty accessing NRI due to cost, availability, time constraints, perception of preference given to researchers, not knowing how to navigate the process, issues with data management and quality</w:t>
      </w:r>
    </w:p>
    <w:p w14:paraId="56D9D4CF" w14:textId="77777777" w:rsidR="00C06CE3" w:rsidRPr="00D76326" w:rsidRDefault="00C06CE3" w:rsidP="00C06CE3">
      <w:pPr>
        <w:numPr>
          <w:ilvl w:val="0"/>
          <w:numId w:val="10"/>
        </w:numPr>
        <w:spacing w:after="120" w:line="240" w:lineRule="auto"/>
        <w:ind w:left="714" w:hanging="357"/>
      </w:pPr>
      <w:r w:rsidRPr="00D76326">
        <w:t xml:space="preserve">Poor industry visibility and understanding of NRI and how </w:t>
      </w:r>
      <w:r>
        <w:t>it</w:t>
      </w:r>
      <w:r w:rsidRPr="00D76326">
        <w:t xml:space="preserve"> can help them</w:t>
      </w:r>
    </w:p>
    <w:p w14:paraId="760818C1" w14:textId="2FFE8FEA" w:rsidR="00F04CE2" w:rsidRDefault="00F04CE2" w:rsidP="00525225">
      <w:pPr>
        <w:numPr>
          <w:ilvl w:val="0"/>
          <w:numId w:val="10"/>
        </w:numPr>
        <w:spacing w:after="120" w:line="240" w:lineRule="auto"/>
        <w:ind w:left="714" w:hanging="357"/>
      </w:pPr>
      <w:r>
        <w:t>Uncertainty about value vs cost of engagement</w:t>
      </w:r>
    </w:p>
    <w:p w14:paraId="53E3C68B" w14:textId="3E6DD830" w:rsidR="00F04CE2" w:rsidRPr="00D76326" w:rsidRDefault="00F04CE2" w:rsidP="00525225">
      <w:pPr>
        <w:numPr>
          <w:ilvl w:val="0"/>
          <w:numId w:val="10"/>
        </w:numPr>
        <w:spacing w:after="120" w:line="240" w:lineRule="auto"/>
        <w:ind w:left="714" w:hanging="357"/>
      </w:pPr>
      <w:r>
        <w:t xml:space="preserve">Lack </w:t>
      </w:r>
      <w:r w:rsidR="003A2443">
        <w:t>of</w:t>
      </w:r>
      <w:r>
        <w:t xml:space="preserve"> technical capability and expertise to engage</w:t>
      </w:r>
    </w:p>
    <w:bookmarkEnd w:id="8"/>
    <w:p w14:paraId="7A9DCFAD" w14:textId="77777777" w:rsidR="00D76326" w:rsidRPr="00D76326" w:rsidRDefault="00D76326" w:rsidP="00525225">
      <w:pPr>
        <w:numPr>
          <w:ilvl w:val="0"/>
          <w:numId w:val="10"/>
        </w:numPr>
        <w:spacing w:after="120" w:line="240" w:lineRule="auto"/>
        <w:ind w:left="714" w:hanging="357"/>
      </w:pPr>
      <w:r w:rsidRPr="00D76326">
        <w:t>Differing priorities and approaches between the research and industry sector</w:t>
      </w:r>
    </w:p>
    <w:p w14:paraId="13352825" w14:textId="77777777" w:rsidR="00D76326" w:rsidRPr="00D76326" w:rsidRDefault="00D76326" w:rsidP="00525225">
      <w:pPr>
        <w:numPr>
          <w:ilvl w:val="0"/>
          <w:numId w:val="10"/>
        </w:numPr>
        <w:spacing w:after="120" w:line="240" w:lineRule="auto"/>
        <w:ind w:left="714" w:hanging="357"/>
      </w:pPr>
      <w:r w:rsidRPr="00D76326">
        <w:t>Concerns about intellectual property and commercial sensitivities</w:t>
      </w:r>
    </w:p>
    <w:p w14:paraId="0E2F41BF" w14:textId="187227DF" w:rsidR="0012779E" w:rsidRDefault="00D76326" w:rsidP="00525225">
      <w:pPr>
        <w:numPr>
          <w:ilvl w:val="0"/>
          <w:numId w:val="10"/>
        </w:numPr>
        <w:spacing w:after="120" w:line="240" w:lineRule="auto"/>
        <w:ind w:left="714" w:hanging="357"/>
      </w:pPr>
      <w:r w:rsidRPr="00D76326">
        <w:t>Not enough standardisation and integration among NRI facilities, and between the facilities and the industry sector, including for data management and sharing.</w:t>
      </w:r>
    </w:p>
    <w:p w14:paraId="3DE5A01B" w14:textId="2F0B12F2" w:rsidR="00D76326" w:rsidRPr="00D76326" w:rsidRDefault="003E7896" w:rsidP="00525225">
      <w:pPr>
        <w:pStyle w:val="Heading2"/>
        <w:spacing w:before="240" w:after="120"/>
        <w:rPr>
          <w:sz w:val="28"/>
          <w:szCs w:val="28"/>
        </w:rPr>
      </w:pPr>
      <w:r>
        <w:rPr>
          <w:sz w:val="28"/>
          <w:szCs w:val="28"/>
        </w:rPr>
        <w:t>Some i</w:t>
      </w:r>
      <w:r w:rsidR="008A7F62">
        <w:rPr>
          <w:sz w:val="28"/>
          <w:szCs w:val="28"/>
        </w:rPr>
        <w:t>deas t</w:t>
      </w:r>
      <w:r>
        <w:rPr>
          <w:sz w:val="28"/>
          <w:szCs w:val="28"/>
        </w:rPr>
        <w:t>hat could be</w:t>
      </w:r>
      <w:r w:rsidR="008A7F62">
        <w:rPr>
          <w:sz w:val="28"/>
          <w:szCs w:val="28"/>
        </w:rPr>
        <w:t xml:space="preserve"> explore</w:t>
      </w:r>
      <w:r>
        <w:rPr>
          <w:sz w:val="28"/>
          <w:szCs w:val="28"/>
        </w:rPr>
        <w:t xml:space="preserve">d to </w:t>
      </w:r>
      <w:r w:rsidR="00C15F0E">
        <w:rPr>
          <w:sz w:val="28"/>
          <w:szCs w:val="28"/>
        </w:rPr>
        <w:t xml:space="preserve">initiate </w:t>
      </w:r>
      <w:r>
        <w:rPr>
          <w:sz w:val="28"/>
          <w:szCs w:val="28"/>
        </w:rPr>
        <w:t>discussion</w:t>
      </w:r>
      <w:r w:rsidR="003A3AA0">
        <w:rPr>
          <w:sz w:val="28"/>
          <w:szCs w:val="28"/>
        </w:rPr>
        <w:t xml:space="preserve">s and thinking </w:t>
      </w:r>
      <w:r w:rsidR="00C15F0E">
        <w:rPr>
          <w:sz w:val="28"/>
          <w:szCs w:val="28"/>
        </w:rPr>
        <w:t>around solutions</w:t>
      </w:r>
      <w:r w:rsidR="003A3AA0">
        <w:rPr>
          <w:sz w:val="28"/>
          <w:szCs w:val="28"/>
        </w:rPr>
        <w:t xml:space="preserve"> </w:t>
      </w:r>
    </w:p>
    <w:p w14:paraId="7702233D" w14:textId="0E409307" w:rsidR="00DB6953" w:rsidRPr="00B21266" w:rsidRDefault="00DB6953" w:rsidP="00525225">
      <w:pPr>
        <w:spacing w:after="120"/>
      </w:pPr>
      <w:r w:rsidRPr="00525225">
        <w:t xml:space="preserve">The Department of Education, Skills and Employment had crowd sourced ideas on improving the connection with industry and NRI earlier this year and </w:t>
      </w:r>
      <w:proofErr w:type="gramStart"/>
      <w:r w:rsidRPr="00525225">
        <w:t>a number of</w:t>
      </w:r>
      <w:proofErr w:type="gramEnd"/>
      <w:r w:rsidRPr="00525225">
        <w:t xml:space="preserve"> ideas are referenced below:</w:t>
      </w:r>
      <w:r w:rsidRPr="00B21266">
        <w:t xml:space="preserve"> </w:t>
      </w:r>
    </w:p>
    <w:p w14:paraId="2D3C1216" w14:textId="2CB1FC26" w:rsidR="00D76326" w:rsidRPr="00D76326" w:rsidRDefault="00D76326">
      <w:pPr>
        <w:numPr>
          <w:ilvl w:val="0"/>
          <w:numId w:val="12"/>
        </w:numPr>
        <w:spacing w:after="120" w:line="240" w:lineRule="auto"/>
        <w:ind w:left="714" w:hanging="357"/>
      </w:pPr>
      <w:r w:rsidRPr="00D76326">
        <w:t>Providing industry voucher programs to access NRI and visit facilities to increase visibility</w:t>
      </w:r>
      <w:r w:rsidR="00C06CE3">
        <w:t>, and relationship to similar initiatives supported by state and territory governments</w:t>
      </w:r>
      <w:r w:rsidR="00BD10E3">
        <w:t>.</w:t>
      </w:r>
    </w:p>
    <w:p w14:paraId="748EAD81" w14:textId="68F97D8F" w:rsidR="00D76326" w:rsidRPr="00692D39" w:rsidRDefault="002734FC">
      <w:pPr>
        <w:numPr>
          <w:ilvl w:val="0"/>
          <w:numId w:val="12"/>
        </w:numPr>
        <w:spacing w:after="120" w:line="240" w:lineRule="auto"/>
        <w:ind w:left="714" w:hanging="357"/>
      </w:pPr>
      <w:r w:rsidRPr="00692D39">
        <w:t>Es</w:t>
      </w:r>
      <w:r w:rsidR="00D76326" w:rsidRPr="00692D39">
        <w:t>tablishing a “broker</w:t>
      </w:r>
      <w:r w:rsidR="00E27F28" w:rsidRPr="00692D39">
        <w:t>/facilitator</w:t>
      </w:r>
      <w:r w:rsidR="00D76326" w:rsidRPr="00692D39">
        <w:t xml:space="preserve">” </w:t>
      </w:r>
      <w:r w:rsidR="00E27F28" w:rsidRPr="00692D39">
        <w:t xml:space="preserve">role, either inside each facility or </w:t>
      </w:r>
      <w:r w:rsidR="00CE6CCB" w:rsidRPr="00692D39">
        <w:t xml:space="preserve">as a </w:t>
      </w:r>
      <w:r w:rsidR="00CB4D78" w:rsidRPr="00692D39">
        <w:t xml:space="preserve">separate </w:t>
      </w:r>
      <w:r w:rsidR="00CE6CCB" w:rsidRPr="00692D39">
        <w:t xml:space="preserve">structure </w:t>
      </w:r>
      <w:r w:rsidR="00CB4D78" w:rsidRPr="00692D39">
        <w:t>representing all NRI,</w:t>
      </w:r>
      <w:r w:rsidR="00CE6CCB" w:rsidRPr="00692D39">
        <w:t xml:space="preserve"> </w:t>
      </w:r>
      <w:r w:rsidR="00D76326" w:rsidRPr="00692D39">
        <w:t xml:space="preserve">to be the point of contact for industry and partners engagement with NRI, as well as promotion and communication strategies. </w:t>
      </w:r>
    </w:p>
    <w:p w14:paraId="6F1A0267" w14:textId="22844EEC" w:rsidR="00BD10E3" w:rsidRPr="00D76326" w:rsidRDefault="00BD10E3">
      <w:pPr>
        <w:numPr>
          <w:ilvl w:val="0"/>
          <w:numId w:val="12"/>
        </w:numPr>
        <w:spacing w:after="120" w:line="240" w:lineRule="auto"/>
        <w:ind w:left="714" w:hanging="357"/>
      </w:pPr>
      <w:r>
        <w:t>Creating online platforms like a “research capability/facility navigator” to help industry to get information and connect with research sector</w:t>
      </w:r>
      <w:r w:rsidR="009C5EB4">
        <w:t xml:space="preserve"> </w:t>
      </w:r>
      <w:r w:rsidR="002734FC">
        <w:t>(</w:t>
      </w:r>
      <w:r w:rsidR="009C5EB4">
        <w:t xml:space="preserve">e.g. </w:t>
      </w:r>
      <w:r>
        <w:t>Canad</w:t>
      </w:r>
      <w:r w:rsidR="009C5EB4">
        <w:t>i</w:t>
      </w:r>
      <w:r>
        <w:t>a</w:t>
      </w:r>
      <w:r w:rsidR="009C5EB4">
        <w:t>n</w:t>
      </w:r>
      <w:r>
        <w:t xml:space="preserve"> model </w:t>
      </w:r>
      <w:hyperlink r:id="rId16" w:history="1">
        <w:r>
          <w:rPr>
            <w:rStyle w:val="Hyperlink"/>
          </w:rPr>
          <w:t>Research Facilities Navigator (innovation.ca)</w:t>
        </w:r>
      </w:hyperlink>
      <w:r w:rsidR="002734FC">
        <w:rPr>
          <w:rStyle w:val="Hyperlink"/>
        </w:rPr>
        <w:t>)</w:t>
      </w:r>
    </w:p>
    <w:p w14:paraId="20A33410" w14:textId="48D46B2E" w:rsidR="00D76326" w:rsidRPr="00D76326" w:rsidRDefault="00D76326">
      <w:pPr>
        <w:numPr>
          <w:ilvl w:val="0"/>
          <w:numId w:val="12"/>
        </w:numPr>
        <w:spacing w:after="120" w:line="240" w:lineRule="auto"/>
        <w:ind w:left="714" w:hanging="357"/>
      </w:pPr>
      <w:r w:rsidRPr="00D76326">
        <w:t xml:space="preserve">Creating frameworks to better integrate and standardise NRI to make </w:t>
      </w:r>
      <w:r w:rsidR="002734FC">
        <w:t xml:space="preserve">it </w:t>
      </w:r>
      <w:r w:rsidRPr="00D76326">
        <w:t xml:space="preserve">easier and safer for industry to engage. </w:t>
      </w:r>
    </w:p>
    <w:p w14:paraId="18A93C59" w14:textId="77777777" w:rsidR="00D76326" w:rsidRPr="00D76326" w:rsidRDefault="00D109EB" w:rsidP="00525225">
      <w:pPr>
        <w:spacing w:after="120"/>
        <w:rPr>
          <w:b/>
          <w:bCs/>
        </w:rPr>
      </w:pPr>
      <w:hyperlink r:id="rId17">
        <w:r w:rsidR="00D76326" w:rsidRPr="00D76326">
          <w:rPr>
            <w:rStyle w:val="Hyperlink"/>
          </w:rPr>
          <w:t>Greater connection and consultation for innovation</w:t>
        </w:r>
      </w:hyperlink>
      <w:r w:rsidR="00D76326" w:rsidRPr="00D76326">
        <w:t xml:space="preserve"> </w:t>
      </w:r>
    </w:p>
    <w:p w14:paraId="2F7CE40C" w14:textId="3194A1B9" w:rsidR="00D76326" w:rsidRPr="00D76326" w:rsidRDefault="00023E9B" w:rsidP="00B70F24">
      <w:pPr>
        <w:widowControl w:val="0"/>
        <w:spacing w:after="120"/>
      </w:pPr>
      <w:r>
        <w:t>“</w:t>
      </w:r>
      <w:r w:rsidR="00D76326" w:rsidRPr="00D76326">
        <w:t xml:space="preserve">We should establish regular NRI-wide virtual drop-in sessions to engage industry. NCRIS could help enable innovation by facilitating a greater connection between NRI, industry and start-ups with regular NRI-wide virtual drop-in sessions where industry people of all levels can pop in to consult with, and be directed to, infrastructure that can help them grow their business. This would also be a tool of communication and engagement to help to increase translation and commercialisation of </w:t>
      </w:r>
      <w:r w:rsidR="00D76326" w:rsidRPr="00D76326">
        <w:lastRenderedPageBreak/>
        <w:t>research. Concerted joint promotion to Industry Growth Centres, Industrial Transformation Research Hubs and other industry bodies could be targeted, along with accelerators and other bodies assisting spin-offs and start-ups.</w:t>
      </w:r>
      <w:r>
        <w:t>”</w:t>
      </w:r>
    </w:p>
    <w:p w14:paraId="65455F4C" w14:textId="77777777" w:rsidR="00D76326" w:rsidRPr="00D76326" w:rsidRDefault="00D109EB" w:rsidP="00525225">
      <w:pPr>
        <w:spacing w:after="120"/>
      </w:pPr>
      <w:hyperlink r:id="rId18">
        <w:r w:rsidR="00D76326" w:rsidRPr="00D76326">
          <w:rPr>
            <w:rStyle w:val="Hyperlink"/>
          </w:rPr>
          <w:t>Pipeline Experts, fostering a culture of collaboration by enabling product development advice to early-stage researchers</w:t>
        </w:r>
      </w:hyperlink>
      <w:r w:rsidR="00D76326" w:rsidRPr="00D76326">
        <w:t xml:space="preserve"> </w:t>
      </w:r>
    </w:p>
    <w:p w14:paraId="3165D6A1" w14:textId="0818F4D7" w:rsidR="00D76326" w:rsidRPr="00D76326" w:rsidRDefault="00023E9B" w:rsidP="00525225">
      <w:pPr>
        <w:spacing w:after="120"/>
      </w:pPr>
      <w:r>
        <w:t>“</w:t>
      </w:r>
      <w:r w:rsidR="00D76326" w:rsidRPr="00D76326">
        <w:t xml:space="preserve">Proposes to develop co-ordinated project coaching and development advice frameworks ("Pipeline Experts"), that offer free time with experienced and expert consultants and/or successfully commercialising researchers, with the aim of adding value to development projects towards better translation and commercialisation. Such an initiative would strongly complement the work of university technology transfer offices as well as </w:t>
      </w:r>
      <w:proofErr w:type="spellStart"/>
      <w:r w:rsidR="00D76326" w:rsidRPr="00D76326">
        <w:t>MTPConnect</w:t>
      </w:r>
      <w:proofErr w:type="spellEnd"/>
      <w:r w:rsidR="00D76326" w:rsidRPr="00D76326">
        <w:t xml:space="preserve">-managed support schemes by providing advice and mentoring at an earlier stage than TTOs or </w:t>
      </w:r>
      <w:proofErr w:type="spellStart"/>
      <w:r w:rsidR="00D76326" w:rsidRPr="00D76326">
        <w:t>MTPConnect</w:t>
      </w:r>
      <w:proofErr w:type="spellEnd"/>
      <w:r w:rsidR="00D76326" w:rsidRPr="00D76326">
        <w:t xml:space="preserve"> would usually examine projects.</w:t>
      </w:r>
      <w:r>
        <w:t>”</w:t>
      </w:r>
    </w:p>
    <w:p w14:paraId="1404FDCE" w14:textId="77777777" w:rsidR="00D76326" w:rsidRPr="00D76326" w:rsidRDefault="00D109EB" w:rsidP="00525225">
      <w:pPr>
        <w:spacing w:after="120"/>
      </w:pPr>
      <w:hyperlink r:id="rId19">
        <w:r w:rsidR="00D76326" w:rsidRPr="00D76326">
          <w:rPr>
            <w:rStyle w:val="Hyperlink"/>
          </w:rPr>
          <w:t>Quality Management Systems</w:t>
        </w:r>
      </w:hyperlink>
      <w:r w:rsidR="00D76326" w:rsidRPr="00D76326">
        <w:t xml:space="preserve"> </w:t>
      </w:r>
    </w:p>
    <w:p w14:paraId="1E8991DE" w14:textId="4E4483DF" w:rsidR="00D76326" w:rsidRPr="00D76326" w:rsidRDefault="00023E9B" w:rsidP="00525225">
      <w:pPr>
        <w:spacing w:after="120"/>
      </w:pPr>
      <w:r>
        <w:t>“</w:t>
      </w:r>
      <w:r w:rsidR="00D76326" w:rsidRPr="00D76326">
        <w:t>More industry would engage with NCRIS if we had better quality management frameworks in place. Many of the industries that we currently work with are happy with the levels of service and research service being offered. However, there are more segments of the market that would engage with NCRIS if some form of Quality Framework was in place.</w:t>
      </w:r>
      <w:r>
        <w:t>”</w:t>
      </w:r>
      <w:r w:rsidR="00D76326" w:rsidRPr="00D76326">
        <w:t xml:space="preserve"> </w:t>
      </w:r>
    </w:p>
    <w:p w14:paraId="1EADB6CF" w14:textId="77777777" w:rsidR="00D76326" w:rsidRPr="00D76326" w:rsidRDefault="00D109EB" w:rsidP="00525225">
      <w:pPr>
        <w:spacing w:after="120"/>
      </w:pPr>
      <w:hyperlink r:id="rId20">
        <w:r w:rsidR="00D76326" w:rsidRPr="00D76326">
          <w:rPr>
            <w:rStyle w:val="Hyperlink"/>
          </w:rPr>
          <w:t>Enabling Remote Access to Instruments</w:t>
        </w:r>
      </w:hyperlink>
      <w:r w:rsidR="00D76326" w:rsidRPr="00D76326">
        <w:t xml:space="preserve"> </w:t>
      </w:r>
    </w:p>
    <w:p w14:paraId="094AEFC8" w14:textId="4C966902" w:rsidR="00D76326" w:rsidRPr="00D76326" w:rsidRDefault="00156C6B" w:rsidP="00525225">
      <w:pPr>
        <w:spacing w:after="120"/>
      </w:pPr>
      <w:r>
        <w:t>‘</w:t>
      </w:r>
      <w:r w:rsidR="00D76326" w:rsidRPr="00D76326">
        <w:t>Models of access are still primarily based on operation at the instrument’s location, however, changing technology can support improvements in remote access with courier delivery of samples, remote operation of the instrument and data management processes. Enabling remote access to instruments</w:t>
      </w:r>
      <w:r w:rsidR="00B65273">
        <w:t xml:space="preserve"> can</w:t>
      </w:r>
      <w:r w:rsidR="00D76326" w:rsidRPr="00D76326">
        <w:t xml:space="preserve"> increase efficiencies, reduce </w:t>
      </w:r>
      <w:r w:rsidR="00B65273" w:rsidRPr="00D76326">
        <w:t xml:space="preserve">travelling </w:t>
      </w:r>
      <w:r w:rsidR="00D76326" w:rsidRPr="00D76326">
        <w:t>costs</w:t>
      </w:r>
      <w:r w:rsidR="009D2BDE">
        <w:t>,</w:t>
      </w:r>
      <w:r w:rsidR="00D76326" w:rsidRPr="00D76326">
        <w:t xml:space="preserve"> and </w:t>
      </w:r>
      <w:r w:rsidR="00B65273">
        <w:t>increase</w:t>
      </w:r>
      <w:r w:rsidR="00D76326" w:rsidRPr="00D76326">
        <w:t xml:space="preserve"> access </w:t>
      </w:r>
      <w:r w:rsidR="008B3215">
        <w:t>for</w:t>
      </w:r>
      <w:r w:rsidR="00D76326" w:rsidRPr="00D76326">
        <w:t xml:space="preserve"> multiple parties.</w:t>
      </w:r>
      <w:r>
        <w:t xml:space="preserve"> It can also </w:t>
      </w:r>
      <w:r w:rsidR="009D2BDE">
        <w:t xml:space="preserve">increase sovereign capability in times of </w:t>
      </w:r>
      <w:proofErr w:type="gramStart"/>
      <w:r w:rsidR="009D2BDE">
        <w:t>crisis.</w:t>
      </w:r>
      <w:r>
        <w:t>‘</w:t>
      </w:r>
      <w:proofErr w:type="gramEnd"/>
    </w:p>
    <w:p w14:paraId="5BB17376" w14:textId="77777777" w:rsidR="00C03D93" w:rsidRDefault="00C03D93" w:rsidP="00525225">
      <w:pPr>
        <w:spacing w:after="120"/>
      </w:pPr>
    </w:p>
    <w:p w14:paraId="68219C7E" w14:textId="77777777" w:rsidR="00EF09B1" w:rsidRPr="00EF09B1" w:rsidRDefault="00EF09B1" w:rsidP="00525225">
      <w:pPr>
        <w:spacing w:after="120"/>
      </w:pPr>
    </w:p>
    <w:sectPr w:rsidR="00EF09B1" w:rsidRPr="00EF09B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75822" w14:textId="77777777" w:rsidR="00D109EB" w:rsidRDefault="00D109EB" w:rsidP="00D76326">
      <w:pPr>
        <w:spacing w:after="0" w:line="240" w:lineRule="auto"/>
      </w:pPr>
      <w:r>
        <w:separator/>
      </w:r>
    </w:p>
  </w:endnote>
  <w:endnote w:type="continuationSeparator" w:id="0">
    <w:p w14:paraId="67164DBA" w14:textId="77777777" w:rsidR="00D109EB" w:rsidRDefault="00D109EB" w:rsidP="00D7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pid C1 Light">
    <w:altName w:val="Corpid C1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310395"/>
      <w:docPartObj>
        <w:docPartGallery w:val="Page Numbers (Bottom of Page)"/>
        <w:docPartUnique/>
      </w:docPartObj>
    </w:sdtPr>
    <w:sdtEndPr>
      <w:rPr>
        <w:noProof/>
      </w:rPr>
    </w:sdtEndPr>
    <w:sdtContent>
      <w:p w14:paraId="0F8F76F8" w14:textId="12369A87" w:rsidR="005542CB" w:rsidRDefault="005542CB">
        <w:pPr>
          <w:pStyle w:val="Footer"/>
          <w:jc w:val="right"/>
        </w:pPr>
        <w:r>
          <w:fldChar w:fldCharType="begin"/>
        </w:r>
        <w:r>
          <w:instrText xml:space="preserve"> PAGE   \* MERGEFORMAT </w:instrText>
        </w:r>
        <w:r>
          <w:fldChar w:fldCharType="separate"/>
        </w:r>
        <w:r w:rsidR="00DC76D8">
          <w:rPr>
            <w:noProof/>
          </w:rPr>
          <w:t>1</w:t>
        </w:r>
        <w:r>
          <w:rPr>
            <w:noProof/>
          </w:rPr>
          <w:fldChar w:fldCharType="end"/>
        </w:r>
      </w:p>
    </w:sdtContent>
  </w:sdt>
  <w:p w14:paraId="372A6675" w14:textId="77777777" w:rsidR="005542CB" w:rsidRDefault="0055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1D8F" w14:textId="77777777" w:rsidR="00D109EB" w:rsidRDefault="00D109EB" w:rsidP="00D76326">
      <w:pPr>
        <w:spacing w:after="0" w:line="240" w:lineRule="auto"/>
      </w:pPr>
      <w:r>
        <w:separator/>
      </w:r>
    </w:p>
  </w:footnote>
  <w:footnote w:type="continuationSeparator" w:id="0">
    <w:p w14:paraId="620EA902" w14:textId="77777777" w:rsidR="00D109EB" w:rsidRDefault="00D109EB" w:rsidP="00D76326">
      <w:pPr>
        <w:spacing w:after="0" w:line="240" w:lineRule="auto"/>
      </w:pPr>
      <w:r>
        <w:continuationSeparator/>
      </w:r>
    </w:p>
  </w:footnote>
  <w:footnote w:id="1">
    <w:p w14:paraId="343CBECB" w14:textId="02E7F006" w:rsidR="007B25C4" w:rsidRDefault="007B25C4">
      <w:pPr>
        <w:pStyle w:val="FootnoteText"/>
      </w:pPr>
      <w:r>
        <w:rPr>
          <w:rStyle w:val="FootnoteReference"/>
        </w:rPr>
        <w:footnoteRef/>
      </w:r>
      <w:r>
        <w:t xml:space="preserve"> </w:t>
      </w:r>
      <w:proofErr w:type="spellStart"/>
      <w:r>
        <w:rPr>
          <w:rFonts w:cs="Corpid C1 Light"/>
          <w:color w:val="000000"/>
          <w:sz w:val="18"/>
          <w:szCs w:val="18"/>
        </w:rPr>
        <w:t>Verreynne</w:t>
      </w:r>
      <w:proofErr w:type="spellEnd"/>
      <w:r>
        <w:rPr>
          <w:rFonts w:cs="Corpid C1 Light"/>
          <w:color w:val="000000"/>
          <w:sz w:val="18"/>
          <w:szCs w:val="18"/>
        </w:rPr>
        <w:t xml:space="preserve"> M., Torres de Oliveira R., Mention A.-L. (with contributions from Lay J., Nguyen T., Ferraro S. and </w:t>
      </w:r>
      <w:proofErr w:type="spellStart"/>
      <w:r>
        <w:rPr>
          <w:rFonts w:cs="Corpid C1 Light"/>
          <w:color w:val="000000"/>
          <w:sz w:val="18"/>
          <w:szCs w:val="18"/>
        </w:rPr>
        <w:t>Machirori</w:t>
      </w:r>
      <w:proofErr w:type="spellEnd"/>
      <w:r>
        <w:rPr>
          <w:rFonts w:cs="Corpid C1 Light"/>
          <w:color w:val="000000"/>
          <w:sz w:val="18"/>
          <w:szCs w:val="18"/>
        </w:rPr>
        <w:t>, T.L.) (2021) Enablers and barriers to industry</w:t>
      </w:r>
      <w:r>
        <w:rPr>
          <w:rFonts w:cs="Corpid C1 Light"/>
          <w:color w:val="000000"/>
          <w:sz w:val="18"/>
          <w:szCs w:val="18"/>
        </w:rPr>
        <w:noBreakHyphen/>
        <w:t>research collaboration: A small and medium sized enterprise perspective. CSIRO, Australia.</w:t>
      </w:r>
    </w:p>
  </w:footnote>
  <w:footnote w:id="2">
    <w:p w14:paraId="22E522D6" w14:textId="2AC279D1" w:rsidR="007B25C4" w:rsidRDefault="007B25C4">
      <w:pPr>
        <w:pStyle w:val="FootnoteText"/>
      </w:pPr>
      <w:r>
        <w:rPr>
          <w:rStyle w:val="FootnoteReference"/>
        </w:rPr>
        <w:footnoteRef/>
      </w:r>
      <w:r>
        <w:t xml:space="preserve"> </w:t>
      </w:r>
      <w:r>
        <w:rPr>
          <w:rFonts w:cs="Corpid C1 Light"/>
          <w:color w:val="000000"/>
          <w:sz w:val="18"/>
          <w:szCs w:val="18"/>
        </w:rPr>
        <w:t xml:space="preserve">Xu, D. (2013). Research on improving the technological innovation capability of SMEs by university-industry collaboration. </w:t>
      </w:r>
      <w:r>
        <w:rPr>
          <w:rFonts w:cs="Corpid C1 Light"/>
          <w:i/>
          <w:iCs/>
          <w:color w:val="000000"/>
          <w:sz w:val="18"/>
          <w:szCs w:val="18"/>
        </w:rPr>
        <w:t>Journal of Engineering Science and Technology Review</w:t>
      </w:r>
      <w:r>
        <w:rPr>
          <w:rFonts w:cs="Corpid C1 Light"/>
          <w:color w:val="000000"/>
          <w:sz w:val="18"/>
          <w:szCs w:val="18"/>
        </w:rPr>
        <w:t>, 6(2), 100–104.</w:t>
      </w:r>
    </w:p>
  </w:footnote>
  <w:footnote w:id="3">
    <w:p w14:paraId="2B8032E0" w14:textId="3C8D0AD6" w:rsidR="007B25C4" w:rsidRDefault="007B25C4">
      <w:pPr>
        <w:pStyle w:val="FootnoteText"/>
      </w:pPr>
      <w:r>
        <w:rPr>
          <w:rStyle w:val="FootnoteReference"/>
        </w:rPr>
        <w:footnoteRef/>
      </w:r>
      <w:r>
        <w:t xml:space="preserve"> </w:t>
      </w:r>
      <w:r>
        <w:rPr>
          <w:rFonts w:cs="Corpid C1 Light"/>
          <w:color w:val="000000"/>
          <w:sz w:val="18"/>
          <w:szCs w:val="18"/>
        </w:rPr>
        <w:t xml:space="preserve">Oduro, S. (2019). Examining open innovation practices in low-tech SMEs: Insights from an emerging market. </w:t>
      </w:r>
      <w:r>
        <w:rPr>
          <w:rFonts w:cs="Corpid C1 Light"/>
          <w:i/>
          <w:iCs/>
          <w:color w:val="000000"/>
          <w:sz w:val="18"/>
          <w:szCs w:val="18"/>
        </w:rPr>
        <w:t xml:space="preserve">Journal of Science and Technology Policy Management, </w:t>
      </w:r>
      <w:r>
        <w:rPr>
          <w:rFonts w:cs="Corpid C1 Light"/>
          <w:color w:val="000000"/>
          <w:sz w:val="18"/>
          <w:szCs w:val="18"/>
        </w:rPr>
        <w:t>10, 509–532.</w:t>
      </w:r>
    </w:p>
  </w:footnote>
  <w:footnote w:id="4">
    <w:p w14:paraId="27774BE3" w14:textId="433D0C98" w:rsidR="007B25C4" w:rsidRDefault="007B25C4">
      <w:pPr>
        <w:pStyle w:val="FootnoteText"/>
      </w:pPr>
      <w:r>
        <w:rPr>
          <w:rStyle w:val="FootnoteReference"/>
        </w:rPr>
        <w:footnoteRef/>
      </w:r>
      <w:r>
        <w:t xml:space="preserve"> </w:t>
      </w:r>
      <w:r>
        <w:rPr>
          <w:rFonts w:cs="Corpid C1 Light"/>
          <w:color w:val="000000"/>
          <w:sz w:val="18"/>
          <w:szCs w:val="18"/>
        </w:rPr>
        <w:t xml:space="preserve">Bellini, E., </w:t>
      </w:r>
      <w:proofErr w:type="spellStart"/>
      <w:r>
        <w:rPr>
          <w:rFonts w:cs="Corpid C1 Light"/>
          <w:color w:val="000000"/>
          <w:sz w:val="18"/>
          <w:szCs w:val="18"/>
        </w:rPr>
        <w:t>Piroli</w:t>
      </w:r>
      <w:proofErr w:type="spellEnd"/>
      <w:r>
        <w:rPr>
          <w:rFonts w:cs="Corpid C1 Light"/>
          <w:color w:val="000000"/>
          <w:sz w:val="18"/>
          <w:szCs w:val="18"/>
        </w:rPr>
        <w:t xml:space="preserve">, G., and </w:t>
      </w:r>
      <w:proofErr w:type="spellStart"/>
      <w:r>
        <w:rPr>
          <w:rFonts w:cs="Corpid C1 Light"/>
          <w:color w:val="000000"/>
          <w:sz w:val="18"/>
          <w:szCs w:val="18"/>
        </w:rPr>
        <w:t>Pennacchio</w:t>
      </w:r>
      <w:proofErr w:type="spellEnd"/>
      <w:r>
        <w:rPr>
          <w:rFonts w:cs="Corpid C1 Light"/>
          <w:color w:val="000000"/>
          <w:sz w:val="18"/>
          <w:szCs w:val="18"/>
        </w:rPr>
        <w:t xml:space="preserve">, L. (2019). Collaborative know-how and trust in university–industry collaborations: Empirical evidence from ICT firms. </w:t>
      </w:r>
      <w:r>
        <w:rPr>
          <w:rFonts w:cs="Corpid C1 Light"/>
          <w:i/>
          <w:iCs/>
          <w:color w:val="000000"/>
          <w:sz w:val="18"/>
          <w:szCs w:val="18"/>
        </w:rPr>
        <w:t xml:space="preserve">Journal of Technology Transfer, </w:t>
      </w:r>
      <w:r>
        <w:rPr>
          <w:rFonts w:cs="Corpid C1 Light"/>
          <w:color w:val="000000"/>
          <w:sz w:val="18"/>
          <w:szCs w:val="18"/>
        </w:rPr>
        <w:t>44(6), 1939–1963.</w:t>
      </w:r>
    </w:p>
  </w:footnote>
  <w:footnote w:id="5">
    <w:p w14:paraId="2465DE60" w14:textId="7A4013B5" w:rsidR="00F76FF3" w:rsidRDefault="00D76326" w:rsidP="00C95869">
      <w:pPr>
        <w:pStyle w:val="FootnoteText"/>
        <w:spacing w:after="40"/>
        <w:rPr>
          <w:rFonts w:eastAsia="Calibri" w:cstheme="minorHAnsi"/>
          <w:sz w:val="16"/>
          <w:szCs w:val="16"/>
        </w:rPr>
      </w:pPr>
      <w:r w:rsidRPr="00E354A0">
        <w:rPr>
          <w:rStyle w:val="FootnoteReference"/>
          <w:rFonts w:cstheme="minorHAnsi"/>
          <w:sz w:val="16"/>
          <w:szCs w:val="16"/>
        </w:rPr>
        <w:footnoteRef/>
      </w:r>
      <w:r w:rsidR="00E354A0">
        <w:rPr>
          <w:rFonts w:eastAsia="Calibri" w:cstheme="minorHAnsi"/>
          <w:sz w:val="16"/>
          <w:szCs w:val="16"/>
        </w:rPr>
        <w:t xml:space="preserve"> </w:t>
      </w:r>
      <w:r w:rsidR="00E354A0" w:rsidRPr="005542CB">
        <w:rPr>
          <w:rFonts w:eastAsia="Calibri" w:cstheme="minorHAnsi"/>
          <w:sz w:val="16"/>
          <w:szCs w:val="16"/>
        </w:rPr>
        <w:t>NCRIS census 2018</w:t>
      </w:r>
      <w:r w:rsidR="00692D39">
        <w:rPr>
          <w:rFonts w:eastAsia="Calibri" w:cstheme="minorHAnsi"/>
          <w:sz w:val="16"/>
          <w:szCs w:val="16"/>
        </w:rPr>
        <w:t xml:space="preserve"> – 2019 Unpublished</w:t>
      </w:r>
      <w:r w:rsidR="00692D39" w:rsidRPr="005542CB">
        <w:rPr>
          <w:rFonts w:eastAsia="Calibri" w:cstheme="minorHAnsi"/>
          <w:sz w:val="16"/>
          <w:szCs w:val="16"/>
        </w:rPr>
        <w:t>.</w:t>
      </w:r>
      <w:r w:rsidR="00E354A0" w:rsidRPr="005542CB">
        <w:rPr>
          <w:rFonts w:eastAsia="Calibri" w:cstheme="minorHAnsi"/>
          <w:sz w:val="16"/>
          <w:szCs w:val="16"/>
        </w:rPr>
        <w:t xml:space="preserve"> </w:t>
      </w:r>
    </w:p>
    <w:p w14:paraId="569702E2" w14:textId="5FDF8287" w:rsidR="00D76326" w:rsidRPr="005542CB" w:rsidRDefault="00692D39" w:rsidP="00C95869">
      <w:pPr>
        <w:pStyle w:val="FootnoteText"/>
        <w:spacing w:after="40"/>
        <w:rPr>
          <w:rFonts w:eastAsia="Calibri" w:cstheme="minorHAnsi"/>
          <w:sz w:val="16"/>
          <w:szCs w:val="16"/>
        </w:rPr>
      </w:pPr>
      <w:r w:rsidRPr="006F6FC6">
        <w:rPr>
          <w:rFonts w:eastAsia="Calibri" w:cstheme="minorHAnsi"/>
          <w:sz w:val="16"/>
          <w:szCs w:val="16"/>
          <w:vertAlign w:val="superscript"/>
        </w:rPr>
        <w:t>6</w:t>
      </w:r>
      <w:r>
        <w:rPr>
          <w:rFonts w:eastAsia="Calibri" w:cstheme="minorHAnsi"/>
          <w:sz w:val="16"/>
          <w:szCs w:val="16"/>
        </w:rPr>
        <w:t xml:space="preserve"> </w:t>
      </w:r>
      <w:r w:rsidR="00E354A0" w:rsidRPr="005542CB">
        <w:rPr>
          <w:rFonts w:eastAsia="Calibri" w:cstheme="minorHAnsi"/>
          <w:sz w:val="16"/>
          <w:szCs w:val="16"/>
        </w:rPr>
        <w:t xml:space="preserve">ABS Research and Experimental Development Australia, Higher Education Organisations, Businesses, Government and Private Non-Profit Organisations, Australia. </w:t>
      </w:r>
      <w:hyperlink r:id="rId1" w:history="1">
        <w:r w:rsidR="00E354A0" w:rsidRPr="005542CB">
          <w:rPr>
            <w:rStyle w:val="Hyperlink"/>
            <w:rFonts w:eastAsia="Calibri" w:cstheme="minorHAnsi"/>
            <w:sz w:val="16"/>
            <w:szCs w:val="16"/>
          </w:rPr>
          <w:t>https://www.abs.gov.au/statistics/industry/technology-and-innovation</w:t>
        </w:r>
      </w:hyperlink>
    </w:p>
  </w:footnote>
  <w:footnote w:id="6">
    <w:p w14:paraId="0A93DC92" w14:textId="65FC6801" w:rsidR="00440876" w:rsidRPr="005542CB" w:rsidRDefault="00440876" w:rsidP="00440876">
      <w:pPr>
        <w:pStyle w:val="FootnoteText"/>
        <w:spacing w:after="40"/>
        <w:rPr>
          <w:sz w:val="16"/>
          <w:szCs w:val="16"/>
        </w:rPr>
      </w:pPr>
      <w:r w:rsidRPr="005542CB">
        <w:rPr>
          <w:rFonts w:cs="Corpid C1 Light"/>
          <w:color w:val="000000"/>
          <w:sz w:val="16"/>
          <w:szCs w:val="16"/>
        </w:rPr>
        <w:t>ABS (2019) Counts of Australian businesses, including entries and exits. Australian Bureau of Statistics.</w:t>
      </w:r>
    </w:p>
  </w:footnote>
  <w:footnote w:id="7">
    <w:p w14:paraId="536E2071" w14:textId="77777777" w:rsidR="001F7F2C" w:rsidRPr="005542CB" w:rsidRDefault="001F7F2C" w:rsidP="001F7F2C">
      <w:pPr>
        <w:pStyle w:val="FootnoteText"/>
        <w:rPr>
          <w:sz w:val="16"/>
          <w:szCs w:val="16"/>
        </w:rPr>
      </w:pPr>
      <w:r w:rsidRPr="005542CB">
        <w:rPr>
          <w:rStyle w:val="FootnoteReference"/>
          <w:sz w:val="16"/>
          <w:szCs w:val="16"/>
        </w:rPr>
        <w:footnoteRef/>
      </w:r>
      <w:r w:rsidRPr="005542CB">
        <w:rPr>
          <w:sz w:val="16"/>
          <w:szCs w:val="16"/>
        </w:rPr>
        <w:t xml:space="preserve"> </w:t>
      </w:r>
      <w:r w:rsidRPr="005542CB">
        <w:rPr>
          <w:rFonts w:cs="Corpid C1 Light"/>
          <w:color w:val="000000"/>
          <w:sz w:val="16"/>
          <w:szCs w:val="16"/>
        </w:rPr>
        <w:t xml:space="preserve">OECD (2017). Science, </w:t>
      </w:r>
      <w:proofErr w:type="gramStart"/>
      <w:r w:rsidRPr="005542CB">
        <w:rPr>
          <w:rFonts w:cs="Corpid C1 Light"/>
          <w:color w:val="000000"/>
          <w:sz w:val="16"/>
          <w:szCs w:val="16"/>
        </w:rPr>
        <w:t>Technology</w:t>
      </w:r>
      <w:proofErr w:type="gramEnd"/>
      <w:r w:rsidRPr="005542CB">
        <w:rPr>
          <w:rFonts w:cs="Corpid C1 Light"/>
          <w:color w:val="000000"/>
          <w:sz w:val="16"/>
          <w:szCs w:val="16"/>
        </w:rPr>
        <w:t xml:space="preserve"> and Industry Scoreboard 2017: The Digital Transformation, OECD Publishing, Paris </w:t>
      </w:r>
    </w:p>
  </w:footnote>
  <w:footnote w:id="8">
    <w:p w14:paraId="7A5675D6" w14:textId="77777777" w:rsidR="00D76326" w:rsidRPr="005542CB" w:rsidRDefault="00D76326" w:rsidP="00C95869">
      <w:pPr>
        <w:pStyle w:val="FootnoteText"/>
        <w:spacing w:after="40"/>
        <w:rPr>
          <w:rFonts w:eastAsia="Calibri" w:cstheme="minorHAnsi"/>
          <w:color w:val="008080"/>
          <w:sz w:val="16"/>
          <w:szCs w:val="16"/>
          <w:u w:val="single"/>
        </w:rPr>
      </w:pPr>
      <w:r w:rsidRPr="005542CB">
        <w:rPr>
          <w:rStyle w:val="FootnoteReference"/>
          <w:rFonts w:cstheme="minorHAnsi"/>
          <w:sz w:val="16"/>
          <w:szCs w:val="16"/>
        </w:rPr>
        <w:footnoteRef/>
      </w:r>
      <w:r w:rsidRPr="005542CB">
        <w:rPr>
          <w:rFonts w:cstheme="minorHAnsi"/>
          <w:sz w:val="16"/>
          <w:szCs w:val="16"/>
        </w:rPr>
        <w:t xml:space="preserve"> </w:t>
      </w:r>
      <w:r w:rsidRPr="005542CB">
        <w:rPr>
          <w:rFonts w:eastAsia="Calibri" w:cstheme="minorHAnsi"/>
          <w:color w:val="008080"/>
          <w:sz w:val="16"/>
          <w:szCs w:val="16"/>
          <w:u w:val="single"/>
        </w:rPr>
        <w:t>2020 Global Innovation Index (GII)</w:t>
      </w:r>
    </w:p>
  </w:footnote>
  <w:footnote w:id="9">
    <w:p w14:paraId="61F38C80" w14:textId="77777777" w:rsidR="00D76326" w:rsidRPr="005542CB" w:rsidRDefault="00D76326" w:rsidP="00C95869">
      <w:pPr>
        <w:spacing w:after="40" w:line="240" w:lineRule="auto"/>
        <w:rPr>
          <w:rFonts w:cstheme="minorHAnsi"/>
          <w:sz w:val="16"/>
          <w:szCs w:val="16"/>
        </w:rPr>
      </w:pPr>
      <w:r w:rsidRPr="005542CB">
        <w:rPr>
          <w:rStyle w:val="FootnoteReference"/>
          <w:rFonts w:cstheme="minorHAnsi"/>
          <w:sz w:val="16"/>
          <w:szCs w:val="16"/>
        </w:rPr>
        <w:footnoteRef/>
      </w:r>
      <w:r w:rsidRPr="005542CB">
        <w:rPr>
          <w:rFonts w:cstheme="minorHAnsi"/>
          <w:sz w:val="16"/>
          <w:szCs w:val="16"/>
        </w:rPr>
        <w:t xml:space="preserve"> </w:t>
      </w:r>
      <w:bookmarkStart w:id="7" w:name="_Hlk77673096"/>
      <w:r w:rsidRPr="005542CB">
        <w:rPr>
          <w:rFonts w:cstheme="minorHAnsi"/>
          <w:sz w:val="16"/>
          <w:szCs w:val="16"/>
        </w:rPr>
        <w:t xml:space="preserve">RMIT and CSIRO, </w:t>
      </w:r>
      <w:r w:rsidRPr="005542CB">
        <w:rPr>
          <w:rFonts w:cstheme="minorHAnsi"/>
          <w:i/>
          <w:iCs/>
          <w:sz w:val="16"/>
          <w:szCs w:val="16"/>
        </w:rPr>
        <w:t>Industry-</w:t>
      </w:r>
      <w:proofErr w:type="gramStart"/>
      <w:r w:rsidRPr="005542CB">
        <w:rPr>
          <w:rFonts w:cstheme="minorHAnsi"/>
          <w:i/>
          <w:iCs/>
          <w:sz w:val="16"/>
          <w:szCs w:val="16"/>
        </w:rPr>
        <w:t>university</w:t>
      </w:r>
      <w:proofErr w:type="gramEnd"/>
      <w:r w:rsidRPr="005542CB">
        <w:rPr>
          <w:rFonts w:cstheme="minorHAnsi"/>
          <w:i/>
          <w:iCs/>
          <w:sz w:val="16"/>
          <w:szCs w:val="16"/>
        </w:rPr>
        <w:t xml:space="preserve"> and research institute collaboration: A small and medium sized enterprise perspective, 2021.</w:t>
      </w:r>
      <w:bookmarkEnd w:id="7"/>
    </w:p>
  </w:footnote>
  <w:footnote w:id="10">
    <w:p w14:paraId="52D5A2C7" w14:textId="76866C84" w:rsidR="00D76326" w:rsidRPr="00E354A0" w:rsidRDefault="00D76326" w:rsidP="00C95869">
      <w:pPr>
        <w:pStyle w:val="FootnoteText"/>
        <w:spacing w:after="40"/>
        <w:rPr>
          <w:rFonts w:cstheme="minorHAnsi"/>
          <w:sz w:val="16"/>
          <w:szCs w:val="16"/>
        </w:rPr>
      </w:pPr>
      <w:r w:rsidRPr="00E354A0">
        <w:rPr>
          <w:rStyle w:val="FootnoteReference"/>
          <w:rFonts w:cstheme="minorHAnsi"/>
          <w:sz w:val="16"/>
          <w:szCs w:val="16"/>
        </w:rPr>
        <w:footnoteRef/>
      </w:r>
      <w:r w:rsidRPr="00E354A0">
        <w:rPr>
          <w:rFonts w:cstheme="minorHAnsi"/>
          <w:sz w:val="16"/>
          <w:szCs w:val="16"/>
        </w:rPr>
        <w:t xml:space="preserve"> 2021 NRI Roadmap Survey</w:t>
      </w:r>
    </w:p>
    <w:p w14:paraId="70C7779B" w14:textId="2F447044" w:rsidR="00C95869" w:rsidRPr="006F6FC6" w:rsidRDefault="00E354A0" w:rsidP="00C95869">
      <w:pPr>
        <w:pStyle w:val="FootnoteText"/>
        <w:spacing w:after="40"/>
        <w:rPr>
          <w:rFonts w:cstheme="minorHAnsi"/>
          <w:sz w:val="16"/>
          <w:szCs w:val="16"/>
        </w:rPr>
      </w:pPr>
      <w:proofErr w:type="spellStart"/>
      <w:r w:rsidRPr="006F6FC6">
        <w:rPr>
          <w:rFonts w:cstheme="minorHAnsi"/>
          <w:sz w:val="16"/>
          <w:szCs w:val="16"/>
        </w:rPr>
        <w:t>Verreynne</w:t>
      </w:r>
      <w:proofErr w:type="spellEnd"/>
      <w:r w:rsidRPr="006F6FC6">
        <w:rPr>
          <w:rFonts w:cstheme="minorHAnsi"/>
          <w:sz w:val="16"/>
          <w:szCs w:val="16"/>
        </w:rPr>
        <w:t xml:space="preserve"> M., Torres de Oliveira R., Mention A.-L. (with contributions from Lay J., Nguyen T., Ferraro S. and </w:t>
      </w:r>
      <w:proofErr w:type="spellStart"/>
      <w:r w:rsidRPr="006F6FC6">
        <w:rPr>
          <w:rFonts w:cstheme="minorHAnsi"/>
          <w:sz w:val="16"/>
          <w:szCs w:val="16"/>
        </w:rPr>
        <w:t>Machirori</w:t>
      </w:r>
      <w:proofErr w:type="spellEnd"/>
      <w:r w:rsidRPr="006F6FC6">
        <w:rPr>
          <w:rFonts w:cstheme="minorHAnsi"/>
          <w:sz w:val="16"/>
          <w:szCs w:val="16"/>
        </w:rPr>
        <w:t>, T.L.) (2021) Enablers and barriers to industry</w:t>
      </w:r>
      <w:r w:rsidRPr="006F6FC6">
        <w:rPr>
          <w:rFonts w:ascii="Cambria Math" w:hAnsi="Cambria Math" w:cs="Cambria Math"/>
          <w:sz w:val="16"/>
          <w:szCs w:val="16"/>
        </w:rPr>
        <w:t>‑</w:t>
      </w:r>
      <w:r w:rsidRPr="006F6FC6">
        <w:rPr>
          <w:rFonts w:cstheme="minorHAnsi"/>
          <w:sz w:val="16"/>
          <w:szCs w:val="16"/>
        </w:rPr>
        <w:t>research collaboration: A small and medium sized enterprise perspective. CSIRO, Australia.</w:t>
      </w:r>
    </w:p>
    <w:p w14:paraId="5F4BB5B3" w14:textId="7685E207" w:rsidR="00E354A0" w:rsidRPr="00E354A0" w:rsidRDefault="00E354A0" w:rsidP="00C95869">
      <w:pPr>
        <w:pStyle w:val="FootnoteText"/>
        <w:spacing w:after="40"/>
        <w:rPr>
          <w:rFonts w:cstheme="minorHAnsi"/>
          <w:sz w:val="16"/>
          <w:szCs w:val="16"/>
        </w:rPr>
      </w:pPr>
      <w:r w:rsidRPr="006F6FC6">
        <w:rPr>
          <w:rFonts w:cstheme="minorHAnsi"/>
          <w:sz w:val="16"/>
          <w:szCs w:val="16"/>
        </w:rPr>
        <w:t xml:space="preserve">Australian Government, Department of Industry, Science, Energy and Resources (2017) </w:t>
      </w:r>
      <w:r w:rsidRPr="006F6FC6">
        <w:rPr>
          <w:rFonts w:cstheme="minorHAnsi"/>
          <w:i/>
          <w:sz w:val="16"/>
          <w:szCs w:val="16"/>
        </w:rPr>
        <w:t>Business Research Collaboration User Centred Design Project</w:t>
      </w:r>
      <w:r w:rsidRPr="006F6FC6">
        <w:rPr>
          <w:rFonts w:cstheme="minorHAnsi"/>
          <w:sz w:val="16"/>
          <w:szCs w:val="16"/>
        </w:rPr>
        <w:t xml:space="preserve">, Discovery and Create reports, published at </w:t>
      </w:r>
      <w:hyperlink r:id="rId2" w:history="1">
        <w:r w:rsidRPr="006F6FC6">
          <w:rPr>
            <w:rStyle w:val="Hyperlink"/>
            <w:rFonts w:cstheme="minorHAnsi"/>
            <w:sz w:val="16"/>
            <w:szCs w:val="16"/>
          </w:rPr>
          <w:t>https://www.industry.gov.au/data-and-publications/business-research-collaboration-user-centred-design-project</w:t>
        </w:r>
      </w:hyperlink>
      <w:r w:rsidRPr="00E354A0">
        <w:rPr>
          <w:rFonts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4BBD" w14:textId="7C0AB2F8" w:rsidR="00BC7D0C" w:rsidRDefault="00BC7D0C">
    <w:pPr>
      <w:pStyle w:val="Header"/>
      <w:jc w:val="right"/>
    </w:pPr>
  </w:p>
  <w:p w14:paraId="254D35D0" w14:textId="77777777" w:rsidR="00BC7D0C" w:rsidRDefault="00BC7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33369"/>
    <w:multiLevelType w:val="hybridMultilevel"/>
    <w:tmpl w:val="07967ABE"/>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9A07E69"/>
    <w:multiLevelType w:val="hybridMultilevel"/>
    <w:tmpl w:val="AA924CB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 w15:restartNumberingAfterBreak="0">
    <w:nsid w:val="0B9D3AFB"/>
    <w:multiLevelType w:val="hybridMultilevel"/>
    <w:tmpl w:val="ECAAF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30ACB"/>
    <w:multiLevelType w:val="hybridMultilevel"/>
    <w:tmpl w:val="FFEA6206"/>
    <w:lvl w:ilvl="0" w:tplc="868E93C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22734F0F"/>
    <w:multiLevelType w:val="hybridMultilevel"/>
    <w:tmpl w:val="7F64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BE35D5"/>
    <w:multiLevelType w:val="hybridMultilevel"/>
    <w:tmpl w:val="BB5E8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8211C"/>
    <w:multiLevelType w:val="hybridMultilevel"/>
    <w:tmpl w:val="C5C2332E"/>
    <w:lvl w:ilvl="0" w:tplc="2FE2629E">
      <w:start w:val="5"/>
      <w:numFmt w:val="bullet"/>
      <w:lvlText w:val="-"/>
      <w:lvlJc w:val="left"/>
      <w:pPr>
        <w:ind w:left="360" w:hanging="360"/>
      </w:pPr>
      <w:rPr>
        <w:rFonts w:ascii="Calibri" w:eastAsia="Times New Roman"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70E70D1"/>
    <w:multiLevelType w:val="hybridMultilevel"/>
    <w:tmpl w:val="949802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D9D1DF3"/>
    <w:multiLevelType w:val="hybridMultilevel"/>
    <w:tmpl w:val="6FD243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7D32CC"/>
    <w:multiLevelType w:val="hybridMultilevel"/>
    <w:tmpl w:val="7F926420"/>
    <w:lvl w:ilvl="0" w:tplc="79089CE4">
      <w:start w:val="1"/>
      <w:numFmt w:val="bullet"/>
      <w:lvlText w:val=""/>
      <w:lvlJc w:val="left"/>
      <w:pPr>
        <w:ind w:left="1080" w:hanging="360"/>
      </w:pPr>
      <w:rPr>
        <w:rFonts w:ascii="Symbol" w:hAnsi="Symbol" w:hint="default"/>
        <w:color w:val="00000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38252E03"/>
    <w:multiLevelType w:val="hybridMultilevel"/>
    <w:tmpl w:val="D242A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477856"/>
    <w:multiLevelType w:val="hybridMultilevel"/>
    <w:tmpl w:val="81D8A43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54B01C90"/>
    <w:multiLevelType w:val="hybridMultilevel"/>
    <w:tmpl w:val="DA9C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3C1917"/>
    <w:multiLevelType w:val="hybridMultilevel"/>
    <w:tmpl w:val="5F34B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327BC6"/>
    <w:multiLevelType w:val="hybridMultilevel"/>
    <w:tmpl w:val="476C7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8459D7"/>
    <w:multiLevelType w:val="hybridMultilevel"/>
    <w:tmpl w:val="C4C2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846D33"/>
    <w:multiLevelType w:val="hybridMultilevel"/>
    <w:tmpl w:val="143A6180"/>
    <w:lvl w:ilvl="0" w:tplc="04E64C70">
      <w:start w:val="1"/>
      <w:numFmt w:val="bullet"/>
      <w:lvlText w:val="·"/>
      <w:lvlJc w:val="left"/>
      <w:pPr>
        <w:ind w:left="720" w:hanging="360"/>
      </w:pPr>
      <w:rPr>
        <w:rFonts w:ascii="Symbol" w:hAnsi="Symbol" w:hint="default"/>
      </w:rPr>
    </w:lvl>
    <w:lvl w:ilvl="1" w:tplc="CABAE984">
      <w:start w:val="1"/>
      <w:numFmt w:val="bullet"/>
      <w:lvlText w:val="o"/>
      <w:lvlJc w:val="left"/>
      <w:pPr>
        <w:ind w:left="1440" w:hanging="360"/>
      </w:pPr>
      <w:rPr>
        <w:rFonts w:ascii="Courier New" w:hAnsi="Courier New" w:hint="default"/>
      </w:rPr>
    </w:lvl>
    <w:lvl w:ilvl="2" w:tplc="1AB03586">
      <w:start w:val="1"/>
      <w:numFmt w:val="bullet"/>
      <w:lvlText w:val=""/>
      <w:lvlJc w:val="left"/>
      <w:pPr>
        <w:ind w:left="2160" w:hanging="360"/>
      </w:pPr>
      <w:rPr>
        <w:rFonts w:ascii="Wingdings" w:hAnsi="Wingdings" w:hint="default"/>
      </w:rPr>
    </w:lvl>
    <w:lvl w:ilvl="3" w:tplc="AC46AD1E">
      <w:start w:val="1"/>
      <w:numFmt w:val="bullet"/>
      <w:lvlText w:val=""/>
      <w:lvlJc w:val="left"/>
      <w:pPr>
        <w:ind w:left="2880" w:hanging="360"/>
      </w:pPr>
      <w:rPr>
        <w:rFonts w:ascii="Symbol" w:hAnsi="Symbol" w:hint="default"/>
      </w:rPr>
    </w:lvl>
    <w:lvl w:ilvl="4" w:tplc="00EE25D0">
      <w:start w:val="1"/>
      <w:numFmt w:val="bullet"/>
      <w:lvlText w:val="o"/>
      <w:lvlJc w:val="left"/>
      <w:pPr>
        <w:ind w:left="3600" w:hanging="360"/>
      </w:pPr>
      <w:rPr>
        <w:rFonts w:ascii="Courier New" w:hAnsi="Courier New" w:hint="default"/>
      </w:rPr>
    </w:lvl>
    <w:lvl w:ilvl="5" w:tplc="1106950A">
      <w:start w:val="1"/>
      <w:numFmt w:val="bullet"/>
      <w:lvlText w:val=""/>
      <w:lvlJc w:val="left"/>
      <w:pPr>
        <w:ind w:left="4320" w:hanging="360"/>
      </w:pPr>
      <w:rPr>
        <w:rFonts w:ascii="Wingdings" w:hAnsi="Wingdings" w:hint="default"/>
      </w:rPr>
    </w:lvl>
    <w:lvl w:ilvl="6" w:tplc="0B3427C4">
      <w:start w:val="1"/>
      <w:numFmt w:val="bullet"/>
      <w:lvlText w:val=""/>
      <w:lvlJc w:val="left"/>
      <w:pPr>
        <w:ind w:left="5040" w:hanging="360"/>
      </w:pPr>
      <w:rPr>
        <w:rFonts w:ascii="Symbol" w:hAnsi="Symbol" w:hint="default"/>
      </w:rPr>
    </w:lvl>
    <w:lvl w:ilvl="7" w:tplc="DCC07260">
      <w:start w:val="1"/>
      <w:numFmt w:val="bullet"/>
      <w:lvlText w:val="o"/>
      <w:lvlJc w:val="left"/>
      <w:pPr>
        <w:ind w:left="5760" w:hanging="360"/>
      </w:pPr>
      <w:rPr>
        <w:rFonts w:ascii="Courier New" w:hAnsi="Courier New" w:hint="default"/>
      </w:rPr>
    </w:lvl>
    <w:lvl w:ilvl="8" w:tplc="5B065BFA">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14"/>
  </w:num>
  <w:num w:numId="5">
    <w:abstractNumId w:val="15"/>
  </w:num>
  <w:num w:numId="6">
    <w:abstractNumId w:val="6"/>
  </w:num>
  <w:num w:numId="7">
    <w:abstractNumId w:val="7"/>
  </w:num>
  <w:num w:numId="8">
    <w:abstractNumId w:val="0"/>
  </w:num>
  <w:num w:numId="9">
    <w:abstractNumId w:val="16"/>
  </w:num>
  <w:num w:numId="10">
    <w:abstractNumId w:val="13"/>
  </w:num>
  <w:num w:numId="11">
    <w:abstractNumId w:val="11"/>
  </w:num>
  <w:num w:numId="12">
    <w:abstractNumId w:val="12"/>
  </w:num>
  <w:num w:numId="13">
    <w:abstractNumId w:val="5"/>
  </w:num>
  <w:num w:numId="14">
    <w:abstractNumId w:val="1"/>
  </w:num>
  <w:num w:numId="15">
    <w:abstractNumId w:val="9"/>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CC"/>
    <w:rsid w:val="00007E4D"/>
    <w:rsid w:val="00023E9B"/>
    <w:rsid w:val="000600E3"/>
    <w:rsid w:val="0007154E"/>
    <w:rsid w:val="000D43DB"/>
    <w:rsid w:val="000E4BFC"/>
    <w:rsid w:val="00121769"/>
    <w:rsid w:val="0012779E"/>
    <w:rsid w:val="00147B73"/>
    <w:rsid w:val="00156C6B"/>
    <w:rsid w:val="00182A14"/>
    <w:rsid w:val="001C0AAE"/>
    <w:rsid w:val="001C11C9"/>
    <w:rsid w:val="001D7529"/>
    <w:rsid w:val="001F7F2C"/>
    <w:rsid w:val="002133CB"/>
    <w:rsid w:val="0023476F"/>
    <w:rsid w:val="00262D3A"/>
    <w:rsid w:val="002734FC"/>
    <w:rsid w:val="00274877"/>
    <w:rsid w:val="00282D53"/>
    <w:rsid w:val="00313AC1"/>
    <w:rsid w:val="00336F9D"/>
    <w:rsid w:val="00357AE6"/>
    <w:rsid w:val="00380505"/>
    <w:rsid w:val="003806A1"/>
    <w:rsid w:val="00380AF1"/>
    <w:rsid w:val="003830FC"/>
    <w:rsid w:val="003A2443"/>
    <w:rsid w:val="003A371B"/>
    <w:rsid w:val="003A3AA0"/>
    <w:rsid w:val="003A5075"/>
    <w:rsid w:val="003B65E3"/>
    <w:rsid w:val="003E25BF"/>
    <w:rsid w:val="003E7896"/>
    <w:rsid w:val="003F3925"/>
    <w:rsid w:val="003F3E51"/>
    <w:rsid w:val="004171DA"/>
    <w:rsid w:val="00437C4E"/>
    <w:rsid w:val="00440876"/>
    <w:rsid w:val="00457B76"/>
    <w:rsid w:val="004940FA"/>
    <w:rsid w:val="004A44EC"/>
    <w:rsid w:val="004C7BC1"/>
    <w:rsid w:val="004E270D"/>
    <w:rsid w:val="004F3672"/>
    <w:rsid w:val="004F7BCC"/>
    <w:rsid w:val="00522FCE"/>
    <w:rsid w:val="00523309"/>
    <w:rsid w:val="00525225"/>
    <w:rsid w:val="00527556"/>
    <w:rsid w:val="00530C7A"/>
    <w:rsid w:val="005370C6"/>
    <w:rsid w:val="005542CB"/>
    <w:rsid w:val="00577A27"/>
    <w:rsid w:val="005A6340"/>
    <w:rsid w:val="006062A6"/>
    <w:rsid w:val="00634F6E"/>
    <w:rsid w:val="006916BD"/>
    <w:rsid w:val="00692D39"/>
    <w:rsid w:val="006F4D40"/>
    <w:rsid w:val="006F6FC6"/>
    <w:rsid w:val="007157DB"/>
    <w:rsid w:val="00764090"/>
    <w:rsid w:val="007B25C4"/>
    <w:rsid w:val="007E2BAF"/>
    <w:rsid w:val="007E4247"/>
    <w:rsid w:val="00803830"/>
    <w:rsid w:val="00837F37"/>
    <w:rsid w:val="00866C5D"/>
    <w:rsid w:val="00875B3F"/>
    <w:rsid w:val="008A7F62"/>
    <w:rsid w:val="008B3215"/>
    <w:rsid w:val="008F5C0F"/>
    <w:rsid w:val="0091479C"/>
    <w:rsid w:val="00960078"/>
    <w:rsid w:val="00975527"/>
    <w:rsid w:val="009C5EB4"/>
    <w:rsid w:val="009D2BDE"/>
    <w:rsid w:val="009E22AF"/>
    <w:rsid w:val="00A14C52"/>
    <w:rsid w:val="00A55E93"/>
    <w:rsid w:val="00A61E06"/>
    <w:rsid w:val="00A66134"/>
    <w:rsid w:val="00A66408"/>
    <w:rsid w:val="00AD1DA0"/>
    <w:rsid w:val="00AD260E"/>
    <w:rsid w:val="00AD4CB1"/>
    <w:rsid w:val="00AE682B"/>
    <w:rsid w:val="00B21266"/>
    <w:rsid w:val="00B47260"/>
    <w:rsid w:val="00B54D8F"/>
    <w:rsid w:val="00B65273"/>
    <w:rsid w:val="00B70A4E"/>
    <w:rsid w:val="00B70F24"/>
    <w:rsid w:val="00B73BEB"/>
    <w:rsid w:val="00BA28D6"/>
    <w:rsid w:val="00BB1CD6"/>
    <w:rsid w:val="00BC7D0C"/>
    <w:rsid w:val="00BD10E3"/>
    <w:rsid w:val="00BD3F30"/>
    <w:rsid w:val="00BD40D8"/>
    <w:rsid w:val="00BE4752"/>
    <w:rsid w:val="00BF3522"/>
    <w:rsid w:val="00C008BE"/>
    <w:rsid w:val="00C03D93"/>
    <w:rsid w:val="00C06CE3"/>
    <w:rsid w:val="00C15F0E"/>
    <w:rsid w:val="00C21A73"/>
    <w:rsid w:val="00C7337C"/>
    <w:rsid w:val="00C9133D"/>
    <w:rsid w:val="00C946EF"/>
    <w:rsid w:val="00C95869"/>
    <w:rsid w:val="00CA459A"/>
    <w:rsid w:val="00CB4D78"/>
    <w:rsid w:val="00CE1E47"/>
    <w:rsid w:val="00CE6CCB"/>
    <w:rsid w:val="00D05D0D"/>
    <w:rsid w:val="00D109EB"/>
    <w:rsid w:val="00D13952"/>
    <w:rsid w:val="00D76326"/>
    <w:rsid w:val="00DA44EC"/>
    <w:rsid w:val="00DB6953"/>
    <w:rsid w:val="00DC76D8"/>
    <w:rsid w:val="00E063CC"/>
    <w:rsid w:val="00E139E7"/>
    <w:rsid w:val="00E27F28"/>
    <w:rsid w:val="00E33316"/>
    <w:rsid w:val="00E354A0"/>
    <w:rsid w:val="00E50721"/>
    <w:rsid w:val="00E708A2"/>
    <w:rsid w:val="00E73659"/>
    <w:rsid w:val="00ED3172"/>
    <w:rsid w:val="00ED5608"/>
    <w:rsid w:val="00EF09B1"/>
    <w:rsid w:val="00EF5657"/>
    <w:rsid w:val="00F04CE2"/>
    <w:rsid w:val="00F66309"/>
    <w:rsid w:val="00F73EDA"/>
    <w:rsid w:val="00F76FF3"/>
    <w:rsid w:val="00F77DDD"/>
    <w:rsid w:val="00F91D1D"/>
    <w:rsid w:val="00FC4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77CCB"/>
  <w15:chartTrackingRefBased/>
  <w15:docId w15:val="{E6BC7927-2FCD-4AFA-B5C0-7152DB8B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3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3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09B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3C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063CC"/>
    <w:rPr>
      <w:rFonts w:asciiTheme="majorHAnsi" w:eastAsiaTheme="majorEastAsia" w:hAnsiTheme="majorHAnsi" w:cstheme="majorBidi"/>
      <w:color w:val="2F5496" w:themeColor="accent1" w:themeShade="BF"/>
      <w:sz w:val="32"/>
      <w:szCs w:val="32"/>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7E2BAF"/>
    <w:pPr>
      <w:ind w:left="720"/>
      <w:contextualSpacing/>
    </w:pPr>
  </w:style>
  <w:style w:type="paragraph" w:styleId="BalloonText">
    <w:name w:val="Balloon Text"/>
    <w:basedOn w:val="Normal"/>
    <w:link w:val="BalloonTextChar"/>
    <w:uiPriority w:val="99"/>
    <w:semiHidden/>
    <w:unhideWhenUsed/>
    <w:rsid w:val="00523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309"/>
    <w:rPr>
      <w:rFonts w:ascii="Segoe UI" w:hAnsi="Segoe UI" w:cs="Segoe UI"/>
      <w:sz w:val="18"/>
      <w:szCs w:val="18"/>
    </w:rPr>
  </w:style>
  <w:style w:type="character" w:customStyle="1" w:styleId="Heading3Char">
    <w:name w:val="Heading 3 Char"/>
    <w:basedOn w:val="DefaultParagraphFont"/>
    <w:link w:val="Heading3"/>
    <w:uiPriority w:val="9"/>
    <w:semiHidden/>
    <w:rsid w:val="00EF09B1"/>
    <w:rPr>
      <w:rFonts w:asciiTheme="majorHAnsi" w:eastAsiaTheme="majorEastAsia" w:hAnsiTheme="majorHAnsi" w:cstheme="majorBidi"/>
      <w:color w:val="1F3763" w:themeColor="accent1" w:themeShade="7F"/>
      <w:sz w:val="24"/>
      <w:szCs w:val="24"/>
      <w:lang w:val="en-GB"/>
    </w:rPr>
  </w:style>
  <w:style w:type="character" w:styleId="Hyperlink">
    <w:name w:val="Hyperlink"/>
    <w:basedOn w:val="DefaultParagraphFont"/>
    <w:uiPriority w:val="99"/>
    <w:unhideWhenUsed/>
    <w:rsid w:val="00D76326"/>
    <w:rPr>
      <w:color w:val="0563C1" w:themeColor="hyperlink"/>
      <w:u w:val="single"/>
    </w:rPr>
  </w:style>
  <w:style w:type="character" w:styleId="FootnoteReference">
    <w:name w:val="footnote reference"/>
    <w:basedOn w:val="DefaultParagraphFont"/>
    <w:uiPriority w:val="99"/>
    <w:semiHidden/>
    <w:unhideWhenUsed/>
    <w:rsid w:val="00D76326"/>
    <w:rPr>
      <w:vertAlign w:val="superscript"/>
    </w:rPr>
  </w:style>
  <w:style w:type="paragraph" w:styleId="FootnoteText">
    <w:name w:val="footnote text"/>
    <w:basedOn w:val="Normal"/>
    <w:link w:val="FootnoteTextChar"/>
    <w:uiPriority w:val="99"/>
    <w:unhideWhenUsed/>
    <w:rsid w:val="00D76326"/>
    <w:pPr>
      <w:spacing w:after="0" w:line="240" w:lineRule="auto"/>
    </w:pPr>
    <w:rPr>
      <w:sz w:val="20"/>
      <w:szCs w:val="20"/>
    </w:rPr>
  </w:style>
  <w:style w:type="character" w:customStyle="1" w:styleId="FootnoteTextChar">
    <w:name w:val="Footnote Text Char"/>
    <w:basedOn w:val="DefaultParagraphFont"/>
    <w:link w:val="FootnoteText"/>
    <w:uiPriority w:val="99"/>
    <w:rsid w:val="00D76326"/>
    <w:rPr>
      <w:sz w:val="20"/>
      <w:szCs w:val="20"/>
    </w:rPr>
  </w:style>
  <w:style w:type="character" w:styleId="CommentReference">
    <w:name w:val="annotation reference"/>
    <w:basedOn w:val="DefaultParagraphFont"/>
    <w:uiPriority w:val="99"/>
    <w:semiHidden/>
    <w:unhideWhenUsed/>
    <w:rsid w:val="00D76326"/>
    <w:rPr>
      <w:sz w:val="16"/>
      <w:szCs w:val="16"/>
    </w:rPr>
  </w:style>
  <w:style w:type="paragraph" w:styleId="CommentText">
    <w:name w:val="annotation text"/>
    <w:basedOn w:val="Normal"/>
    <w:link w:val="CommentTextChar"/>
    <w:uiPriority w:val="99"/>
    <w:semiHidden/>
    <w:unhideWhenUsed/>
    <w:rsid w:val="00D76326"/>
    <w:pPr>
      <w:spacing w:line="240" w:lineRule="auto"/>
    </w:pPr>
    <w:rPr>
      <w:sz w:val="20"/>
      <w:szCs w:val="20"/>
    </w:rPr>
  </w:style>
  <w:style w:type="character" w:customStyle="1" w:styleId="CommentTextChar">
    <w:name w:val="Comment Text Char"/>
    <w:basedOn w:val="DefaultParagraphFont"/>
    <w:link w:val="CommentText"/>
    <w:uiPriority w:val="99"/>
    <w:semiHidden/>
    <w:rsid w:val="00D76326"/>
    <w:rPr>
      <w:sz w:val="20"/>
      <w:szCs w:val="20"/>
    </w:rPr>
  </w:style>
  <w:style w:type="character" w:customStyle="1" w:styleId="UnresolvedMention1">
    <w:name w:val="Unresolved Mention1"/>
    <w:basedOn w:val="DefaultParagraphFont"/>
    <w:uiPriority w:val="99"/>
    <w:semiHidden/>
    <w:unhideWhenUsed/>
    <w:rsid w:val="00D76326"/>
    <w:rPr>
      <w:color w:val="605E5C"/>
      <w:shd w:val="clear" w:color="auto" w:fill="E1DFDD"/>
    </w:rPr>
  </w:style>
  <w:style w:type="paragraph" w:styleId="Header">
    <w:name w:val="header"/>
    <w:basedOn w:val="Normal"/>
    <w:link w:val="HeaderChar"/>
    <w:uiPriority w:val="99"/>
    <w:unhideWhenUsed/>
    <w:rsid w:val="00BC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D0C"/>
  </w:style>
  <w:style w:type="paragraph" w:styleId="Footer">
    <w:name w:val="footer"/>
    <w:basedOn w:val="Normal"/>
    <w:link w:val="FooterChar"/>
    <w:uiPriority w:val="99"/>
    <w:unhideWhenUsed/>
    <w:rsid w:val="00BC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D0C"/>
  </w:style>
  <w:style w:type="paragraph" w:styleId="NormalWeb">
    <w:name w:val="Normal (Web)"/>
    <w:basedOn w:val="Normal"/>
    <w:uiPriority w:val="99"/>
    <w:unhideWhenUsed/>
    <w:rsid w:val="00A664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D40D8"/>
    <w:rPr>
      <w:b/>
      <w:bCs/>
    </w:rPr>
  </w:style>
  <w:style w:type="character" w:customStyle="1" w:styleId="CommentSubjectChar">
    <w:name w:val="Comment Subject Char"/>
    <w:basedOn w:val="CommentTextChar"/>
    <w:link w:val="CommentSubject"/>
    <w:uiPriority w:val="99"/>
    <w:semiHidden/>
    <w:rsid w:val="00BD40D8"/>
    <w:rPr>
      <w:b/>
      <w:bCs/>
      <w:sz w:val="20"/>
      <w:szCs w:val="20"/>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DB6953"/>
  </w:style>
  <w:style w:type="character" w:styleId="UnresolvedMention">
    <w:name w:val="Unresolved Mention"/>
    <w:basedOn w:val="DefaultParagraphFont"/>
    <w:uiPriority w:val="99"/>
    <w:semiHidden/>
    <w:unhideWhenUsed/>
    <w:rsid w:val="004C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842925">
      <w:bodyDiv w:val="1"/>
      <w:marLeft w:val="0"/>
      <w:marRight w:val="0"/>
      <w:marTop w:val="0"/>
      <w:marBottom w:val="0"/>
      <w:divBdr>
        <w:top w:val="none" w:sz="0" w:space="0" w:color="auto"/>
        <w:left w:val="none" w:sz="0" w:space="0" w:color="auto"/>
        <w:bottom w:val="none" w:sz="0" w:space="0" w:color="auto"/>
        <w:right w:val="none" w:sz="0" w:space="0" w:color="auto"/>
      </w:divBdr>
    </w:div>
    <w:div w:id="591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760777">
          <w:marLeft w:val="0"/>
          <w:marRight w:val="0"/>
          <w:marTop w:val="0"/>
          <w:marBottom w:val="0"/>
          <w:divBdr>
            <w:top w:val="none" w:sz="0" w:space="0" w:color="auto"/>
            <w:left w:val="none" w:sz="0" w:space="0" w:color="auto"/>
            <w:bottom w:val="none" w:sz="0" w:space="0" w:color="auto"/>
            <w:right w:val="none" w:sz="0" w:space="0" w:color="auto"/>
          </w:divBdr>
          <w:divsChild>
            <w:div w:id="968902418">
              <w:marLeft w:val="0"/>
              <w:marRight w:val="0"/>
              <w:marTop w:val="0"/>
              <w:marBottom w:val="0"/>
              <w:divBdr>
                <w:top w:val="none" w:sz="0" w:space="0" w:color="auto"/>
                <w:left w:val="none" w:sz="0" w:space="0" w:color="auto"/>
                <w:bottom w:val="none" w:sz="0" w:space="0" w:color="auto"/>
                <w:right w:val="none" w:sz="0" w:space="0" w:color="auto"/>
              </w:divBdr>
              <w:divsChild>
                <w:div w:id="17919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00690">
      <w:bodyDiv w:val="1"/>
      <w:marLeft w:val="0"/>
      <w:marRight w:val="0"/>
      <w:marTop w:val="0"/>
      <w:marBottom w:val="0"/>
      <w:divBdr>
        <w:top w:val="none" w:sz="0" w:space="0" w:color="auto"/>
        <w:left w:val="none" w:sz="0" w:space="0" w:color="auto"/>
        <w:bottom w:val="none" w:sz="0" w:space="0" w:color="auto"/>
        <w:right w:val="none" w:sz="0" w:space="0" w:color="auto"/>
      </w:divBdr>
    </w:div>
    <w:div w:id="1422025866">
      <w:bodyDiv w:val="1"/>
      <w:marLeft w:val="0"/>
      <w:marRight w:val="0"/>
      <w:marTop w:val="0"/>
      <w:marBottom w:val="0"/>
      <w:divBdr>
        <w:top w:val="none" w:sz="0" w:space="0" w:color="auto"/>
        <w:left w:val="none" w:sz="0" w:space="0" w:color="auto"/>
        <w:bottom w:val="none" w:sz="0" w:space="0" w:color="auto"/>
        <w:right w:val="none" w:sz="0" w:space="0" w:color="auto"/>
      </w:divBdr>
    </w:div>
    <w:div w:id="1422918454">
      <w:bodyDiv w:val="1"/>
      <w:marLeft w:val="0"/>
      <w:marRight w:val="0"/>
      <w:marTop w:val="0"/>
      <w:marBottom w:val="0"/>
      <w:divBdr>
        <w:top w:val="none" w:sz="0" w:space="0" w:color="auto"/>
        <w:left w:val="none" w:sz="0" w:space="0" w:color="auto"/>
        <w:bottom w:val="none" w:sz="0" w:space="0" w:color="auto"/>
        <w:right w:val="none" w:sz="0" w:space="0" w:color="auto"/>
      </w:divBdr>
    </w:div>
    <w:div w:id="14993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ff.org.au/news/skin-deep-sensing-to-predict-covid-patients-needs" TargetMode="External"/><Relationship Id="rId18" Type="http://schemas.openxmlformats.org/officeDocument/2006/relationships/hyperlink" Target="https://2021nriroadmap.crowdicity.com.au/post/217455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ese.gov.au/national-research-infrastructure/resources/ncris-2018-guidelines" TargetMode="External"/><Relationship Id="rId17" Type="http://schemas.openxmlformats.org/officeDocument/2006/relationships/hyperlink" Target="https://2021nriroadmap.crowdicity.com.au/post/2175843" TargetMode="External"/><Relationship Id="rId2" Type="http://schemas.openxmlformats.org/officeDocument/2006/relationships/customXml" Target="../customXml/item2.xml"/><Relationship Id="rId16" Type="http://schemas.openxmlformats.org/officeDocument/2006/relationships/hyperlink" Target="https://navigator.innovation.ca/en" TargetMode="External"/><Relationship Id="rId20" Type="http://schemas.openxmlformats.org/officeDocument/2006/relationships/hyperlink" Target="https://2021nriroadmap.crowdicity.com.au/post/21750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e.gov.au/about-us/resources/university-research-commercialisation-consultation-pap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nsto.gov.au/news/cosmetic-chemistr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nriroadmap.crowdicity.com.au/post/21755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ys.org/news/2020-10-ai-photonics-easier-earths.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dustry.gov.au/data-and-publications/business-research-collaboration-user-centred-design-project" TargetMode="External"/><Relationship Id="rId1" Type="http://schemas.openxmlformats.org/officeDocument/2006/relationships/hyperlink" Target="https://www.abs.gov.au/statistics/industry/technology-and-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AB8D5-E827-4A0B-BA62-00A5DDAA502E}">
  <ds:schemaRefs>
    <ds:schemaRef ds:uri="http://schemas.openxmlformats.org/officeDocument/2006/bibliography"/>
  </ds:schemaRefs>
</ds:datastoreItem>
</file>

<file path=customXml/itemProps2.xml><?xml version="1.0" encoding="utf-8"?>
<ds:datastoreItem xmlns:ds="http://schemas.openxmlformats.org/officeDocument/2006/customXml" ds:itemID="{D97B58F1-6501-4A29-898D-C3D24190B3B2}">
  <ds:schemaRefs>
    <ds:schemaRef ds:uri="http://schemas.microsoft.com/sharepoint/v3/contenttype/forms"/>
  </ds:schemaRefs>
</ds:datastoreItem>
</file>

<file path=customXml/itemProps3.xml><?xml version="1.0" encoding="utf-8"?>
<ds:datastoreItem xmlns:ds="http://schemas.openxmlformats.org/officeDocument/2006/customXml" ds:itemID="{3DC09CEB-E11E-4B0E-B9B6-CB2F9AF6F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D5FB79-74FD-4D1F-865E-67D05FA3EA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CAMPBELL,Grace</dc:creator>
  <cp:keywords/>
  <dc:description/>
  <cp:lastModifiedBy>MANNIE,Ryan</cp:lastModifiedBy>
  <cp:revision>3</cp:revision>
  <cp:lastPrinted>2021-08-10T05:35:00Z</cp:lastPrinted>
  <dcterms:created xsi:type="dcterms:W3CDTF">2022-03-28T22:42:00Z</dcterms:created>
  <dcterms:modified xsi:type="dcterms:W3CDTF">2022-03-28T23:18:00Z</dcterms:modified>
</cp:coreProperties>
</file>