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B635D" w14:textId="77777777" w:rsidR="00EE22BA" w:rsidRPr="002965E1" w:rsidRDefault="00EE22BA" w:rsidP="00EE22BA">
      <w:pPr>
        <w:pStyle w:val="Title"/>
      </w:pPr>
      <w:bookmarkStart w:id="0" w:name="_Hlk54693875"/>
      <w:r w:rsidRPr="002965E1">
        <w:t>National School Reform Agreement</w:t>
      </w:r>
    </w:p>
    <w:p w14:paraId="3F38B072" w14:textId="257B5372" w:rsidR="006D465D" w:rsidRPr="006D465D" w:rsidRDefault="00EE22BA" w:rsidP="006D465D">
      <w:pPr>
        <w:pStyle w:val="Subtitle"/>
      </w:pPr>
      <w:r w:rsidRPr="006D465D">
        <w:t xml:space="preserve">Victoria Bilateral Agreement: </w:t>
      </w:r>
      <w:r w:rsidRPr="006D465D">
        <w:br/>
        <w:t>2020 Progress Report</w:t>
      </w:r>
      <w:bookmarkEnd w:id="0"/>
    </w:p>
    <w:p w14:paraId="6C87C32F" w14:textId="61FE99AD" w:rsidR="006D465D" w:rsidRDefault="006D465D" w:rsidP="006D465D">
      <w:pPr>
        <w:pStyle w:val="Subtitle"/>
        <w:sectPr w:rsidR="006D465D" w:rsidSect="00EE3C29">
          <w:headerReference w:type="even" r:id="rId8"/>
          <w:headerReference w:type="default" r:id="rId9"/>
          <w:footerReference w:type="even" r:id="rId10"/>
          <w:footerReference w:type="default" r:id="rId11"/>
          <w:headerReference w:type="first" r:id="rId12"/>
          <w:footerReference w:type="first" r:id="rId13"/>
          <w:pgSz w:w="16840" w:h="11900" w:orient="landscape" w:code="9"/>
          <w:pgMar w:top="1440" w:right="1440" w:bottom="1440" w:left="1440" w:header="737" w:footer="737" w:gutter="0"/>
          <w:pgNumType w:start="1"/>
          <w:cols w:space="720"/>
          <w:titlePg/>
          <w:docGrid w:linePitch="326"/>
        </w:sectPr>
      </w:pPr>
    </w:p>
    <w:p w14:paraId="450DCB20" w14:textId="77777777" w:rsidR="00EE22BA" w:rsidRPr="006216B6" w:rsidRDefault="00EE22BA" w:rsidP="006216B6">
      <w:pPr>
        <w:pStyle w:val="Heading1"/>
      </w:pPr>
      <w:r w:rsidRPr="006216B6">
        <w:lastRenderedPageBreak/>
        <w:t>Executive Summary</w:t>
      </w:r>
    </w:p>
    <w:p w14:paraId="3D366789" w14:textId="77777777" w:rsidR="00EE22BA" w:rsidRPr="002965E1" w:rsidRDefault="00EE22BA" w:rsidP="006D465D">
      <w:pPr>
        <w:rPr>
          <w:rFonts w:asciiTheme="majorHAnsi" w:hAnsiTheme="majorHAnsi" w:cstheme="majorHAnsi"/>
          <w:szCs w:val="22"/>
        </w:rPr>
      </w:pPr>
      <w:r w:rsidRPr="002965E1">
        <w:rPr>
          <w:rFonts w:asciiTheme="majorHAnsi" w:hAnsiTheme="majorHAnsi" w:cstheme="majorHAnsi"/>
          <w:szCs w:val="22"/>
        </w:rPr>
        <w:t>Victorian government and non-government schools made progress in implementing reforms under the National School Reform Agreement throughout 2020, while</w:t>
      </w:r>
      <w:r w:rsidRPr="002965E1">
        <w:t xml:space="preserve"> also </w:t>
      </w:r>
      <w:r w:rsidRPr="002965E1">
        <w:rPr>
          <w:rFonts w:asciiTheme="majorHAnsi" w:hAnsiTheme="majorHAnsi" w:cstheme="majorHAnsi"/>
          <w:szCs w:val="22"/>
        </w:rPr>
        <w:t>transforming to enable children and young people to undertake remote and flexible learning due to the COVID-19 pandemic. Across the state, school leaders, teachers, families, students, and others that support them adopted new approaches to ensure the best possible outcomes within difficult circumstances.</w:t>
      </w:r>
    </w:p>
    <w:p w14:paraId="6B2ED599" w14:textId="0203011E" w:rsidR="00EE22BA" w:rsidRPr="002965E1" w:rsidRDefault="00EE22BA" w:rsidP="006D465D">
      <w:pPr>
        <w:rPr>
          <w:rFonts w:asciiTheme="majorHAnsi" w:hAnsiTheme="majorHAnsi" w:cstheme="majorHAnsi"/>
          <w:szCs w:val="22"/>
        </w:rPr>
      </w:pPr>
      <w:r w:rsidRPr="002965E1">
        <w:rPr>
          <w:rFonts w:asciiTheme="majorHAnsi" w:hAnsiTheme="majorHAnsi" w:cstheme="majorHAnsi"/>
          <w:szCs w:val="22"/>
        </w:rPr>
        <w:t>All reforms remain on track for the proposed timing for implementation, as outlined below.</w:t>
      </w:r>
    </w:p>
    <w:p w14:paraId="3D0EFEFB" w14:textId="77777777" w:rsidR="00C7446C" w:rsidRDefault="00EE22BA" w:rsidP="006D465D">
      <w:pPr>
        <w:rPr>
          <w:rFonts w:asciiTheme="majorHAnsi" w:hAnsiTheme="majorHAnsi" w:cstheme="majorHAnsi"/>
          <w:szCs w:val="22"/>
        </w:rPr>
      </w:pPr>
      <w:r w:rsidRPr="002965E1">
        <w:rPr>
          <w:rFonts w:asciiTheme="majorHAnsi" w:hAnsiTheme="majorHAnsi" w:cstheme="majorHAnsi"/>
          <w:szCs w:val="22"/>
        </w:rPr>
        <w:t xml:space="preserve">Education continues </w:t>
      </w:r>
      <w:r w:rsidR="00DB0946" w:rsidRPr="002965E1">
        <w:rPr>
          <w:rFonts w:asciiTheme="majorHAnsi" w:hAnsiTheme="majorHAnsi" w:cstheme="majorHAnsi"/>
          <w:szCs w:val="22"/>
        </w:rPr>
        <w:t>as a</w:t>
      </w:r>
      <w:r w:rsidRPr="002965E1">
        <w:rPr>
          <w:rFonts w:asciiTheme="majorHAnsi" w:hAnsiTheme="majorHAnsi" w:cstheme="majorHAnsi"/>
          <w:szCs w:val="22"/>
        </w:rPr>
        <w:t xml:space="preserve"> cornerstone for ensuring all Victorians have the skills and knowledge they need to actively participate in and contribute to our rapidly changing economy and society. Victoria has an ambitious school reform agenda, with Education State school targets that reflect our focus on excellence and equity.</w:t>
      </w:r>
    </w:p>
    <w:p w14:paraId="70080263" w14:textId="3DCEAEA7" w:rsidR="00EE22BA" w:rsidRPr="002965E1" w:rsidRDefault="00EE22BA" w:rsidP="006D465D">
      <w:pPr>
        <w:rPr>
          <w:rFonts w:asciiTheme="majorHAnsi" w:hAnsiTheme="majorHAnsi" w:cstheme="majorHAnsi"/>
          <w:szCs w:val="22"/>
        </w:rPr>
      </w:pPr>
      <w:r w:rsidRPr="002965E1">
        <w:rPr>
          <w:rFonts w:asciiTheme="majorHAnsi" w:hAnsiTheme="majorHAnsi" w:cstheme="majorHAnsi"/>
          <w:szCs w:val="22"/>
        </w:rPr>
        <w:t xml:space="preserve">In October 2020, a $250 million tutor learning initiative was announced by the Victorian Government, to deploy more than 4,100 tutors across Victoria schools in 2021 to ensure no student is left behind. This investment is the single biggest boost to individual learning support in Victoria’s history, and will make sure any student who may have fallen behind or become disengaged gets the help they deserve. </w:t>
      </w:r>
    </w:p>
    <w:p w14:paraId="147007A8" w14:textId="679374D8" w:rsidR="002166E7" w:rsidRPr="00E10147" w:rsidRDefault="00EE22BA" w:rsidP="002166E7">
      <w:pPr>
        <w:rPr>
          <w:rFonts w:asciiTheme="majorHAnsi" w:hAnsiTheme="majorHAnsi" w:cstheme="majorHAnsi"/>
          <w:szCs w:val="22"/>
        </w:rPr>
        <w:sectPr w:rsidR="002166E7" w:rsidRPr="00E10147" w:rsidSect="00EE3C29">
          <w:footerReference w:type="default" r:id="rId14"/>
          <w:headerReference w:type="first" r:id="rId15"/>
          <w:pgSz w:w="16840" w:h="11900" w:orient="landscape" w:code="9"/>
          <w:pgMar w:top="1440" w:right="1440" w:bottom="1440" w:left="1440" w:header="737" w:footer="737" w:gutter="0"/>
          <w:cols w:space="720"/>
          <w:docGrid w:linePitch="326"/>
        </w:sectPr>
      </w:pPr>
      <w:r w:rsidRPr="002965E1">
        <w:rPr>
          <w:rFonts w:asciiTheme="majorHAnsi" w:hAnsiTheme="majorHAnsi" w:cstheme="majorHAnsi"/>
          <w:szCs w:val="22"/>
        </w:rPr>
        <w:t xml:space="preserve">This key initiative, along with the reform priorities listed below, demonstrate Victoria’s commitment to building a system that equips every student with the personal and practical skills to live the lives they want to live, and get the jobs they need. </w:t>
      </w:r>
    </w:p>
    <w:p w14:paraId="77411ECA" w14:textId="77777777" w:rsidR="00EE22BA" w:rsidRPr="0062766D" w:rsidRDefault="00EE22BA" w:rsidP="006216B6">
      <w:pPr>
        <w:pStyle w:val="Heading1"/>
      </w:pPr>
      <w:r w:rsidRPr="0062766D">
        <w:lastRenderedPageBreak/>
        <w:t>Progress Against Each Reform Direction</w:t>
      </w:r>
    </w:p>
    <w:p w14:paraId="18472020" w14:textId="77777777" w:rsidR="00EE22BA" w:rsidRPr="0062766D" w:rsidRDefault="00EE22BA">
      <w:pPr>
        <w:pStyle w:val="Heading2"/>
      </w:pPr>
      <w:r w:rsidRPr="0062766D">
        <w:t>Reform Direction A - Support students, student learning and achievement</w:t>
      </w:r>
    </w:p>
    <w:tbl>
      <w:tblPr>
        <w:tblStyle w:val="TableGrid0"/>
        <w:tblW w:w="5000" w:type="pct"/>
        <w:tblInd w:w="0" w:type="dxa"/>
        <w:tblCellMar>
          <w:top w:w="57" w:type="dxa"/>
          <w:left w:w="108" w:type="dxa"/>
          <w:right w:w="115" w:type="dxa"/>
        </w:tblCellMar>
        <w:tblLook w:val="04A0" w:firstRow="1" w:lastRow="0" w:firstColumn="1" w:lastColumn="0" w:noHBand="0" w:noVBand="1"/>
        <w:tblCaption w:val="Reform Direction A – Support students, learning and student achievement"/>
        <w:tblDescription w:val="This table shows relevant actions under the reform direction, relevant sectors undertaking the action, timing of the action and progress towards implementing these actions by the individual state or territory."/>
      </w:tblPr>
      <w:tblGrid>
        <w:gridCol w:w="5846"/>
        <w:gridCol w:w="1377"/>
        <w:gridCol w:w="1096"/>
        <w:gridCol w:w="5621"/>
      </w:tblGrid>
      <w:tr w:rsidR="00EE22BA" w:rsidRPr="0062766D" w14:paraId="75E8DC93" w14:textId="77777777" w:rsidTr="00364760">
        <w:trPr>
          <w:trHeight w:val="613"/>
          <w:tblHeader/>
        </w:trPr>
        <w:tc>
          <w:tcPr>
            <w:tcW w:w="2097" w:type="pct"/>
            <w:tcBorders>
              <w:top w:val="single" w:sz="24" w:space="0" w:color="316F72"/>
              <w:left w:val="single" w:sz="8" w:space="0" w:color="316F72"/>
              <w:bottom w:val="single" w:sz="24" w:space="0" w:color="316F72"/>
              <w:right w:val="single" w:sz="8" w:space="0" w:color="316F72"/>
            </w:tcBorders>
          </w:tcPr>
          <w:p w14:paraId="7BA81F19" w14:textId="77777777" w:rsidR="00EE22BA" w:rsidRPr="006D465D" w:rsidRDefault="00EE22BA" w:rsidP="006D465D">
            <w:pPr>
              <w:rPr>
                <w:b/>
                <w:bCs/>
              </w:rPr>
            </w:pPr>
            <w:r w:rsidRPr="006D465D">
              <w:rPr>
                <w:b/>
                <w:bCs/>
              </w:rPr>
              <w:t xml:space="preserve">Actions </w:t>
            </w:r>
          </w:p>
        </w:tc>
        <w:tc>
          <w:tcPr>
            <w:tcW w:w="494" w:type="pct"/>
            <w:tcBorders>
              <w:top w:val="single" w:sz="24" w:space="0" w:color="316F72"/>
              <w:left w:val="single" w:sz="8" w:space="0" w:color="316F72"/>
              <w:bottom w:val="single" w:sz="24" w:space="0" w:color="316F72"/>
              <w:right w:val="single" w:sz="8" w:space="0" w:color="316F72"/>
            </w:tcBorders>
          </w:tcPr>
          <w:p w14:paraId="7BBDFA1D" w14:textId="77777777" w:rsidR="00EE22BA" w:rsidRPr="006D465D" w:rsidRDefault="00EE22BA" w:rsidP="006D465D">
            <w:pPr>
              <w:rPr>
                <w:b/>
                <w:bCs/>
              </w:rPr>
            </w:pPr>
            <w:r w:rsidRPr="006D465D">
              <w:rPr>
                <w:b/>
                <w:bCs/>
              </w:rPr>
              <w:t xml:space="preserve">Sector(s) </w:t>
            </w:r>
          </w:p>
        </w:tc>
        <w:tc>
          <w:tcPr>
            <w:tcW w:w="393" w:type="pct"/>
            <w:tcBorders>
              <w:top w:val="single" w:sz="24" w:space="0" w:color="316F72"/>
              <w:left w:val="single" w:sz="8" w:space="0" w:color="316F72"/>
              <w:bottom w:val="single" w:sz="24" w:space="0" w:color="316F72"/>
              <w:right w:val="single" w:sz="8" w:space="0" w:color="316F72"/>
            </w:tcBorders>
          </w:tcPr>
          <w:p w14:paraId="42312A70" w14:textId="77777777" w:rsidR="00EE22BA" w:rsidRPr="006D465D" w:rsidRDefault="00EE22BA" w:rsidP="006D465D">
            <w:pPr>
              <w:rPr>
                <w:b/>
                <w:bCs/>
              </w:rPr>
            </w:pPr>
            <w:r w:rsidRPr="006D465D">
              <w:rPr>
                <w:b/>
                <w:bCs/>
              </w:rPr>
              <w:t xml:space="preserve">Timing </w:t>
            </w:r>
          </w:p>
        </w:tc>
        <w:tc>
          <w:tcPr>
            <w:tcW w:w="2016" w:type="pct"/>
            <w:tcBorders>
              <w:top w:val="single" w:sz="24" w:space="0" w:color="316F72"/>
              <w:left w:val="single" w:sz="8" w:space="0" w:color="316F72"/>
              <w:bottom w:val="single" w:sz="24" w:space="0" w:color="316F72"/>
              <w:right w:val="single" w:sz="8" w:space="0" w:color="316F72"/>
            </w:tcBorders>
            <w:vAlign w:val="center"/>
          </w:tcPr>
          <w:p w14:paraId="7335E6EC" w14:textId="77777777" w:rsidR="00EE22BA" w:rsidRPr="006D465D" w:rsidRDefault="00EE22BA" w:rsidP="006D465D">
            <w:pPr>
              <w:rPr>
                <w:b/>
                <w:bCs/>
              </w:rPr>
            </w:pPr>
            <w:r w:rsidRPr="006D465D">
              <w:rPr>
                <w:b/>
                <w:bCs/>
              </w:rPr>
              <w:t xml:space="preserve">Progress towards implementation of actions (including progress of non-government sector actions) </w:t>
            </w:r>
          </w:p>
        </w:tc>
      </w:tr>
      <w:tr w:rsidR="00EE22BA" w:rsidRPr="002965E1" w14:paraId="00CC1D7F" w14:textId="77777777" w:rsidTr="00364760">
        <w:trPr>
          <w:trHeight w:val="583"/>
        </w:trPr>
        <w:tc>
          <w:tcPr>
            <w:tcW w:w="2097" w:type="pct"/>
            <w:tcBorders>
              <w:top w:val="single" w:sz="24" w:space="0" w:color="316F72"/>
              <w:left w:val="single" w:sz="8" w:space="0" w:color="316F72"/>
              <w:bottom w:val="single" w:sz="8" w:space="0" w:color="316F72"/>
              <w:right w:val="single" w:sz="8" w:space="0" w:color="316F72"/>
            </w:tcBorders>
          </w:tcPr>
          <w:p w14:paraId="4998F08B" w14:textId="769DC826" w:rsidR="00EE22BA" w:rsidRPr="00A83121" w:rsidRDefault="00EE22BA" w:rsidP="006D465D">
            <w:r w:rsidRPr="002965E1">
              <w:t>Strengthen teacher practice in Victoria by establishing a Digital Assessment Library, an online resource that will develop and make available new digital student assessment tools and teacher resources to improve student learning assessment.</w:t>
            </w:r>
          </w:p>
        </w:tc>
        <w:tc>
          <w:tcPr>
            <w:tcW w:w="494" w:type="pct"/>
            <w:tcBorders>
              <w:top w:val="single" w:sz="24" w:space="0" w:color="316F72"/>
              <w:left w:val="single" w:sz="8" w:space="0" w:color="316F72"/>
              <w:bottom w:val="single" w:sz="8" w:space="0" w:color="316F72"/>
              <w:right w:val="single" w:sz="8" w:space="0" w:color="316F72"/>
            </w:tcBorders>
          </w:tcPr>
          <w:p w14:paraId="0B50D161" w14:textId="77777777" w:rsidR="00EE22BA" w:rsidRPr="009D0255" w:rsidRDefault="00EE22BA" w:rsidP="006D465D">
            <w:pPr>
              <w:rPr>
                <w:rFonts w:ascii="Corbel" w:eastAsia="Times New Roman" w:hAnsi="Corbel" w:cs="Arial"/>
                <w:sz w:val="23"/>
                <w:szCs w:val="23"/>
              </w:rPr>
            </w:pPr>
            <w:r w:rsidRPr="009D0255">
              <w:rPr>
                <w:color w:val="000000"/>
              </w:rPr>
              <w:t>All Sectors</w:t>
            </w:r>
          </w:p>
        </w:tc>
        <w:tc>
          <w:tcPr>
            <w:tcW w:w="393" w:type="pct"/>
            <w:tcBorders>
              <w:top w:val="single" w:sz="24" w:space="0" w:color="316F72"/>
              <w:left w:val="single" w:sz="8" w:space="0" w:color="316F72"/>
              <w:bottom w:val="single" w:sz="8" w:space="0" w:color="316F72"/>
              <w:right w:val="single" w:sz="8" w:space="0" w:color="316F72"/>
            </w:tcBorders>
          </w:tcPr>
          <w:p w14:paraId="367D1CC1" w14:textId="77777777" w:rsidR="00EE22BA" w:rsidRPr="002965E1" w:rsidRDefault="00EE22BA" w:rsidP="006D465D">
            <w:pPr>
              <w:rPr>
                <w:rFonts w:ascii="Corbel" w:eastAsia="Times New Roman" w:hAnsi="Corbel" w:cs="Arial"/>
                <w:sz w:val="23"/>
                <w:szCs w:val="23"/>
              </w:rPr>
            </w:pPr>
            <w:r w:rsidRPr="00C66D83">
              <w:rPr>
                <w:color w:val="000000"/>
              </w:rPr>
              <w:t>202</w:t>
            </w:r>
            <w:r w:rsidRPr="002965E1">
              <w:rPr>
                <w:color w:val="000000"/>
              </w:rPr>
              <w:t>0</w:t>
            </w:r>
          </w:p>
        </w:tc>
        <w:tc>
          <w:tcPr>
            <w:tcW w:w="2016" w:type="pct"/>
            <w:tcBorders>
              <w:top w:val="single" w:sz="24" w:space="0" w:color="316F72"/>
              <w:left w:val="single" w:sz="8" w:space="0" w:color="316F72"/>
              <w:bottom w:val="single" w:sz="8" w:space="0" w:color="316F72"/>
              <w:right w:val="single" w:sz="8" w:space="0" w:color="316F72"/>
            </w:tcBorders>
          </w:tcPr>
          <w:p w14:paraId="78C4D986" w14:textId="77777777" w:rsidR="00EE22BA" w:rsidRPr="002965E1" w:rsidRDefault="00EE22BA">
            <w:pPr>
              <w:rPr>
                <w:b/>
              </w:rPr>
            </w:pPr>
            <w:r w:rsidRPr="00A83121">
              <w:rPr>
                <w:b/>
              </w:rPr>
              <w:t>Implementation completed in 2020 (activities will be ongoing)</w:t>
            </w:r>
          </w:p>
          <w:p w14:paraId="32D9D979" w14:textId="77777777" w:rsidR="00EE22BA" w:rsidRPr="0062766D" w:rsidRDefault="00EE22BA" w:rsidP="006D465D">
            <w:pPr>
              <w:pStyle w:val="ListParagraph"/>
              <w:numPr>
                <w:ilvl w:val="0"/>
                <w:numId w:val="50"/>
              </w:numPr>
              <w:rPr>
                <w:rFonts w:eastAsia="Times New Roman"/>
              </w:rPr>
            </w:pPr>
            <w:r w:rsidRPr="0062766D">
              <w:t xml:space="preserve">The </w:t>
            </w:r>
            <w:hyperlink r:id="rId16" w:history="1">
              <w:r w:rsidRPr="0062766D">
                <w:rPr>
                  <w:rStyle w:val="Hyperlink"/>
                  <w:rFonts w:asciiTheme="majorHAnsi" w:hAnsiTheme="majorHAnsi" w:cstheme="majorHAnsi"/>
                </w:rPr>
                <w:t>Digital Assessment Library</w:t>
              </w:r>
            </w:hyperlink>
            <w:r w:rsidRPr="0062766D">
              <w:rPr>
                <w:rFonts w:eastAsia="Times New Roman" w:cs="Times New Roman"/>
                <w:szCs w:val="20"/>
                <w:lang w:eastAsia="en-US"/>
              </w:rPr>
              <w:t xml:space="preserve"> was released to Victorian schools across all sectors in 2020.</w:t>
            </w:r>
          </w:p>
          <w:p w14:paraId="6A78D118" w14:textId="77777777" w:rsidR="00EE22BA" w:rsidRPr="0062766D" w:rsidRDefault="00EE22BA" w:rsidP="006D465D">
            <w:pPr>
              <w:pStyle w:val="ListParagraph"/>
              <w:numPr>
                <w:ilvl w:val="0"/>
                <w:numId w:val="50"/>
              </w:numPr>
            </w:pPr>
            <w:r w:rsidRPr="0062766D">
              <w:t>A suite of assessments for Mathematics and English was made available.</w:t>
            </w:r>
            <w:r w:rsidRPr="0062766D" w:rsidDel="007A5FCC">
              <w:t xml:space="preserve"> </w:t>
            </w:r>
          </w:p>
          <w:p w14:paraId="37FA7344" w14:textId="77777777" w:rsidR="00EE22BA" w:rsidRPr="0062766D" w:rsidRDefault="00EE22BA" w:rsidP="006D465D">
            <w:pPr>
              <w:pStyle w:val="ListParagraph"/>
              <w:numPr>
                <w:ilvl w:val="0"/>
                <w:numId w:val="50"/>
              </w:numPr>
            </w:pPr>
            <w:r w:rsidRPr="0062766D">
              <w:t>Development of further content</w:t>
            </w:r>
            <w:r w:rsidRPr="0062766D" w:rsidDel="006C7BE7">
              <w:t xml:space="preserve"> for </w:t>
            </w:r>
            <w:r w:rsidRPr="0062766D">
              <w:t>English and Mathematics</w:t>
            </w:r>
            <w:r w:rsidRPr="0062766D" w:rsidDel="007A5FCC">
              <w:t xml:space="preserve"> </w:t>
            </w:r>
            <w:r w:rsidRPr="0062766D">
              <w:t>is ongoing, along with</w:t>
            </w:r>
            <w:r w:rsidRPr="0062766D" w:rsidDel="007A5FCC">
              <w:t xml:space="preserve"> </w:t>
            </w:r>
            <w:r w:rsidRPr="0062766D">
              <w:t xml:space="preserve">Science, Critical and Creative Thinking and Health and Physical Education.  </w:t>
            </w:r>
          </w:p>
          <w:p w14:paraId="1E24C09C" w14:textId="77777777" w:rsidR="00EE22BA" w:rsidRPr="002965E1" w:rsidRDefault="00EE22BA">
            <w:pPr>
              <w:rPr>
                <w:b/>
              </w:rPr>
            </w:pPr>
            <w:r w:rsidRPr="002965E1">
              <w:rPr>
                <w:b/>
              </w:rPr>
              <w:t xml:space="preserve">Catholic </w:t>
            </w:r>
          </w:p>
          <w:p w14:paraId="02FDF066" w14:textId="77777777" w:rsidR="00EE22BA" w:rsidRPr="00933B16" w:rsidRDefault="00EE22BA" w:rsidP="006D465D">
            <w:pPr>
              <w:pStyle w:val="ListParagraph"/>
              <w:numPr>
                <w:ilvl w:val="0"/>
                <w:numId w:val="52"/>
              </w:numPr>
              <w:rPr>
                <w:bCs/>
              </w:rPr>
            </w:pPr>
            <w:r w:rsidRPr="00933B16">
              <w:rPr>
                <w:bCs/>
              </w:rPr>
              <w:t xml:space="preserve">435 Catholic schools now have access to the Insight Assessment platform. In 2020, 81 Catholic Schools accessed English Online Interview (EOI) assessments, and 1315 Catholic schools accessed Maths Online Interview (MOI) assessments. This amounts to 934 EOI and 5392 MOI assessments delivered to Catholic schools to date.  </w:t>
            </w:r>
          </w:p>
          <w:p w14:paraId="62FC36B8" w14:textId="77777777" w:rsidR="00EE22BA" w:rsidRPr="0062766D" w:rsidRDefault="00EE22BA" w:rsidP="006D465D">
            <w:pPr>
              <w:pStyle w:val="ListParagraph"/>
              <w:numPr>
                <w:ilvl w:val="0"/>
                <w:numId w:val="52"/>
              </w:numPr>
              <w:rPr>
                <w:rFonts w:ascii="Corbel" w:hAnsi="Corbel" w:cs="Arial"/>
                <w:sz w:val="23"/>
                <w:szCs w:val="23"/>
              </w:rPr>
            </w:pPr>
            <w:r w:rsidRPr="008B680A">
              <w:rPr>
                <w:bCs/>
              </w:rPr>
              <w:lastRenderedPageBreak/>
              <w:t>The Catholic Education Commission of Victoria (CECV) delivered professional learning to their schools on effective use of Maths Online Assessment. Maths Online Assessment kits produced for s</w:t>
            </w:r>
            <w:r w:rsidRPr="00BF1AFB">
              <w:rPr>
                <w:bCs/>
              </w:rPr>
              <w:t xml:space="preserve">chools.  </w:t>
            </w:r>
          </w:p>
        </w:tc>
      </w:tr>
      <w:tr w:rsidR="00EE22BA" w:rsidRPr="002965E1" w14:paraId="580726C7" w14:textId="77777777" w:rsidTr="006D465D">
        <w:trPr>
          <w:trHeight w:val="583"/>
        </w:trPr>
        <w:tc>
          <w:tcPr>
            <w:tcW w:w="2097" w:type="pct"/>
            <w:tcBorders>
              <w:top w:val="single" w:sz="8" w:space="0" w:color="316F72"/>
              <w:left w:val="single" w:sz="8" w:space="0" w:color="316F72"/>
              <w:bottom w:val="single" w:sz="8" w:space="0" w:color="316F72"/>
              <w:right w:val="single" w:sz="8" w:space="0" w:color="316F72"/>
            </w:tcBorders>
          </w:tcPr>
          <w:p w14:paraId="319443CA" w14:textId="77777777" w:rsidR="00EE22BA" w:rsidRPr="006D465D" w:rsidRDefault="00EE22BA" w:rsidP="006D465D">
            <w:bookmarkStart w:id="1" w:name="_Hlk48890736"/>
            <w:r w:rsidRPr="006D465D">
              <w:lastRenderedPageBreak/>
              <w:t>Support students with disabilities and additional needs through providing scholarships for teachers to undertake postgraduate courses in special education.</w:t>
            </w:r>
          </w:p>
        </w:tc>
        <w:tc>
          <w:tcPr>
            <w:tcW w:w="494" w:type="pct"/>
            <w:tcBorders>
              <w:top w:val="single" w:sz="8" w:space="0" w:color="316F72"/>
              <w:left w:val="single" w:sz="8" w:space="0" w:color="316F72"/>
              <w:bottom w:val="single" w:sz="8" w:space="0" w:color="316F72"/>
              <w:right w:val="single" w:sz="8" w:space="0" w:color="316F72"/>
            </w:tcBorders>
          </w:tcPr>
          <w:p w14:paraId="1FF96E22" w14:textId="77777777" w:rsidR="00EE22BA" w:rsidRPr="004E1C0F" w:rsidRDefault="00EE22BA" w:rsidP="006D465D">
            <w:pPr>
              <w:rPr>
                <w:rFonts w:eastAsia="Times New Roman"/>
                <w:sz w:val="23"/>
                <w:szCs w:val="23"/>
              </w:rPr>
            </w:pPr>
            <w:r w:rsidRPr="004E1C0F" w:rsidDel="009C4B5A">
              <w:rPr>
                <w:color w:val="000000"/>
              </w:rPr>
              <w:t>Government</w:t>
            </w:r>
          </w:p>
        </w:tc>
        <w:tc>
          <w:tcPr>
            <w:tcW w:w="393" w:type="pct"/>
            <w:tcBorders>
              <w:top w:val="single" w:sz="8" w:space="0" w:color="316F72"/>
              <w:left w:val="single" w:sz="8" w:space="0" w:color="316F72"/>
              <w:bottom w:val="single" w:sz="8" w:space="0" w:color="316F72"/>
              <w:right w:val="single" w:sz="8" w:space="0" w:color="316F72"/>
            </w:tcBorders>
          </w:tcPr>
          <w:p w14:paraId="3F02D3D9" w14:textId="77777777" w:rsidR="00EE22BA" w:rsidRPr="00C66D83" w:rsidRDefault="00EE22BA" w:rsidP="006D465D">
            <w:pPr>
              <w:rPr>
                <w:rFonts w:ascii="Corbel" w:eastAsia="Times New Roman" w:hAnsi="Corbel" w:cs="Arial"/>
                <w:sz w:val="23"/>
                <w:szCs w:val="23"/>
              </w:rPr>
            </w:pPr>
            <w:r w:rsidRPr="009D0255" w:rsidDel="009C4B5A">
              <w:rPr>
                <w:rFonts w:eastAsia="Times New Roman"/>
                <w:color w:val="000000"/>
              </w:rPr>
              <w:t>From 2019</w:t>
            </w:r>
          </w:p>
        </w:tc>
        <w:tc>
          <w:tcPr>
            <w:tcW w:w="2016" w:type="pct"/>
            <w:tcBorders>
              <w:top w:val="single" w:sz="8" w:space="0" w:color="316F72"/>
              <w:left w:val="single" w:sz="8" w:space="0" w:color="316F72"/>
              <w:bottom w:val="single" w:sz="8" w:space="0" w:color="316F72"/>
              <w:right w:val="single" w:sz="8" w:space="0" w:color="316F72"/>
            </w:tcBorders>
          </w:tcPr>
          <w:p w14:paraId="6A860495" w14:textId="77777777" w:rsidR="00EE22BA" w:rsidRPr="002965E1" w:rsidRDefault="00EE22BA" w:rsidP="006D465D">
            <w:pPr>
              <w:rPr>
                <w:b/>
              </w:rPr>
            </w:pPr>
            <w:r w:rsidRPr="002965E1">
              <w:rPr>
                <w:b/>
              </w:rPr>
              <w:t>Commenced and ongoing</w:t>
            </w:r>
          </w:p>
          <w:p w14:paraId="326ABB12" w14:textId="3821BD73" w:rsidR="00EE22BA" w:rsidRPr="0062766D" w:rsidRDefault="00EE22BA" w:rsidP="006D465D">
            <w:pPr>
              <w:pStyle w:val="ListParagraph"/>
              <w:numPr>
                <w:ilvl w:val="0"/>
                <w:numId w:val="53"/>
              </w:numPr>
              <w:rPr>
                <w:sz w:val="20"/>
              </w:rPr>
            </w:pPr>
            <w:r w:rsidRPr="0062766D">
              <w:t xml:space="preserve">The </w:t>
            </w:r>
            <w:hyperlink r:id="rId17" w:history="1">
              <w:r w:rsidRPr="0062766D">
                <w:rPr>
                  <w:rStyle w:val="Hyperlink"/>
                  <w:rFonts w:asciiTheme="majorHAnsi" w:hAnsiTheme="majorHAnsi" w:cstheme="majorHAnsi"/>
                </w:rPr>
                <w:t>Master of Inclusive Education</w:t>
              </w:r>
            </w:hyperlink>
            <w:r w:rsidR="006D465D" w:rsidRPr="0062766D">
              <w:rPr>
                <w:rFonts w:eastAsia="Times New Roman" w:cs="Times New Roman"/>
                <w:szCs w:val="20"/>
                <w:lang w:eastAsia="en-US"/>
              </w:rPr>
              <w:t> </w:t>
            </w:r>
            <w:r w:rsidRPr="0062766D">
              <w:rPr>
                <w:rFonts w:eastAsia="Times New Roman" w:cs="Times New Roman"/>
                <w:szCs w:val="20"/>
                <w:lang w:eastAsia="en-US"/>
              </w:rPr>
              <w:t>(MIE)</w:t>
            </w:r>
            <w:r w:rsidR="006D465D" w:rsidRPr="0062766D">
              <w:rPr>
                <w:rFonts w:eastAsia="Times New Roman" w:cs="Times New Roman"/>
                <w:szCs w:val="20"/>
                <w:lang w:eastAsia="en-US"/>
              </w:rPr>
              <w:t xml:space="preserve"> </w:t>
            </w:r>
            <w:r w:rsidRPr="0062766D">
              <w:rPr>
                <w:rFonts w:eastAsia="Times New Roman" w:cs="Times New Roman"/>
                <w:szCs w:val="20"/>
                <w:lang w:eastAsia="en-US"/>
              </w:rPr>
              <w:t xml:space="preserve">program will provide 587 Master qualifications from 2018-2022 for teachers in Victorian government schools, and regional support employees (Student Support Services, Visiting Teachers and Regional Behaviour Coaches) to undertake a VIT endorsed postgraduate course focused on inclusive education or applied behaviour analysis. </w:t>
            </w:r>
          </w:p>
          <w:p w14:paraId="43976D71" w14:textId="77777777" w:rsidR="00EE22BA" w:rsidRPr="0062766D" w:rsidRDefault="00EE22BA" w:rsidP="006D465D">
            <w:pPr>
              <w:pStyle w:val="ListParagraph"/>
              <w:numPr>
                <w:ilvl w:val="0"/>
                <w:numId w:val="53"/>
              </w:numPr>
            </w:pPr>
            <w:r w:rsidRPr="0062766D">
              <w:t xml:space="preserve">The MIE has distributed 540 Master courses to the teaching workforce from 2018 to date, with 53 students commencing study in 2020. </w:t>
            </w:r>
          </w:p>
          <w:p w14:paraId="234E61F8" w14:textId="226A2B18" w:rsidR="00EE22BA" w:rsidRPr="0062766D" w:rsidRDefault="00EE22BA" w:rsidP="006D465D">
            <w:pPr>
              <w:pStyle w:val="ListParagraph"/>
              <w:numPr>
                <w:ilvl w:val="0"/>
                <w:numId w:val="53"/>
              </w:numPr>
            </w:pPr>
            <w:r w:rsidRPr="0062766D">
              <w:t xml:space="preserve">Out of the 540 Master courses undertaken, 128 have completed study, 380 are currently studying and 32 deferred. In addition to the 540, 51 </w:t>
            </w:r>
            <w:r w:rsidR="00DB0946" w:rsidRPr="0062766D">
              <w:t>recipients withdrew</w:t>
            </w:r>
            <w:r w:rsidRPr="0062766D">
              <w:t>.</w:t>
            </w:r>
          </w:p>
          <w:p w14:paraId="11111960" w14:textId="714E0E3B" w:rsidR="00EE22BA" w:rsidRPr="0062766D" w:rsidRDefault="00EE22BA" w:rsidP="006D465D">
            <w:pPr>
              <w:pStyle w:val="ListParagraph"/>
              <w:numPr>
                <w:ilvl w:val="0"/>
                <w:numId w:val="53"/>
              </w:numPr>
              <w:rPr>
                <w:rFonts w:ascii="Corbel" w:hAnsi="Corbel" w:cs="Arial"/>
                <w:sz w:val="23"/>
                <w:szCs w:val="23"/>
              </w:rPr>
            </w:pPr>
            <w:r w:rsidRPr="0062766D">
              <w:t>Over the remainder of the application rounds (2021</w:t>
            </w:r>
            <w:r w:rsidR="002C0011">
              <w:t>-</w:t>
            </w:r>
            <w:r w:rsidRPr="0062766D">
              <w:t xml:space="preserve">2022), the MIE will expend the remaining 47 </w:t>
            </w:r>
            <w:r w:rsidRPr="0062766D">
              <w:lastRenderedPageBreak/>
              <w:t xml:space="preserve">Master </w:t>
            </w:r>
            <w:r w:rsidR="00086F12" w:rsidRPr="0062766D">
              <w:t xml:space="preserve">courses </w:t>
            </w:r>
            <w:r w:rsidRPr="0062766D">
              <w:t>to schools in most need of a qualified practitioner in inclusive education.</w:t>
            </w:r>
          </w:p>
        </w:tc>
      </w:tr>
      <w:tr w:rsidR="00EE22BA" w:rsidRPr="002965E1" w14:paraId="7D2B4D7A" w14:textId="77777777" w:rsidTr="006D465D">
        <w:trPr>
          <w:trHeight w:val="583"/>
        </w:trPr>
        <w:tc>
          <w:tcPr>
            <w:tcW w:w="2097" w:type="pct"/>
            <w:tcBorders>
              <w:top w:val="single" w:sz="8" w:space="0" w:color="316F72"/>
              <w:left w:val="single" w:sz="8" w:space="0" w:color="316F72"/>
              <w:bottom w:val="single" w:sz="8" w:space="0" w:color="316F72"/>
              <w:right w:val="single" w:sz="8" w:space="0" w:color="316F72"/>
            </w:tcBorders>
          </w:tcPr>
          <w:p w14:paraId="11D5CD36" w14:textId="3352B8E8" w:rsidR="00EE22BA" w:rsidRPr="002965E1" w:rsidRDefault="00EE22BA" w:rsidP="00F331CE">
            <w:pPr>
              <w:rPr>
                <w:rFonts w:ascii="Corbel" w:hAnsi="Corbel" w:cs="Arial"/>
                <w:sz w:val="23"/>
                <w:szCs w:val="23"/>
              </w:rPr>
            </w:pPr>
            <w:bookmarkStart w:id="2" w:name="_Hlk45806847"/>
            <w:bookmarkEnd w:id="1"/>
            <w:r w:rsidRPr="002965E1">
              <w:lastRenderedPageBreak/>
              <w:t>Assist government school students to make better career and pathway decisions through redesigning careers education to provide Year 9 students with access to a new</w:t>
            </w:r>
            <w:r w:rsidR="002C0011">
              <w:t xml:space="preserve"> </w:t>
            </w:r>
            <w:r w:rsidRPr="002965E1">
              <w:t>Careers e-Portfolio, assisted by professional career diagnostic assessment and guidance, including one on one career guidance with accredited career professionals.</w:t>
            </w:r>
          </w:p>
        </w:tc>
        <w:tc>
          <w:tcPr>
            <w:tcW w:w="494" w:type="pct"/>
            <w:tcBorders>
              <w:top w:val="single" w:sz="8" w:space="0" w:color="316F72"/>
              <w:left w:val="single" w:sz="8" w:space="0" w:color="316F72"/>
              <w:bottom w:val="single" w:sz="8" w:space="0" w:color="316F72"/>
              <w:right w:val="single" w:sz="8" w:space="0" w:color="316F72"/>
            </w:tcBorders>
          </w:tcPr>
          <w:p w14:paraId="522E47FD" w14:textId="77777777" w:rsidR="00EE22BA" w:rsidRPr="002965E1" w:rsidRDefault="00EE22BA" w:rsidP="00F331CE">
            <w:pPr>
              <w:rPr>
                <w:rFonts w:ascii="Corbel" w:eastAsia="Times New Roman" w:hAnsi="Corbel" w:cs="Arial"/>
                <w:sz w:val="23"/>
                <w:szCs w:val="23"/>
              </w:rPr>
            </w:pPr>
            <w:r w:rsidRPr="002965E1">
              <w:rPr>
                <w:color w:val="000000"/>
              </w:rPr>
              <w:t>Government</w:t>
            </w:r>
          </w:p>
        </w:tc>
        <w:tc>
          <w:tcPr>
            <w:tcW w:w="393" w:type="pct"/>
            <w:tcBorders>
              <w:top w:val="single" w:sz="8" w:space="0" w:color="316F72"/>
              <w:left w:val="single" w:sz="8" w:space="0" w:color="316F72"/>
              <w:bottom w:val="single" w:sz="8" w:space="0" w:color="316F72"/>
              <w:right w:val="single" w:sz="8" w:space="0" w:color="316F72"/>
            </w:tcBorders>
          </w:tcPr>
          <w:p w14:paraId="548C97AA" w14:textId="77777777" w:rsidR="00EE22BA" w:rsidRPr="002965E1" w:rsidRDefault="00EE22BA" w:rsidP="00F331CE">
            <w:pPr>
              <w:rPr>
                <w:rFonts w:ascii="Corbel" w:eastAsia="Times New Roman" w:hAnsi="Corbel" w:cs="Arial"/>
                <w:sz w:val="23"/>
                <w:szCs w:val="23"/>
              </w:rPr>
            </w:pPr>
            <w:r w:rsidRPr="002965E1">
              <w:rPr>
                <w:color w:val="000000"/>
              </w:rPr>
              <w:t>From 2019</w:t>
            </w:r>
          </w:p>
        </w:tc>
        <w:tc>
          <w:tcPr>
            <w:tcW w:w="2016" w:type="pct"/>
            <w:tcBorders>
              <w:top w:val="single" w:sz="8" w:space="0" w:color="316F72"/>
              <w:left w:val="single" w:sz="8" w:space="0" w:color="316F72"/>
              <w:bottom w:val="single" w:sz="8" w:space="0" w:color="316F72"/>
              <w:right w:val="single" w:sz="8" w:space="0" w:color="316F72"/>
            </w:tcBorders>
            <w:shd w:val="clear" w:color="auto" w:fill="auto"/>
          </w:tcPr>
          <w:p w14:paraId="30A33E09" w14:textId="77777777" w:rsidR="00EE22BA" w:rsidRPr="002965E1" w:rsidRDefault="00EE22BA">
            <w:pPr>
              <w:rPr>
                <w:b/>
                <w:bCs/>
              </w:rPr>
            </w:pPr>
            <w:r w:rsidRPr="002965E1">
              <w:rPr>
                <w:b/>
                <w:bCs/>
              </w:rPr>
              <w:t>Implementation completed in 2019 (activities will be ongoing)</w:t>
            </w:r>
          </w:p>
          <w:p w14:paraId="018F9A9E" w14:textId="5662D2EA" w:rsidR="00EE22BA" w:rsidRPr="0062766D" w:rsidRDefault="004B5143" w:rsidP="006D465D">
            <w:pPr>
              <w:pStyle w:val="ListParagraph"/>
              <w:numPr>
                <w:ilvl w:val="0"/>
                <w:numId w:val="55"/>
              </w:numPr>
              <w:rPr>
                <w:rFonts w:ascii="Corbel" w:hAnsi="Corbel" w:cs="Arial"/>
                <w:sz w:val="23"/>
                <w:szCs w:val="23"/>
              </w:rPr>
            </w:pPr>
            <w:hyperlink r:id="rId18" w:history="1">
              <w:r w:rsidR="00EE22BA" w:rsidRPr="0062766D">
                <w:rPr>
                  <w:rStyle w:val="Hyperlink"/>
                  <w:rFonts w:asciiTheme="majorHAnsi" w:hAnsiTheme="majorHAnsi" w:cstheme="majorHAnsi"/>
                </w:rPr>
                <w:t>My Career Portfolio</w:t>
              </w:r>
            </w:hyperlink>
            <w:r w:rsidR="00EE22BA" w:rsidRPr="0062766D">
              <w:rPr>
                <w:rFonts w:eastAsia="Times New Roman" w:cs="Times New Roman"/>
                <w:szCs w:val="20"/>
                <w:lang w:eastAsia="en-US"/>
              </w:rPr>
              <w:t xml:space="preserve"> was developed and rolled out to Year 9 students in government schools in July 2019. The new career advisory service, </w:t>
            </w:r>
            <w:hyperlink r:id="rId19" w:history="1">
              <w:r w:rsidR="00EE22BA" w:rsidRPr="0062766D">
                <w:rPr>
                  <w:rStyle w:val="Hyperlink"/>
                  <w:rFonts w:asciiTheme="majorHAnsi" w:eastAsia="Times New Roman" w:hAnsiTheme="majorHAnsi" w:cstheme="majorHAnsi"/>
                  <w:szCs w:val="20"/>
                  <w:lang w:eastAsia="en-US"/>
                </w:rPr>
                <w:t>My Career Insights</w:t>
              </w:r>
            </w:hyperlink>
            <w:r w:rsidR="00EE22BA" w:rsidRPr="0062766D">
              <w:t>, was made available to Year 9 students in Victorian government schools from 2019.</w:t>
            </w:r>
            <w:r w:rsidR="002A15D9" w:rsidRPr="0062766D">
              <w:t xml:space="preserve"> </w:t>
            </w:r>
            <w:r w:rsidR="00EE22BA" w:rsidRPr="0062766D">
              <w:t>In 2020, the program was delivered online during periods of lockdown when students were learning from home.</w:t>
            </w:r>
          </w:p>
        </w:tc>
      </w:tr>
      <w:bookmarkEnd w:id="2"/>
      <w:tr w:rsidR="00EE22BA" w:rsidRPr="002965E1" w14:paraId="73D82C88" w14:textId="77777777" w:rsidTr="006D465D">
        <w:trPr>
          <w:trHeight w:val="583"/>
        </w:trPr>
        <w:tc>
          <w:tcPr>
            <w:tcW w:w="2097" w:type="pct"/>
            <w:tcBorders>
              <w:top w:val="single" w:sz="8" w:space="0" w:color="316F72"/>
              <w:left w:val="single" w:sz="8" w:space="0" w:color="316F72"/>
              <w:bottom w:val="single" w:sz="8" w:space="0" w:color="316F72"/>
              <w:right w:val="single" w:sz="8" w:space="0" w:color="316F72"/>
            </w:tcBorders>
          </w:tcPr>
          <w:p w14:paraId="4A5A4229" w14:textId="0EF58A2D" w:rsidR="00EE22BA" w:rsidRPr="002965E1" w:rsidRDefault="00EE22BA" w:rsidP="006D465D">
            <w:pPr>
              <w:rPr>
                <w:rFonts w:ascii="Corbel" w:hAnsi="Corbel" w:cs="Arial"/>
                <w:sz w:val="23"/>
                <w:szCs w:val="23"/>
              </w:rPr>
            </w:pPr>
            <w:r w:rsidRPr="002965E1">
              <w:t>Roll-out Head Start school-based apprenticeships and traineeships in secondary schools as a new flexible model in senior secondary schooling, involving an optional additional year of school to give secondary students an opportunity to learn their trade at school and get a job sooner.</w:t>
            </w:r>
          </w:p>
        </w:tc>
        <w:tc>
          <w:tcPr>
            <w:tcW w:w="494" w:type="pct"/>
            <w:tcBorders>
              <w:top w:val="single" w:sz="8" w:space="0" w:color="316F72"/>
              <w:left w:val="single" w:sz="8" w:space="0" w:color="316F72"/>
              <w:bottom w:val="single" w:sz="8" w:space="0" w:color="316F72"/>
              <w:right w:val="single" w:sz="8" w:space="0" w:color="316F72"/>
            </w:tcBorders>
          </w:tcPr>
          <w:p w14:paraId="03A8F777" w14:textId="77777777" w:rsidR="00EE22BA" w:rsidRPr="002965E1" w:rsidRDefault="00EE22BA" w:rsidP="006D465D">
            <w:pPr>
              <w:rPr>
                <w:rFonts w:ascii="Corbel" w:eastAsia="Times New Roman" w:hAnsi="Corbel" w:cs="Arial"/>
                <w:sz w:val="23"/>
                <w:szCs w:val="23"/>
              </w:rPr>
            </w:pPr>
            <w:r w:rsidRPr="002965E1">
              <w:rPr>
                <w:color w:val="000000"/>
              </w:rPr>
              <w:t>Government</w:t>
            </w:r>
          </w:p>
        </w:tc>
        <w:tc>
          <w:tcPr>
            <w:tcW w:w="393" w:type="pct"/>
            <w:tcBorders>
              <w:top w:val="single" w:sz="8" w:space="0" w:color="316F72"/>
              <w:left w:val="single" w:sz="8" w:space="0" w:color="316F72"/>
              <w:bottom w:val="single" w:sz="8" w:space="0" w:color="316F72"/>
              <w:right w:val="single" w:sz="8" w:space="0" w:color="316F72"/>
            </w:tcBorders>
          </w:tcPr>
          <w:p w14:paraId="042A43A3" w14:textId="77777777" w:rsidR="00EE22BA" w:rsidRPr="002965E1" w:rsidRDefault="00EE22BA" w:rsidP="006D465D">
            <w:pPr>
              <w:rPr>
                <w:rFonts w:ascii="Corbel" w:eastAsia="Times New Roman" w:hAnsi="Corbel" w:cs="Arial"/>
                <w:sz w:val="23"/>
                <w:szCs w:val="23"/>
              </w:rPr>
            </w:pPr>
            <w:r w:rsidRPr="002965E1">
              <w:rPr>
                <w:color w:val="000000"/>
              </w:rPr>
              <w:t>Ongoing</w:t>
            </w:r>
          </w:p>
        </w:tc>
        <w:tc>
          <w:tcPr>
            <w:tcW w:w="2016" w:type="pct"/>
            <w:tcBorders>
              <w:top w:val="single" w:sz="8" w:space="0" w:color="316F72"/>
              <w:left w:val="single" w:sz="8" w:space="0" w:color="316F72"/>
              <w:bottom w:val="single" w:sz="8" w:space="0" w:color="316F72"/>
              <w:right w:val="single" w:sz="8" w:space="0" w:color="316F72"/>
            </w:tcBorders>
            <w:shd w:val="clear" w:color="auto" w:fill="auto"/>
          </w:tcPr>
          <w:p w14:paraId="6471688E" w14:textId="77777777" w:rsidR="00EE22BA" w:rsidRPr="002965E1" w:rsidRDefault="00EE22BA">
            <w:pPr>
              <w:rPr>
                <w:b/>
                <w:bCs/>
              </w:rPr>
            </w:pPr>
            <w:r w:rsidRPr="002965E1">
              <w:rPr>
                <w:b/>
                <w:bCs/>
              </w:rPr>
              <w:t>Commenced and ongoing</w:t>
            </w:r>
          </w:p>
          <w:p w14:paraId="6DC4ED18" w14:textId="3AD37F6B" w:rsidR="00EE22BA" w:rsidRPr="0062766D" w:rsidRDefault="004B5143" w:rsidP="006D465D">
            <w:pPr>
              <w:pStyle w:val="ListParagraph"/>
              <w:numPr>
                <w:ilvl w:val="0"/>
                <w:numId w:val="55"/>
              </w:numPr>
              <w:rPr>
                <w:rFonts w:eastAsia="Times New Roman"/>
              </w:rPr>
            </w:pPr>
            <w:hyperlink r:id="rId20" w:history="1">
              <w:r w:rsidR="00EE22BA" w:rsidRPr="0062766D">
                <w:rPr>
                  <w:rStyle w:val="Hyperlink"/>
                  <w:rFonts w:asciiTheme="majorHAnsi" w:hAnsiTheme="majorHAnsi" w:cstheme="majorHAnsi"/>
                </w:rPr>
                <w:t>Head Start</w:t>
              </w:r>
            </w:hyperlink>
            <w:r w:rsidR="00EE22BA" w:rsidRPr="0062766D">
              <w:rPr>
                <w:rFonts w:eastAsia="Times New Roman" w:cs="Times New Roman"/>
                <w:szCs w:val="20"/>
                <w:lang w:eastAsia="en-US"/>
              </w:rPr>
              <w:t xml:space="preserve"> has expanded</w:t>
            </w:r>
            <w:r w:rsidR="00EE22BA" w:rsidRPr="0062766D" w:rsidDel="00F70D8A">
              <w:rPr>
                <w:rFonts w:eastAsia="Times New Roman" w:cs="Times New Roman"/>
                <w:szCs w:val="20"/>
                <w:lang w:eastAsia="en-US"/>
              </w:rPr>
              <w:t xml:space="preserve"> </w:t>
            </w:r>
            <w:r w:rsidR="00EE22BA" w:rsidRPr="0062766D">
              <w:rPr>
                <w:rFonts w:eastAsia="Times New Roman" w:cs="Times New Roman"/>
                <w:szCs w:val="20"/>
                <w:lang w:eastAsia="en-US"/>
              </w:rPr>
              <w:t xml:space="preserve">from the original 100 schools to 130 schools across 10 Cluster sites since 2019 and is </w:t>
            </w:r>
            <w:r w:rsidR="00DB0946" w:rsidRPr="0062766D">
              <w:rPr>
                <w:rFonts w:eastAsia="Times New Roman" w:cs="Times New Roman"/>
                <w:szCs w:val="20"/>
                <w:lang w:eastAsia="en-US"/>
              </w:rPr>
              <w:t>being implemented</w:t>
            </w:r>
            <w:r w:rsidR="00EE22BA" w:rsidRPr="0062766D">
              <w:rPr>
                <w:rFonts w:eastAsia="Times New Roman" w:cs="Times New Roman"/>
                <w:szCs w:val="20"/>
                <w:lang w:eastAsia="en-US"/>
              </w:rPr>
              <w:t xml:space="preserve"> by over 60 school-based staff. </w:t>
            </w:r>
          </w:p>
          <w:p w14:paraId="4A92912C" w14:textId="404B6F2A" w:rsidR="00EE22BA" w:rsidRPr="0062766D" w:rsidRDefault="00EE22BA" w:rsidP="006D465D">
            <w:pPr>
              <w:pStyle w:val="ListParagraph"/>
              <w:numPr>
                <w:ilvl w:val="0"/>
                <w:numId w:val="55"/>
              </w:numPr>
              <w:rPr>
                <w:rFonts w:eastAsia="Times New Roman"/>
              </w:rPr>
            </w:pPr>
            <w:r w:rsidRPr="0062766D">
              <w:t>Head Start apprenticeship and traineeship pathways are available in 44 qualifications which have been selected based on industry demand and regularly reviewed to reflect the changing economy.</w:t>
            </w:r>
          </w:p>
        </w:tc>
      </w:tr>
      <w:tr w:rsidR="00EE22BA" w:rsidRPr="002965E1" w14:paraId="4D086E62" w14:textId="77777777" w:rsidTr="00F331CE">
        <w:trPr>
          <w:trHeight w:val="583"/>
        </w:trPr>
        <w:tc>
          <w:tcPr>
            <w:tcW w:w="2097" w:type="pct"/>
            <w:tcBorders>
              <w:top w:val="single" w:sz="8" w:space="0" w:color="316F72"/>
              <w:left w:val="single" w:sz="8" w:space="0" w:color="316F72"/>
              <w:bottom w:val="single" w:sz="8" w:space="0" w:color="316F72"/>
              <w:right w:val="single" w:sz="8" w:space="0" w:color="316F72"/>
            </w:tcBorders>
          </w:tcPr>
          <w:p w14:paraId="4C09399C" w14:textId="6557CF3A" w:rsidR="00EE22BA" w:rsidRPr="002965E1" w:rsidRDefault="00EE22BA" w:rsidP="006D465D">
            <w:pPr>
              <w:rPr>
                <w:rFonts w:ascii="Corbel" w:hAnsi="Corbel" w:cs="Arial"/>
                <w:sz w:val="23"/>
                <w:szCs w:val="23"/>
              </w:rPr>
            </w:pPr>
            <w:r w:rsidRPr="002965E1">
              <w:lastRenderedPageBreak/>
              <w:t>Improve educational pathways for students expelled from school through developing and implementing cross-sectoral guidelines to support the transition of students expelled from a school into a new education, training</w:t>
            </w:r>
            <w:r w:rsidR="00E1617D">
              <w:t>,</w:t>
            </w:r>
            <w:r w:rsidRPr="002965E1">
              <w:t xml:space="preserve"> or employment setting.</w:t>
            </w:r>
          </w:p>
        </w:tc>
        <w:tc>
          <w:tcPr>
            <w:tcW w:w="494" w:type="pct"/>
            <w:tcBorders>
              <w:top w:val="single" w:sz="8" w:space="0" w:color="316F72"/>
              <w:left w:val="single" w:sz="8" w:space="0" w:color="316F72"/>
              <w:bottom w:val="single" w:sz="8" w:space="0" w:color="316F72"/>
              <w:right w:val="single" w:sz="8" w:space="0" w:color="316F72"/>
            </w:tcBorders>
          </w:tcPr>
          <w:p w14:paraId="18F3E2B3" w14:textId="77777777" w:rsidR="00EE22BA" w:rsidRPr="002965E1" w:rsidRDefault="00EE22BA" w:rsidP="006D465D">
            <w:pPr>
              <w:rPr>
                <w:rFonts w:ascii="Corbel" w:eastAsia="Times New Roman" w:hAnsi="Corbel" w:cs="Arial"/>
                <w:sz w:val="23"/>
                <w:szCs w:val="23"/>
              </w:rPr>
            </w:pPr>
            <w:r w:rsidRPr="002965E1">
              <w:rPr>
                <w:color w:val="000000"/>
              </w:rPr>
              <w:t>All Sectors</w:t>
            </w:r>
          </w:p>
        </w:tc>
        <w:tc>
          <w:tcPr>
            <w:tcW w:w="393" w:type="pct"/>
            <w:tcBorders>
              <w:top w:val="single" w:sz="8" w:space="0" w:color="316F72"/>
              <w:left w:val="single" w:sz="8" w:space="0" w:color="316F72"/>
              <w:bottom w:val="single" w:sz="8" w:space="0" w:color="316F72"/>
              <w:right w:val="single" w:sz="8" w:space="0" w:color="316F72"/>
            </w:tcBorders>
          </w:tcPr>
          <w:p w14:paraId="5F4CBC60" w14:textId="77777777" w:rsidR="00EE22BA" w:rsidRPr="002965E1" w:rsidRDefault="00EE22BA" w:rsidP="006D465D">
            <w:pPr>
              <w:rPr>
                <w:rFonts w:ascii="Corbel" w:eastAsia="Times New Roman" w:hAnsi="Corbel" w:cs="Arial"/>
                <w:sz w:val="23"/>
                <w:szCs w:val="23"/>
              </w:rPr>
            </w:pPr>
            <w:r w:rsidRPr="002965E1">
              <w:rPr>
                <w:color w:val="000000"/>
              </w:rPr>
              <w:t>From 2019</w:t>
            </w:r>
          </w:p>
        </w:tc>
        <w:tc>
          <w:tcPr>
            <w:tcW w:w="2016" w:type="pct"/>
            <w:tcBorders>
              <w:top w:val="single" w:sz="8" w:space="0" w:color="316F72"/>
              <w:left w:val="single" w:sz="8" w:space="0" w:color="316F72"/>
              <w:bottom w:val="single" w:sz="8" w:space="0" w:color="316F72"/>
              <w:right w:val="single" w:sz="8" w:space="0" w:color="316F72"/>
            </w:tcBorders>
            <w:shd w:val="clear" w:color="auto" w:fill="auto"/>
          </w:tcPr>
          <w:p w14:paraId="1DE3966E" w14:textId="77777777" w:rsidR="00EE22BA" w:rsidRPr="002965E1" w:rsidRDefault="00EE22BA">
            <w:pPr>
              <w:rPr>
                <w:b/>
                <w:bCs/>
              </w:rPr>
            </w:pPr>
            <w:r w:rsidRPr="002965E1">
              <w:rPr>
                <w:b/>
                <w:bCs/>
              </w:rPr>
              <w:t>Commenced and ongoing</w:t>
            </w:r>
          </w:p>
          <w:p w14:paraId="3F0EAE7C" w14:textId="77777777" w:rsidR="00EE22BA" w:rsidRPr="0062766D" w:rsidDel="00A34A2A" w:rsidRDefault="00EE22BA" w:rsidP="006D465D">
            <w:pPr>
              <w:pStyle w:val="ListParagraph"/>
              <w:numPr>
                <w:ilvl w:val="0"/>
                <w:numId w:val="56"/>
              </w:numPr>
            </w:pPr>
            <w:r w:rsidRPr="0062766D">
              <w:t>The School Policy and Funding Advisory Council (SPFAC) provides advice to the Minister for Education on regulatory, policy and funding issues that affect government and non-government schools.</w:t>
            </w:r>
          </w:p>
          <w:p w14:paraId="3148B18D" w14:textId="77777777" w:rsidR="00EE22BA" w:rsidRPr="0062766D" w:rsidRDefault="00EE22BA" w:rsidP="006D465D">
            <w:pPr>
              <w:pStyle w:val="ListParagraph"/>
              <w:numPr>
                <w:ilvl w:val="0"/>
                <w:numId w:val="56"/>
              </w:numPr>
              <w:rPr>
                <w:sz w:val="23"/>
                <w:szCs w:val="23"/>
              </w:rPr>
            </w:pPr>
            <w:r w:rsidRPr="0062766D">
              <w:t>SPFAC established the Access and Inclusion Working Group (AIWG) in November 2020 to develop options for addressing issues relating to students moving between schools and school sectors.</w:t>
            </w:r>
          </w:p>
          <w:p w14:paraId="4CD03448" w14:textId="77777777" w:rsidR="00EE22BA" w:rsidRPr="0062766D" w:rsidRDefault="00EE22BA" w:rsidP="006D465D">
            <w:pPr>
              <w:pStyle w:val="ListParagraph"/>
              <w:numPr>
                <w:ilvl w:val="0"/>
                <w:numId w:val="56"/>
              </w:numPr>
              <w:rPr>
                <w:sz w:val="23"/>
                <w:szCs w:val="23"/>
              </w:rPr>
            </w:pPr>
            <w:r w:rsidRPr="0062766D">
              <w:t xml:space="preserve">The scope of the AIWG includes: </w:t>
            </w:r>
          </w:p>
          <w:p w14:paraId="6A7281A0" w14:textId="6EA1A61A" w:rsidR="00EE22BA" w:rsidRPr="0062766D" w:rsidRDefault="00EE22BA" w:rsidP="006D465D">
            <w:pPr>
              <w:pStyle w:val="ListParagraph"/>
              <w:numPr>
                <w:ilvl w:val="1"/>
                <w:numId w:val="56"/>
              </w:numPr>
              <w:rPr>
                <w:sz w:val="23"/>
                <w:szCs w:val="23"/>
              </w:rPr>
            </w:pPr>
            <w:r w:rsidRPr="0062766D">
              <w:t>overseeing the collation and analysis of cross-sector student data to identify students at risk of disengagement and students not enrolled in an appropriate education setting</w:t>
            </w:r>
          </w:p>
          <w:p w14:paraId="45E3BE4D" w14:textId="77777777" w:rsidR="00EE22BA" w:rsidRPr="0062766D" w:rsidRDefault="00EE22BA" w:rsidP="006D465D">
            <w:pPr>
              <w:pStyle w:val="ListParagraph"/>
              <w:numPr>
                <w:ilvl w:val="1"/>
                <w:numId w:val="56"/>
              </w:numPr>
              <w:rPr>
                <w:rFonts w:ascii="Corbel" w:hAnsi="Corbel" w:cs="Arial"/>
                <w:sz w:val="23"/>
                <w:szCs w:val="23"/>
              </w:rPr>
            </w:pPr>
            <w:r w:rsidRPr="0062766D">
              <w:t>developing policy options to provide support to students at risk of disengagement and students moving between schools and other education settings, including for cases of expulsion.</w:t>
            </w:r>
            <w:r w:rsidRPr="0062766D">
              <w:rPr>
                <w:rFonts w:ascii="Corbel" w:hAnsi="Corbel" w:cs="Arial"/>
              </w:rPr>
              <w:t xml:space="preserve"> </w:t>
            </w:r>
          </w:p>
        </w:tc>
      </w:tr>
      <w:tr w:rsidR="00EE22BA" w:rsidRPr="002965E1" w14:paraId="410F91E8" w14:textId="77777777" w:rsidTr="00F331CE">
        <w:trPr>
          <w:trHeight w:val="583"/>
        </w:trPr>
        <w:tc>
          <w:tcPr>
            <w:tcW w:w="2097" w:type="pct"/>
            <w:tcBorders>
              <w:top w:val="single" w:sz="8" w:space="0" w:color="316F72"/>
              <w:left w:val="single" w:sz="8" w:space="0" w:color="316F72"/>
              <w:bottom w:val="single" w:sz="8" w:space="0" w:color="316F72"/>
              <w:right w:val="single" w:sz="8" w:space="0" w:color="316F72"/>
            </w:tcBorders>
          </w:tcPr>
          <w:p w14:paraId="50856C84" w14:textId="73B2DF3A" w:rsidR="00EE22BA" w:rsidRPr="002965E1" w:rsidRDefault="00EE22BA" w:rsidP="006D465D">
            <w:pPr>
              <w:rPr>
                <w:rFonts w:ascii="Corbel" w:hAnsi="Corbel" w:cs="Arial"/>
                <w:sz w:val="23"/>
                <w:szCs w:val="23"/>
              </w:rPr>
            </w:pPr>
            <w:bookmarkStart w:id="3" w:name="_Hlk48725697"/>
            <w:r w:rsidRPr="002965E1">
              <w:t xml:space="preserve">Participate in Getting it Right </w:t>
            </w:r>
            <w:r w:rsidR="00DB0946">
              <w:t>f</w:t>
            </w:r>
            <w:r w:rsidRPr="002965E1">
              <w:t xml:space="preserve">rom the Start: a project to improve oral language and literacy outcomes in the first two </w:t>
            </w:r>
            <w:r w:rsidRPr="002965E1">
              <w:lastRenderedPageBreak/>
              <w:t>years of school with a focus on equity intervention in low language performing schools.</w:t>
            </w:r>
          </w:p>
        </w:tc>
        <w:tc>
          <w:tcPr>
            <w:tcW w:w="494" w:type="pct"/>
            <w:tcBorders>
              <w:top w:val="single" w:sz="8" w:space="0" w:color="316F72"/>
              <w:left w:val="single" w:sz="8" w:space="0" w:color="316F72"/>
              <w:bottom w:val="single" w:sz="8" w:space="0" w:color="316F72"/>
              <w:right w:val="single" w:sz="8" w:space="0" w:color="316F72"/>
            </w:tcBorders>
          </w:tcPr>
          <w:p w14:paraId="29A0E908" w14:textId="77777777" w:rsidR="00EE22BA" w:rsidRPr="002965E1" w:rsidRDefault="00EE22BA" w:rsidP="006D465D">
            <w:pPr>
              <w:rPr>
                <w:rFonts w:ascii="Corbel" w:eastAsia="Times New Roman" w:hAnsi="Corbel" w:cs="Arial"/>
                <w:sz w:val="23"/>
                <w:szCs w:val="23"/>
              </w:rPr>
            </w:pPr>
            <w:r w:rsidRPr="002965E1">
              <w:rPr>
                <w:color w:val="000000"/>
              </w:rPr>
              <w:lastRenderedPageBreak/>
              <w:t>Catholic</w:t>
            </w:r>
          </w:p>
        </w:tc>
        <w:tc>
          <w:tcPr>
            <w:tcW w:w="393" w:type="pct"/>
            <w:tcBorders>
              <w:top w:val="single" w:sz="8" w:space="0" w:color="316F72"/>
              <w:left w:val="single" w:sz="8" w:space="0" w:color="316F72"/>
              <w:bottom w:val="single" w:sz="8" w:space="0" w:color="316F72"/>
              <w:right w:val="single" w:sz="8" w:space="0" w:color="316F72"/>
            </w:tcBorders>
          </w:tcPr>
          <w:p w14:paraId="1D18B306" w14:textId="77777777" w:rsidR="00EE22BA" w:rsidRPr="002965E1" w:rsidRDefault="00EE22BA" w:rsidP="006D465D">
            <w:pPr>
              <w:rPr>
                <w:rFonts w:ascii="Corbel" w:eastAsia="Times New Roman" w:hAnsi="Corbel" w:cs="Arial"/>
                <w:sz w:val="23"/>
                <w:szCs w:val="23"/>
              </w:rPr>
            </w:pPr>
            <w:r w:rsidRPr="002965E1">
              <w:rPr>
                <w:color w:val="000000"/>
              </w:rPr>
              <w:t>From 2019</w:t>
            </w:r>
          </w:p>
        </w:tc>
        <w:tc>
          <w:tcPr>
            <w:tcW w:w="2016" w:type="pct"/>
            <w:tcBorders>
              <w:top w:val="single" w:sz="8" w:space="0" w:color="316F72"/>
              <w:left w:val="single" w:sz="8" w:space="0" w:color="316F72"/>
              <w:bottom w:val="single" w:sz="8" w:space="0" w:color="316F72"/>
              <w:right w:val="single" w:sz="8" w:space="0" w:color="316F72"/>
            </w:tcBorders>
          </w:tcPr>
          <w:p w14:paraId="57989BDC" w14:textId="77777777" w:rsidR="00EE22BA" w:rsidRPr="002965E1" w:rsidRDefault="00EE22BA" w:rsidP="008B680A">
            <w:pPr>
              <w:rPr>
                <w:b/>
                <w:bCs/>
              </w:rPr>
            </w:pPr>
            <w:r w:rsidRPr="002965E1">
              <w:rPr>
                <w:b/>
                <w:bCs/>
              </w:rPr>
              <w:t>Commenced and ongoing</w:t>
            </w:r>
          </w:p>
          <w:p w14:paraId="14A026FC" w14:textId="77777777" w:rsidR="00EE22BA" w:rsidRPr="00025C78" w:rsidRDefault="00EE22BA" w:rsidP="00F331CE">
            <w:pPr>
              <w:pStyle w:val="ListParagraph"/>
              <w:numPr>
                <w:ilvl w:val="0"/>
                <w:numId w:val="71"/>
              </w:numPr>
              <w:rPr>
                <w:rFonts w:ascii="Corbel" w:hAnsi="Corbel" w:cs="Arial"/>
                <w:sz w:val="23"/>
                <w:szCs w:val="23"/>
              </w:rPr>
            </w:pPr>
            <w:r w:rsidRPr="008B680A">
              <w:lastRenderedPageBreak/>
              <w:t>Nine Catholic Education Melbourne schools continued their participation in 2020.</w:t>
            </w:r>
          </w:p>
          <w:p w14:paraId="5F043FC7" w14:textId="3C57B3DD" w:rsidR="00EE22BA" w:rsidRPr="00025C78" w:rsidRDefault="00EE22BA" w:rsidP="00F331CE">
            <w:pPr>
              <w:pStyle w:val="ListParagraph"/>
              <w:numPr>
                <w:ilvl w:val="0"/>
                <w:numId w:val="71"/>
              </w:numPr>
              <w:rPr>
                <w:rFonts w:ascii="Corbel" w:hAnsi="Corbel" w:cs="Arial"/>
                <w:sz w:val="23"/>
                <w:szCs w:val="23"/>
              </w:rPr>
            </w:pPr>
            <w:r w:rsidRPr="00025C78">
              <w:t>Implemented system wide professional learning</w:t>
            </w:r>
            <w:r w:rsidR="00033371" w:rsidRPr="00025C78">
              <w:t>,</w:t>
            </w:r>
            <w:r w:rsidRPr="00025C78">
              <w:t xml:space="preserve"> reading and spelling programs, Phonics in Context &amp; Word in Context programs, via webinars to 500 teachers and leaders as well as providing specialist professional learning support in Reading Recovery. Built online literacy resources housed in a new Portal “the Literacy Lab” including video resources with experts.   </w:t>
            </w:r>
          </w:p>
        </w:tc>
      </w:tr>
      <w:bookmarkEnd w:id="3"/>
    </w:tbl>
    <w:p w14:paraId="3173F3FD" w14:textId="77777777" w:rsidR="00DC4A5C" w:rsidRDefault="00DC4A5C" w:rsidP="00EE22BA">
      <w:pPr>
        <w:rPr>
          <w:vanish/>
        </w:rPr>
      </w:pPr>
    </w:p>
    <w:p w14:paraId="605D22F7" w14:textId="0BC220E0" w:rsidR="00942636" w:rsidRDefault="00942636" w:rsidP="00EE22BA">
      <w:pPr>
        <w:rPr>
          <w:vanish/>
        </w:rPr>
        <w:sectPr w:rsidR="00942636" w:rsidSect="006D465D">
          <w:footerReference w:type="default" r:id="rId21"/>
          <w:pgSz w:w="16840" w:h="11900" w:orient="landscape" w:code="9"/>
          <w:pgMar w:top="1440" w:right="1440" w:bottom="1440" w:left="1440" w:header="737" w:footer="737" w:gutter="0"/>
          <w:cols w:space="720"/>
          <w:docGrid w:linePitch="326"/>
        </w:sectPr>
      </w:pPr>
    </w:p>
    <w:p w14:paraId="4C435686" w14:textId="77777777" w:rsidR="00EE22BA" w:rsidRPr="002965E1" w:rsidRDefault="00EE22BA" w:rsidP="00EE22BA">
      <w:pPr>
        <w:pStyle w:val="Heading2"/>
      </w:pPr>
      <w:r w:rsidRPr="002965E1">
        <w:lastRenderedPageBreak/>
        <w:t>Reform Direction B – Support teaching, school leadership and school improvement</w:t>
      </w:r>
    </w:p>
    <w:tbl>
      <w:tblPr>
        <w:tblStyle w:val="TableGrid0"/>
        <w:tblW w:w="5000" w:type="pct"/>
        <w:tblInd w:w="0" w:type="dxa"/>
        <w:tblCellMar>
          <w:top w:w="57" w:type="dxa"/>
          <w:left w:w="108" w:type="dxa"/>
          <w:right w:w="115" w:type="dxa"/>
        </w:tblCellMar>
        <w:tblLook w:val="04A0" w:firstRow="1" w:lastRow="0" w:firstColumn="1" w:lastColumn="0" w:noHBand="0" w:noVBand="1"/>
        <w:tblCaption w:val="Reform Direction B – Support teaching, school leadership and school improvement"/>
        <w:tblDescription w:val="This table shows relevant actions under the reform direction, relevant sectors undertaking the action, timing of the action and progress towards implementing these actions by the individual state or territory."/>
      </w:tblPr>
      <w:tblGrid>
        <w:gridCol w:w="4621"/>
        <w:gridCol w:w="1375"/>
        <w:gridCol w:w="1003"/>
        <w:gridCol w:w="6941"/>
      </w:tblGrid>
      <w:tr w:rsidR="00EE22BA" w:rsidRPr="0062766D" w14:paraId="59A66759" w14:textId="77777777" w:rsidTr="006D465D">
        <w:trPr>
          <w:trHeight w:val="613"/>
          <w:tblHeader/>
        </w:trPr>
        <w:tc>
          <w:tcPr>
            <w:tcW w:w="1662" w:type="pct"/>
            <w:tcBorders>
              <w:top w:val="single" w:sz="24" w:space="0" w:color="316F72"/>
              <w:left w:val="single" w:sz="8" w:space="0" w:color="316F72"/>
              <w:bottom w:val="single" w:sz="24" w:space="0" w:color="316F72"/>
              <w:right w:val="single" w:sz="8" w:space="0" w:color="316F72"/>
            </w:tcBorders>
          </w:tcPr>
          <w:p w14:paraId="4E5B2EC4" w14:textId="77777777" w:rsidR="00EE22BA" w:rsidRPr="006D465D" w:rsidRDefault="00EE22BA" w:rsidP="006D465D">
            <w:pPr>
              <w:rPr>
                <w:b/>
                <w:bCs/>
              </w:rPr>
            </w:pPr>
            <w:r w:rsidRPr="006D465D">
              <w:rPr>
                <w:b/>
                <w:bCs/>
              </w:rPr>
              <w:t xml:space="preserve">Actions </w:t>
            </w:r>
          </w:p>
        </w:tc>
        <w:tc>
          <w:tcPr>
            <w:tcW w:w="480" w:type="pct"/>
            <w:tcBorders>
              <w:top w:val="single" w:sz="24" w:space="0" w:color="316F72"/>
              <w:left w:val="single" w:sz="8" w:space="0" w:color="316F72"/>
              <w:bottom w:val="single" w:sz="24" w:space="0" w:color="316F72"/>
              <w:right w:val="single" w:sz="8" w:space="0" w:color="316F72"/>
            </w:tcBorders>
          </w:tcPr>
          <w:p w14:paraId="1B1DF81C" w14:textId="77777777" w:rsidR="00EE22BA" w:rsidRPr="006D465D" w:rsidRDefault="00EE22BA" w:rsidP="006D465D">
            <w:pPr>
              <w:rPr>
                <w:b/>
                <w:bCs/>
              </w:rPr>
            </w:pPr>
            <w:r w:rsidRPr="006D465D">
              <w:rPr>
                <w:b/>
                <w:bCs/>
              </w:rPr>
              <w:t xml:space="preserve">Sector(s) </w:t>
            </w:r>
          </w:p>
        </w:tc>
        <w:tc>
          <w:tcPr>
            <w:tcW w:w="364" w:type="pct"/>
            <w:tcBorders>
              <w:top w:val="single" w:sz="24" w:space="0" w:color="316F72"/>
              <w:left w:val="single" w:sz="8" w:space="0" w:color="316F72"/>
              <w:bottom w:val="single" w:sz="24" w:space="0" w:color="316F72"/>
              <w:right w:val="single" w:sz="8" w:space="0" w:color="316F72"/>
            </w:tcBorders>
          </w:tcPr>
          <w:p w14:paraId="67C41B04" w14:textId="77777777" w:rsidR="00EE22BA" w:rsidRPr="006D465D" w:rsidRDefault="00EE22BA" w:rsidP="006D465D">
            <w:pPr>
              <w:rPr>
                <w:b/>
                <w:bCs/>
              </w:rPr>
            </w:pPr>
            <w:r w:rsidRPr="006D465D">
              <w:rPr>
                <w:b/>
                <w:bCs/>
              </w:rPr>
              <w:t xml:space="preserve">Timing </w:t>
            </w:r>
          </w:p>
        </w:tc>
        <w:tc>
          <w:tcPr>
            <w:tcW w:w="2494" w:type="pct"/>
            <w:tcBorders>
              <w:top w:val="single" w:sz="24" w:space="0" w:color="316F72"/>
              <w:left w:val="single" w:sz="8" w:space="0" w:color="316F72"/>
              <w:bottom w:val="single" w:sz="24" w:space="0" w:color="316F72"/>
              <w:right w:val="single" w:sz="8" w:space="0" w:color="316F72"/>
            </w:tcBorders>
            <w:vAlign w:val="center"/>
          </w:tcPr>
          <w:p w14:paraId="694D6847" w14:textId="77777777" w:rsidR="00EE22BA" w:rsidRPr="006D465D" w:rsidRDefault="00EE22BA" w:rsidP="006D465D">
            <w:pPr>
              <w:rPr>
                <w:b/>
                <w:bCs/>
              </w:rPr>
            </w:pPr>
            <w:r w:rsidRPr="006D465D">
              <w:rPr>
                <w:b/>
                <w:bCs/>
              </w:rPr>
              <w:t xml:space="preserve">Progress towards implementation of actions (including progress of non-government sector actions) </w:t>
            </w:r>
          </w:p>
        </w:tc>
      </w:tr>
      <w:tr w:rsidR="00EE22BA" w:rsidRPr="002965E1" w14:paraId="7DFD0DA6" w14:textId="77777777" w:rsidTr="00364760">
        <w:trPr>
          <w:trHeight w:val="521"/>
        </w:trPr>
        <w:tc>
          <w:tcPr>
            <w:tcW w:w="1662" w:type="pct"/>
            <w:tcBorders>
              <w:top w:val="single" w:sz="8" w:space="0" w:color="316F72"/>
              <w:left w:val="single" w:sz="8" w:space="0" w:color="316F72"/>
              <w:bottom w:val="single" w:sz="8" w:space="0" w:color="316F72"/>
              <w:right w:val="single" w:sz="8" w:space="0" w:color="316F72"/>
            </w:tcBorders>
          </w:tcPr>
          <w:p w14:paraId="706DF5DD" w14:textId="5267AF85" w:rsidR="00EE22BA" w:rsidRPr="00670811" w:rsidRDefault="00EE22BA" w:rsidP="006D465D">
            <w:pPr>
              <w:rPr>
                <w:rFonts w:ascii="Corbel" w:hAnsi="Corbel" w:cs="Arial"/>
                <w:sz w:val="23"/>
                <w:szCs w:val="23"/>
              </w:rPr>
            </w:pPr>
            <w:r w:rsidRPr="002965E1">
              <w:rPr>
                <w:rFonts w:asciiTheme="majorHAnsi" w:hAnsiTheme="majorHAnsi" w:cstheme="majorHAnsi"/>
              </w:rPr>
              <w:t xml:space="preserve">Develop and implement the </w:t>
            </w:r>
            <w:hyperlink r:id="rId22" w:anchor=":~:text=The%20Victorian%20Aspiring%20Principal%20Assessment,their%20targeted%20professional%20development%20needs" w:history="1">
              <w:r w:rsidRPr="00A83121">
                <w:rPr>
                  <w:rStyle w:val="Hyperlink"/>
                  <w:rFonts w:asciiTheme="majorHAnsi" w:eastAsia="Times New Roman" w:hAnsiTheme="majorHAnsi" w:cstheme="majorHAnsi"/>
                </w:rPr>
                <w:t xml:space="preserve">Victorian Aspiring </w:t>
              </w:r>
              <w:r w:rsidRPr="009D0255">
                <w:rPr>
                  <w:rStyle w:val="Hyperlink"/>
                  <w:rFonts w:asciiTheme="majorHAnsi" w:eastAsia="Times New Roman" w:hAnsiTheme="majorHAnsi" w:cstheme="majorHAnsi"/>
                </w:rPr>
                <w:t>Principal Assessment (VAPA)</w:t>
              </w:r>
            </w:hyperlink>
            <w:r w:rsidRPr="002965E1">
              <w:rPr>
                <w:rFonts w:asciiTheme="majorHAnsi" w:eastAsia="Times New Roman" w:hAnsiTheme="majorHAnsi" w:cstheme="majorHAnsi"/>
              </w:rPr>
              <w:t>, a benchmark assessment for all aspiring principals.</w:t>
            </w:r>
            <w:r w:rsidRPr="00A83121">
              <w:rPr>
                <w:rFonts w:asciiTheme="majorHAnsi" w:hAnsiTheme="majorHAnsi" w:cstheme="majorHAnsi"/>
              </w:rPr>
              <w:t xml:space="preserve"> </w:t>
            </w:r>
            <w:r w:rsidRPr="009D0255">
              <w:rPr>
                <w:rFonts w:asciiTheme="majorHAnsi" w:eastAsia="Times New Roman" w:hAnsiTheme="majorHAnsi" w:cstheme="majorHAnsi"/>
              </w:rPr>
              <w:t>The VAPA will provide feedback to guide development of aspiring principals and assess their suitability and readiness for the role.</w:t>
            </w:r>
          </w:p>
        </w:tc>
        <w:tc>
          <w:tcPr>
            <w:tcW w:w="480" w:type="pct"/>
            <w:tcBorders>
              <w:top w:val="single" w:sz="8" w:space="0" w:color="316F72"/>
              <w:left w:val="single" w:sz="8" w:space="0" w:color="316F72"/>
              <w:bottom w:val="single" w:sz="8" w:space="0" w:color="316F72"/>
              <w:right w:val="single" w:sz="8" w:space="0" w:color="316F72"/>
            </w:tcBorders>
          </w:tcPr>
          <w:p w14:paraId="457E2302" w14:textId="77777777" w:rsidR="00EE22BA" w:rsidRPr="002965E1" w:rsidRDefault="00EE22BA" w:rsidP="006D465D">
            <w:pPr>
              <w:rPr>
                <w:rFonts w:ascii="Corbel" w:hAnsi="Corbel" w:cs="Arial"/>
                <w:sz w:val="23"/>
                <w:szCs w:val="23"/>
              </w:rPr>
            </w:pPr>
            <w:r w:rsidRPr="002965E1">
              <w:rPr>
                <w:rFonts w:asciiTheme="majorHAnsi" w:eastAsia="Times New Roman" w:hAnsiTheme="majorHAnsi" w:cstheme="majorHAnsi"/>
              </w:rPr>
              <w:t>Government</w:t>
            </w:r>
          </w:p>
        </w:tc>
        <w:tc>
          <w:tcPr>
            <w:tcW w:w="364" w:type="pct"/>
            <w:tcBorders>
              <w:top w:val="single" w:sz="8" w:space="0" w:color="316F72"/>
              <w:left w:val="single" w:sz="8" w:space="0" w:color="316F72"/>
              <w:bottom w:val="single" w:sz="8" w:space="0" w:color="316F72"/>
              <w:right w:val="single" w:sz="8" w:space="0" w:color="316F72"/>
            </w:tcBorders>
          </w:tcPr>
          <w:p w14:paraId="1311EA28" w14:textId="77777777" w:rsidR="00EE22BA" w:rsidRPr="00A83121" w:rsidRDefault="00EE22BA" w:rsidP="006D465D">
            <w:pPr>
              <w:rPr>
                <w:rFonts w:ascii="Corbel" w:hAnsi="Corbel" w:cs="Arial"/>
                <w:sz w:val="23"/>
                <w:szCs w:val="23"/>
              </w:rPr>
            </w:pPr>
            <w:r w:rsidRPr="00A83121">
              <w:rPr>
                <w:rFonts w:asciiTheme="majorHAnsi" w:eastAsia="Times New Roman" w:hAnsiTheme="majorHAnsi" w:cstheme="majorHAnsi"/>
              </w:rPr>
              <w:t>2022</w:t>
            </w:r>
          </w:p>
        </w:tc>
        <w:tc>
          <w:tcPr>
            <w:tcW w:w="2494" w:type="pct"/>
            <w:tcBorders>
              <w:top w:val="single" w:sz="8" w:space="0" w:color="316F72"/>
              <w:left w:val="single" w:sz="8" w:space="0" w:color="316F72"/>
              <w:bottom w:val="single" w:sz="8" w:space="0" w:color="316F72"/>
              <w:right w:val="single" w:sz="8" w:space="0" w:color="316F72"/>
            </w:tcBorders>
            <w:vAlign w:val="center"/>
          </w:tcPr>
          <w:p w14:paraId="3150BF9F" w14:textId="77777777" w:rsidR="00EE22BA" w:rsidRPr="009D0255" w:rsidRDefault="00EE22BA">
            <w:pPr>
              <w:rPr>
                <w:rFonts w:asciiTheme="majorHAnsi" w:hAnsiTheme="majorHAnsi" w:cstheme="majorHAnsi"/>
                <w:b/>
              </w:rPr>
            </w:pPr>
            <w:bookmarkStart w:id="4" w:name="_Hlk45879814"/>
            <w:r w:rsidRPr="009D0255">
              <w:rPr>
                <w:rFonts w:asciiTheme="majorHAnsi" w:hAnsiTheme="majorHAnsi" w:cstheme="majorHAnsi"/>
                <w:b/>
              </w:rPr>
              <w:t>Commenced and ongoing</w:t>
            </w:r>
          </w:p>
          <w:p w14:paraId="01D40E5B" w14:textId="77777777" w:rsidR="00EE22BA" w:rsidRPr="006D465D" w:rsidRDefault="00EE22BA" w:rsidP="006D465D">
            <w:pPr>
              <w:pStyle w:val="ListParagraph"/>
              <w:numPr>
                <w:ilvl w:val="0"/>
                <w:numId w:val="58"/>
              </w:numPr>
              <w:rPr>
                <w:rFonts w:asciiTheme="majorHAnsi" w:hAnsiTheme="majorHAnsi" w:cstheme="majorHAnsi"/>
              </w:rPr>
            </w:pPr>
            <w:r w:rsidRPr="006D465D">
              <w:rPr>
                <w:rFonts w:asciiTheme="majorHAnsi" w:hAnsiTheme="majorHAnsi" w:cstheme="majorHAnsi"/>
              </w:rPr>
              <w:t xml:space="preserve">In 2020, 189 aspiring principals were assessed. To date, a total of 275 aspiring principals have been assessed.  </w:t>
            </w:r>
          </w:p>
          <w:p w14:paraId="3F37797F" w14:textId="77777777" w:rsidR="00EE22BA" w:rsidRPr="006D465D" w:rsidRDefault="00EE22BA" w:rsidP="006D465D">
            <w:pPr>
              <w:pStyle w:val="ListParagraph"/>
              <w:numPr>
                <w:ilvl w:val="0"/>
                <w:numId w:val="58"/>
              </w:numPr>
              <w:rPr>
                <w:rFonts w:asciiTheme="majorHAnsi" w:eastAsia="Times New Roman" w:hAnsiTheme="majorHAnsi" w:cstheme="majorHAnsi"/>
              </w:rPr>
            </w:pPr>
            <w:r w:rsidRPr="006D465D">
              <w:rPr>
                <w:rFonts w:asciiTheme="majorHAnsi" w:hAnsiTheme="majorHAnsi" w:cstheme="majorHAnsi"/>
              </w:rPr>
              <w:t>There is capacity to assess up to 400 aspiring principals each calendar year.</w:t>
            </w:r>
          </w:p>
          <w:bookmarkEnd w:id="4"/>
          <w:p w14:paraId="4E3CDF12" w14:textId="2927679A" w:rsidR="00EE22BA" w:rsidRPr="006D465D" w:rsidRDefault="00EE22BA" w:rsidP="006D465D">
            <w:pPr>
              <w:pStyle w:val="ListParagraph"/>
              <w:numPr>
                <w:ilvl w:val="0"/>
                <w:numId w:val="58"/>
              </w:numPr>
              <w:rPr>
                <w:rFonts w:asciiTheme="majorHAnsi" w:eastAsia="Times New Roman" w:hAnsiTheme="majorHAnsi" w:cstheme="majorHAnsi"/>
              </w:rPr>
            </w:pPr>
            <w:r w:rsidRPr="006D465D">
              <w:rPr>
                <w:rFonts w:asciiTheme="majorHAnsi" w:hAnsiTheme="majorHAnsi" w:cstheme="majorHAnsi"/>
              </w:rPr>
              <w:t xml:space="preserve">Candidates register for the VAPA </w:t>
            </w:r>
            <w:r w:rsidR="00DB0946" w:rsidRPr="006D465D">
              <w:rPr>
                <w:rFonts w:asciiTheme="majorHAnsi" w:hAnsiTheme="majorHAnsi" w:cstheme="majorHAnsi"/>
              </w:rPr>
              <w:t>online and</w:t>
            </w:r>
            <w:r w:rsidRPr="006D465D">
              <w:rPr>
                <w:rFonts w:asciiTheme="majorHAnsi" w:hAnsiTheme="majorHAnsi" w:cstheme="majorHAnsi"/>
              </w:rPr>
              <w:t xml:space="preserve"> undertake the assessment at their own pace; and can complete within five weeks.</w:t>
            </w:r>
          </w:p>
          <w:p w14:paraId="10468F88" w14:textId="77777777" w:rsidR="00EE22BA" w:rsidRPr="0062766D" w:rsidRDefault="00EE22BA" w:rsidP="006D465D">
            <w:pPr>
              <w:pStyle w:val="ListParagraph"/>
              <w:numPr>
                <w:ilvl w:val="0"/>
                <w:numId w:val="58"/>
              </w:numPr>
              <w:rPr>
                <w:rFonts w:ascii="Corbel" w:hAnsi="Corbel" w:cs="Arial"/>
                <w:sz w:val="23"/>
                <w:szCs w:val="23"/>
              </w:rPr>
            </w:pPr>
            <w:r w:rsidRPr="006D465D">
              <w:rPr>
                <w:rFonts w:asciiTheme="majorHAnsi" w:hAnsiTheme="majorHAnsi" w:cstheme="majorHAnsi"/>
              </w:rPr>
              <w:t>Completion of the VAPA and provision of a statement of readiness is an eligibility requirement for appointment to a principal position in the Victorian teaching service for roles advertised on and from 1 January 2022.</w:t>
            </w:r>
          </w:p>
        </w:tc>
      </w:tr>
      <w:tr w:rsidR="00EE22BA" w:rsidRPr="002965E1" w14:paraId="5BD18B0D" w14:textId="77777777" w:rsidTr="00364760">
        <w:trPr>
          <w:trHeight w:val="521"/>
        </w:trPr>
        <w:tc>
          <w:tcPr>
            <w:tcW w:w="1662" w:type="pct"/>
            <w:tcBorders>
              <w:top w:val="single" w:sz="8" w:space="0" w:color="316F72"/>
              <w:left w:val="single" w:sz="8" w:space="0" w:color="316F72"/>
              <w:bottom w:val="single" w:sz="8" w:space="0" w:color="316F72"/>
              <w:right w:val="single" w:sz="8" w:space="0" w:color="316F72"/>
            </w:tcBorders>
          </w:tcPr>
          <w:p w14:paraId="071D70FB" w14:textId="4596E734" w:rsidR="00EE22BA" w:rsidRPr="002965E1" w:rsidRDefault="00EE22BA" w:rsidP="006D465D">
            <w:r w:rsidRPr="002965E1">
              <w:t>Strengthen STEM education through training additional teachers to become Primary Maths and Science Specialists, increasing STEM knowledge and capability within schools.</w:t>
            </w:r>
          </w:p>
        </w:tc>
        <w:tc>
          <w:tcPr>
            <w:tcW w:w="480" w:type="pct"/>
            <w:tcBorders>
              <w:top w:val="single" w:sz="8" w:space="0" w:color="316F72"/>
              <w:left w:val="single" w:sz="8" w:space="0" w:color="316F72"/>
              <w:bottom w:val="single" w:sz="8" w:space="0" w:color="316F72"/>
              <w:right w:val="single" w:sz="8" w:space="0" w:color="316F72"/>
            </w:tcBorders>
          </w:tcPr>
          <w:p w14:paraId="0F83F293" w14:textId="77777777" w:rsidR="00EE22BA" w:rsidRPr="002965E1" w:rsidRDefault="00EE22BA" w:rsidP="006D465D">
            <w:pPr>
              <w:rPr>
                <w:rFonts w:ascii="Corbel" w:hAnsi="Corbel" w:cs="Arial"/>
                <w:sz w:val="23"/>
                <w:szCs w:val="23"/>
              </w:rPr>
            </w:pPr>
            <w:r w:rsidRPr="002965E1">
              <w:t>Government</w:t>
            </w:r>
          </w:p>
        </w:tc>
        <w:tc>
          <w:tcPr>
            <w:tcW w:w="364" w:type="pct"/>
            <w:tcBorders>
              <w:top w:val="single" w:sz="8" w:space="0" w:color="316F72"/>
              <w:left w:val="single" w:sz="8" w:space="0" w:color="316F72"/>
              <w:bottom w:val="single" w:sz="8" w:space="0" w:color="316F72"/>
              <w:right w:val="single" w:sz="8" w:space="0" w:color="316F72"/>
            </w:tcBorders>
          </w:tcPr>
          <w:p w14:paraId="53FDBD61" w14:textId="77777777" w:rsidR="00EE22BA" w:rsidRPr="002965E1" w:rsidRDefault="00EE22BA" w:rsidP="006D465D">
            <w:pPr>
              <w:rPr>
                <w:rFonts w:ascii="Corbel" w:hAnsi="Corbel" w:cs="Arial"/>
                <w:sz w:val="23"/>
                <w:szCs w:val="23"/>
              </w:rPr>
            </w:pPr>
            <w:r w:rsidRPr="002965E1">
              <w:t>2019-2021</w:t>
            </w:r>
          </w:p>
        </w:tc>
        <w:tc>
          <w:tcPr>
            <w:tcW w:w="2494" w:type="pct"/>
            <w:tcBorders>
              <w:top w:val="single" w:sz="8" w:space="0" w:color="316F72"/>
              <w:left w:val="single" w:sz="8" w:space="0" w:color="316F72"/>
              <w:bottom w:val="single" w:sz="8" w:space="0" w:color="316F72"/>
              <w:right w:val="single" w:sz="8" w:space="0" w:color="316F72"/>
            </w:tcBorders>
            <w:vAlign w:val="center"/>
          </w:tcPr>
          <w:p w14:paraId="4857131F" w14:textId="77777777" w:rsidR="00EE22BA" w:rsidRPr="002965E1" w:rsidRDefault="00EE22BA">
            <w:pPr>
              <w:rPr>
                <w:b/>
                <w:bCs/>
              </w:rPr>
            </w:pPr>
            <w:r w:rsidRPr="002965E1">
              <w:rPr>
                <w:b/>
                <w:bCs/>
              </w:rPr>
              <w:t xml:space="preserve">Commenced </w:t>
            </w:r>
            <w:r>
              <w:rPr>
                <w:b/>
                <w:bCs/>
              </w:rPr>
              <w:t xml:space="preserve">in 2019 (activities are </w:t>
            </w:r>
            <w:r w:rsidRPr="002965E1">
              <w:rPr>
                <w:b/>
                <w:bCs/>
              </w:rPr>
              <w:t>ongoing</w:t>
            </w:r>
            <w:r>
              <w:rPr>
                <w:b/>
                <w:bCs/>
              </w:rPr>
              <w:t>)</w:t>
            </w:r>
          </w:p>
          <w:p w14:paraId="4ADEAE4D" w14:textId="63C5AB3C" w:rsidR="00EE22BA" w:rsidRPr="0062766D" w:rsidRDefault="00EE22BA" w:rsidP="006D465D">
            <w:pPr>
              <w:pStyle w:val="ListParagraph"/>
              <w:numPr>
                <w:ilvl w:val="0"/>
                <w:numId w:val="59"/>
              </w:numPr>
              <w:rPr>
                <w:rFonts w:eastAsia="Times New Roman"/>
              </w:rPr>
            </w:pPr>
            <w:r w:rsidRPr="0062766D">
              <w:t xml:space="preserve">The Primary Mathematics and Science Specialists initiative was rolled out to over 200 teacher participants from 100 schools across Victoria in 2019. 2020 was the second year of the two-year program. </w:t>
            </w:r>
            <w:bookmarkStart w:id="5" w:name="_Hlk79572521"/>
            <w:r w:rsidRPr="0062766D">
              <w:t>A further cohort of participants will commence the two-year program in 2021.</w:t>
            </w:r>
            <w:bookmarkEnd w:id="5"/>
          </w:p>
        </w:tc>
      </w:tr>
      <w:tr w:rsidR="00EE22BA" w:rsidRPr="002965E1" w14:paraId="21318E45" w14:textId="77777777" w:rsidTr="00364760">
        <w:trPr>
          <w:trHeight w:val="521"/>
        </w:trPr>
        <w:tc>
          <w:tcPr>
            <w:tcW w:w="1662" w:type="pct"/>
            <w:tcBorders>
              <w:top w:val="single" w:sz="8" w:space="0" w:color="316F72"/>
              <w:left w:val="single" w:sz="8" w:space="0" w:color="316F72"/>
              <w:bottom w:val="single" w:sz="8" w:space="0" w:color="316F72"/>
              <w:right w:val="single" w:sz="8" w:space="0" w:color="316F72"/>
            </w:tcBorders>
          </w:tcPr>
          <w:p w14:paraId="21F564BA" w14:textId="614AF719" w:rsidR="00EE22BA" w:rsidRPr="00670811" w:rsidRDefault="00EE22BA" w:rsidP="006D465D">
            <w:pPr>
              <w:rPr>
                <w:rFonts w:eastAsia="Times New Roman"/>
              </w:rPr>
            </w:pPr>
            <w:r w:rsidRPr="002965E1">
              <w:lastRenderedPageBreak/>
              <w:t>Introduce a Professional Practice Leader to support Koorie students’ literacy and numeracy.</w:t>
            </w:r>
          </w:p>
        </w:tc>
        <w:tc>
          <w:tcPr>
            <w:tcW w:w="480" w:type="pct"/>
            <w:tcBorders>
              <w:top w:val="single" w:sz="8" w:space="0" w:color="316F72"/>
              <w:left w:val="single" w:sz="8" w:space="0" w:color="316F72"/>
              <w:bottom w:val="single" w:sz="8" w:space="0" w:color="316F72"/>
              <w:right w:val="single" w:sz="8" w:space="0" w:color="316F72"/>
            </w:tcBorders>
          </w:tcPr>
          <w:p w14:paraId="5E2604B7" w14:textId="77777777" w:rsidR="00EE22BA" w:rsidRPr="002965E1" w:rsidRDefault="00EE22BA" w:rsidP="006D465D">
            <w:pPr>
              <w:rPr>
                <w:rFonts w:ascii="Corbel" w:hAnsi="Corbel" w:cs="Arial"/>
                <w:sz w:val="23"/>
                <w:szCs w:val="23"/>
              </w:rPr>
            </w:pPr>
            <w:r w:rsidRPr="002965E1">
              <w:rPr>
                <w:rFonts w:eastAsia="Times New Roman"/>
              </w:rPr>
              <w:t>Government</w:t>
            </w:r>
          </w:p>
        </w:tc>
        <w:tc>
          <w:tcPr>
            <w:tcW w:w="364" w:type="pct"/>
            <w:tcBorders>
              <w:top w:val="single" w:sz="8" w:space="0" w:color="316F72"/>
              <w:left w:val="single" w:sz="8" w:space="0" w:color="316F72"/>
              <w:bottom w:val="single" w:sz="8" w:space="0" w:color="316F72"/>
              <w:right w:val="single" w:sz="8" w:space="0" w:color="316F72"/>
            </w:tcBorders>
          </w:tcPr>
          <w:p w14:paraId="738FD5D1" w14:textId="77777777" w:rsidR="00EE22BA" w:rsidRPr="009D0255" w:rsidRDefault="00EE22BA" w:rsidP="006D465D">
            <w:pPr>
              <w:rPr>
                <w:rFonts w:ascii="Corbel" w:hAnsi="Corbel" w:cs="Arial"/>
                <w:sz w:val="23"/>
                <w:szCs w:val="23"/>
              </w:rPr>
            </w:pPr>
            <w:r w:rsidRPr="00A83121">
              <w:rPr>
                <w:rFonts w:eastAsia="Times New Roman"/>
              </w:rPr>
              <w:t>2019</w:t>
            </w:r>
          </w:p>
        </w:tc>
        <w:tc>
          <w:tcPr>
            <w:tcW w:w="2494" w:type="pct"/>
            <w:tcBorders>
              <w:top w:val="single" w:sz="8" w:space="0" w:color="316F72"/>
              <w:left w:val="single" w:sz="8" w:space="0" w:color="316F72"/>
              <w:bottom w:val="single" w:sz="8" w:space="0" w:color="316F72"/>
              <w:right w:val="single" w:sz="8" w:space="0" w:color="316F72"/>
            </w:tcBorders>
            <w:vAlign w:val="center"/>
          </w:tcPr>
          <w:p w14:paraId="700A9DFF" w14:textId="77777777" w:rsidR="00EE22BA" w:rsidRPr="002965E1" w:rsidRDefault="00EE22BA">
            <w:pPr>
              <w:rPr>
                <w:b/>
              </w:rPr>
            </w:pPr>
            <w:r w:rsidRPr="00C66D83">
              <w:rPr>
                <w:b/>
              </w:rPr>
              <w:t>Implementation completed in 2019 (activities will be ongoing)</w:t>
            </w:r>
          </w:p>
          <w:p w14:paraId="625C2F34" w14:textId="77777777" w:rsidR="00EE22BA" w:rsidRPr="0062766D" w:rsidRDefault="00EE22BA" w:rsidP="006D465D">
            <w:pPr>
              <w:pStyle w:val="ListParagraph"/>
              <w:numPr>
                <w:ilvl w:val="0"/>
                <w:numId w:val="59"/>
              </w:numPr>
              <w:rPr>
                <w:rFonts w:eastAsia="Times New Roman"/>
              </w:rPr>
            </w:pPr>
            <w:bookmarkStart w:id="6" w:name="_Hlk73522829"/>
            <w:r w:rsidRPr="0062766D">
              <w:t xml:space="preserve">One practice leader commenced in 2019 and was appointed for four years. </w:t>
            </w:r>
          </w:p>
          <w:p w14:paraId="058BC991" w14:textId="77777777" w:rsidR="00EE22BA" w:rsidRPr="0062766D" w:rsidRDefault="00EE22BA" w:rsidP="006D465D">
            <w:pPr>
              <w:pStyle w:val="ListParagraph"/>
              <w:numPr>
                <w:ilvl w:val="0"/>
                <w:numId w:val="59"/>
              </w:numPr>
              <w:rPr>
                <w:rFonts w:eastAsia="Times New Roman"/>
              </w:rPr>
            </w:pPr>
            <w:bookmarkStart w:id="7" w:name="_Hlk73522853"/>
            <w:bookmarkEnd w:id="6"/>
            <w:r w:rsidRPr="006D465D">
              <w:rPr>
                <w:rFonts w:eastAsiaTheme="majorEastAsia" w:cstheme="majorBidi"/>
              </w:rPr>
              <w:t>Professional Development commenced in 2020 and will continue until 2023</w:t>
            </w:r>
            <w:bookmarkEnd w:id="7"/>
            <w:r w:rsidRPr="006D465D">
              <w:rPr>
                <w:rFonts w:eastAsiaTheme="majorEastAsia" w:cstheme="majorBidi"/>
              </w:rPr>
              <w:t>, including practical strategies for teachers to apply the teacher resources, developed in 2019, to support Koorie students.</w:t>
            </w:r>
          </w:p>
          <w:p w14:paraId="5EC073D3" w14:textId="77777777" w:rsidR="00EE22BA" w:rsidRPr="0062766D" w:rsidRDefault="00EE22BA" w:rsidP="006D465D">
            <w:pPr>
              <w:pStyle w:val="ListParagraph"/>
              <w:numPr>
                <w:ilvl w:val="0"/>
                <w:numId w:val="59"/>
              </w:numPr>
              <w:rPr>
                <w:rFonts w:eastAsia="Times New Roman"/>
              </w:rPr>
            </w:pPr>
            <w:r w:rsidRPr="006D465D">
              <w:rPr>
                <w:rFonts w:eastAsiaTheme="majorEastAsia" w:cstheme="majorBidi"/>
              </w:rPr>
              <w:t>The Koorie English Professional Development Program was designed as one day of professional learning and a follow-up school visit from the Professional Practice Leader.</w:t>
            </w:r>
          </w:p>
          <w:p w14:paraId="18284FAE" w14:textId="45F3C2DA" w:rsidR="00EE22BA" w:rsidRPr="0062766D" w:rsidRDefault="00EE22BA" w:rsidP="006D465D">
            <w:pPr>
              <w:pStyle w:val="ListParagraph"/>
              <w:numPr>
                <w:ilvl w:val="0"/>
                <w:numId w:val="59"/>
              </w:numPr>
              <w:rPr>
                <w:rFonts w:eastAsia="Times New Roman"/>
              </w:rPr>
            </w:pPr>
            <w:r w:rsidRPr="0062766D">
              <w:t>The facilitation was adapted to respond to COVID-19 restrictions during 2020. Facilitation was provided online for nine full days, which was open to all regions and areas. After school sessions were provided on a termly basis from Term 2 onwards. The three modules provide teachers with practical strategies for supporting and using Koorie English in the classroom</w:t>
            </w:r>
            <w:r w:rsidR="00FC27E6" w:rsidRPr="0062766D">
              <w:t>.</w:t>
            </w:r>
          </w:p>
          <w:p w14:paraId="5D857A82" w14:textId="77777777" w:rsidR="00EE22BA" w:rsidRPr="0062766D" w:rsidRDefault="00EE22BA" w:rsidP="006D465D">
            <w:pPr>
              <w:pStyle w:val="ListParagraph"/>
              <w:numPr>
                <w:ilvl w:val="1"/>
                <w:numId w:val="60"/>
              </w:numPr>
              <w:rPr>
                <w:rFonts w:eastAsia="Times New Roman"/>
              </w:rPr>
            </w:pPr>
            <w:r w:rsidRPr="0062766D">
              <w:t>Module 1: What is Koorie English?</w:t>
            </w:r>
          </w:p>
          <w:p w14:paraId="64B9C52F" w14:textId="77777777" w:rsidR="00EE22BA" w:rsidRPr="0062766D" w:rsidRDefault="00EE22BA" w:rsidP="006D465D">
            <w:pPr>
              <w:pStyle w:val="ListParagraph"/>
              <w:numPr>
                <w:ilvl w:val="1"/>
                <w:numId w:val="60"/>
              </w:numPr>
              <w:rPr>
                <w:rFonts w:eastAsia="Times New Roman"/>
              </w:rPr>
            </w:pPr>
            <w:r w:rsidRPr="0062766D">
              <w:t>Module 2: Language and Wellbeing (Engagement)</w:t>
            </w:r>
          </w:p>
          <w:p w14:paraId="45CE94DC" w14:textId="77777777" w:rsidR="00EE22BA" w:rsidRPr="0062766D" w:rsidRDefault="00EE22BA" w:rsidP="006D465D">
            <w:pPr>
              <w:pStyle w:val="ListParagraph"/>
              <w:numPr>
                <w:ilvl w:val="1"/>
                <w:numId w:val="60"/>
              </w:numPr>
              <w:rPr>
                <w:rFonts w:eastAsia="Times New Roman"/>
              </w:rPr>
            </w:pPr>
            <w:r w:rsidRPr="0062766D">
              <w:t>Module 3: Koorie English and Literacy in the Classroom</w:t>
            </w:r>
          </w:p>
        </w:tc>
      </w:tr>
      <w:tr w:rsidR="00EE22BA" w:rsidRPr="002965E1" w14:paraId="1CD52394" w14:textId="77777777" w:rsidTr="002C0011">
        <w:trPr>
          <w:trHeight w:val="521"/>
        </w:trPr>
        <w:tc>
          <w:tcPr>
            <w:tcW w:w="1662" w:type="pct"/>
            <w:tcBorders>
              <w:top w:val="single" w:sz="8" w:space="0" w:color="316F72"/>
              <w:left w:val="single" w:sz="8" w:space="0" w:color="316F72"/>
              <w:bottom w:val="single" w:sz="8" w:space="0" w:color="316F72"/>
              <w:right w:val="single" w:sz="8" w:space="0" w:color="316F72"/>
            </w:tcBorders>
          </w:tcPr>
          <w:p w14:paraId="794FBCE9" w14:textId="3DFC1C60" w:rsidR="00EE22BA" w:rsidRPr="002965E1" w:rsidRDefault="00EE22BA" w:rsidP="006D465D">
            <w:pPr>
              <w:rPr>
                <w:rFonts w:ascii="Corbel" w:hAnsi="Corbel" w:cs="Arial"/>
                <w:sz w:val="23"/>
                <w:szCs w:val="23"/>
              </w:rPr>
            </w:pPr>
            <w:r w:rsidRPr="002965E1">
              <w:t xml:space="preserve">Work in partnership with the Koorie community to roll out Community Understanding and Safety Training (CUST) (formerly Cultural Understanding and Safety Training) in Victorian government schools to increase school staff’s understanding </w:t>
            </w:r>
            <w:r w:rsidRPr="002965E1">
              <w:lastRenderedPageBreak/>
              <w:t>of Aboriginal and Torres Strait Islander history, cultures, and experiences to ensure schools are inclusive, responsive</w:t>
            </w:r>
            <w:r w:rsidR="008450F1">
              <w:t>,</w:t>
            </w:r>
            <w:r w:rsidRPr="002965E1">
              <w:t xml:space="preserve"> and respectful of Koorie learners.</w:t>
            </w:r>
          </w:p>
        </w:tc>
        <w:tc>
          <w:tcPr>
            <w:tcW w:w="480" w:type="pct"/>
            <w:tcBorders>
              <w:top w:val="single" w:sz="8" w:space="0" w:color="316F72"/>
              <w:left w:val="single" w:sz="8" w:space="0" w:color="316F72"/>
              <w:bottom w:val="single" w:sz="8" w:space="0" w:color="316F72"/>
              <w:right w:val="single" w:sz="8" w:space="0" w:color="316F72"/>
            </w:tcBorders>
          </w:tcPr>
          <w:p w14:paraId="030F2C23" w14:textId="77777777" w:rsidR="00EE22BA" w:rsidRPr="002965E1" w:rsidRDefault="00EE22BA" w:rsidP="006D465D">
            <w:pPr>
              <w:rPr>
                <w:rFonts w:ascii="Corbel" w:hAnsi="Corbel" w:cs="Arial"/>
                <w:sz w:val="23"/>
                <w:szCs w:val="23"/>
              </w:rPr>
            </w:pPr>
            <w:r w:rsidRPr="002965E1">
              <w:lastRenderedPageBreak/>
              <w:t>Government</w:t>
            </w:r>
          </w:p>
        </w:tc>
        <w:tc>
          <w:tcPr>
            <w:tcW w:w="364" w:type="pct"/>
            <w:tcBorders>
              <w:top w:val="single" w:sz="8" w:space="0" w:color="316F72"/>
              <w:left w:val="single" w:sz="8" w:space="0" w:color="316F72"/>
              <w:bottom w:val="single" w:sz="8" w:space="0" w:color="316F72"/>
              <w:right w:val="single" w:sz="8" w:space="0" w:color="316F72"/>
            </w:tcBorders>
          </w:tcPr>
          <w:p w14:paraId="781CE6FF" w14:textId="77777777" w:rsidR="00EE22BA" w:rsidRPr="002965E1" w:rsidRDefault="00EE22BA" w:rsidP="006D465D">
            <w:pPr>
              <w:rPr>
                <w:rFonts w:ascii="Corbel" w:hAnsi="Corbel" w:cs="Arial"/>
                <w:sz w:val="23"/>
                <w:szCs w:val="23"/>
              </w:rPr>
            </w:pPr>
            <w:r w:rsidRPr="002965E1">
              <w:t xml:space="preserve">From 2019 </w:t>
            </w:r>
          </w:p>
        </w:tc>
        <w:tc>
          <w:tcPr>
            <w:tcW w:w="2494" w:type="pct"/>
            <w:tcBorders>
              <w:top w:val="single" w:sz="8" w:space="0" w:color="316F72"/>
              <w:left w:val="single" w:sz="8" w:space="0" w:color="316F72"/>
              <w:bottom w:val="single" w:sz="8" w:space="0" w:color="316F72"/>
              <w:right w:val="single" w:sz="8" w:space="0" w:color="316F72"/>
            </w:tcBorders>
            <w:vAlign w:val="center"/>
          </w:tcPr>
          <w:p w14:paraId="07D6ABE5" w14:textId="73876D95" w:rsidR="00EE22BA" w:rsidRPr="002965E1" w:rsidRDefault="00EE22BA">
            <w:pPr>
              <w:rPr>
                <w:b/>
              </w:rPr>
            </w:pPr>
            <w:r w:rsidRPr="002965E1">
              <w:rPr>
                <w:b/>
              </w:rPr>
              <w:t xml:space="preserve">Commenced </w:t>
            </w:r>
            <w:r>
              <w:rPr>
                <w:b/>
              </w:rPr>
              <w:t>in 2019 (</w:t>
            </w:r>
            <w:r w:rsidR="00DB0946">
              <w:rPr>
                <w:b/>
              </w:rPr>
              <w:t>activities</w:t>
            </w:r>
            <w:r>
              <w:rPr>
                <w:b/>
              </w:rPr>
              <w:t xml:space="preserve"> are</w:t>
            </w:r>
            <w:r w:rsidRPr="002965E1">
              <w:rPr>
                <w:b/>
              </w:rPr>
              <w:t xml:space="preserve"> ongoing</w:t>
            </w:r>
            <w:r>
              <w:rPr>
                <w:b/>
              </w:rPr>
              <w:t>)</w:t>
            </w:r>
          </w:p>
          <w:p w14:paraId="518D1FEC" w14:textId="75F2BAD7" w:rsidR="00EE22BA" w:rsidRPr="0062766D" w:rsidRDefault="00EE22BA" w:rsidP="006D465D">
            <w:pPr>
              <w:pStyle w:val="ListParagraph"/>
              <w:numPr>
                <w:ilvl w:val="0"/>
                <w:numId w:val="61"/>
              </w:numPr>
            </w:pPr>
            <w:bookmarkStart w:id="8" w:name="_Hlk73522927"/>
            <w:r w:rsidRPr="0062766D">
              <w:t>In 2020</w:t>
            </w:r>
            <w:r w:rsidR="009500D2" w:rsidRPr="0062766D">
              <w:t>,</w:t>
            </w:r>
            <w:r w:rsidRPr="0062766D">
              <w:t xml:space="preserve"> CUST was provided to 137 Victorian government school campuses, bringing the overall proportion of government campuses that had received the training at the end of 2020 to over 60</w:t>
            </w:r>
            <w:r w:rsidR="005162E4" w:rsidRPr="0062766D">
              <w:t xml:space="preserve"> per cent</w:t>
            </w:r>
            <w:r w:rsidRPr="0062766D">
              <w:t xml:space="preserve">. </w:t>
            </w:r>
            <w:bookmarkEnd w:id="8"/>
            <w:r w:rsidRPr="0062766D">
              <w:t xml:space="preserve">Building ongoing relationships with local Aboriginal </w:t>
            </w:r>
            <w:r w:rsidRPr="0062766D">
              <w:lastRenderedPageBreak/>
              <w:t>people is a key element of the training. In 2020</w:t>
            </w:r>
            <w:r w:rsidR="006116EF" w:rsidRPr="0062766D">
              <w:t>,</w:t>
            </w:r>
            <w:r w:rsidR="00BF4ADE" w:rsidRPr="0062766D">
              <w:t xml:space="preserve"> the number of campuses that received training was lower than 2019 due to COVID-19: </w:t>
            </w:r>
            <w:r w:rsidRPr="0062766D">
              <w:t>the majority of training was delivered face-to-face due to challenges in fostering relationships remotely.</w:t>
            </w:r>
          </w:p>
          <w:p w14:paraId="2E0E6F43" w14:textId="77777777" w:rsidR="00EE22BA" w:rsidRPr="0062766D" w:rsidRDefault="00EE22BA" w:rsidP="006D465D">
            <w:pPr>
              <w:pStyle w:val="ListParagraph"/>
              <w:numPr>
                <w:ilvl w:val="0"/>
                <w:numId w:val="61"/>
              </w:numPr>
            </w:pPr>
            <w:bookmarkStart w:id="9" w:name="_Hlk72407364"/>
            <w:r w:rsidRPr="0062766D">
              <w:t>Data collected by the Department* indicate that:</w:t>
            </w:r>
          </w:p>
          <w:p w14:paraId="7ACF1E99" w14:textId="77777777" w:rsidR="00EE22BA" w:rsidRPr="0062766D" w:rsidRDefault="00EE22BA" w:rsidP="006D465D">
            <w:pPr>
              <w:pStyle w:val="ListParagraph"/>
              <w:numPr>
                <w:ilvl w:val="1"/>
                <w:numId w:val="61"/>
              </w:numPr>
              <w:rPr>
                <w:rFonts w:eastAsia="Times New Roman"/>
              </w:rPr>
            </w:pPr>
            <w:r w:rsidRPr="0062766D">
              <w:t>The number of schools that acknowledge Traditional Owners through signage increased from 618 in 2019 to 646 in 2020.</w:t>
            </w:r>
          </w:p>
          <w:p w14:paraId="76D5DBCC" w14:textId="601465EB" w:rsidR="00EE22BA" w:rsidRPr="0062766D" w:rsidRDefault="00EE22BA" w:rsidP="006D465D">
            <w:pPr>
              <w:pStyle w:val="ListParagraph"/>
              <w:numPr>
                <w:ilvl w:val="1"/>
                <w:numId w:val="61"/>
              </w:numPr>
              <w:rPr>
                <w:rFonts w:eastAsia="Times New Roman"/>
              </w:rPr>
            </w:pPr>
            <w:r w:rsidRPr="0062766D">
              <w:t xml:space="preserve">96.5 per cent of schools that completed the survey reported having </w:t>
            </w:r>
            <w:r w:rsidR="00F560D6" w:rsidRPr="0062766D">
              <w:t xml:space="preserve">an </w:t>
            </w:r>
            <w:r w:rsidRPr="0062766D">
              <w:t>Acknowledgement of Country at assembly and special events in 2020, increasing from 91.3 per cent in 2019.</w:t>
            </w:r>
          </w:p>
          <w:p w14:paraId="055E2A02" w14:textId="77777777" w:rsidR="00EE22BA" w:rsidRPr="0062766D" w:rsidRDefault="00EE22BA" w:rsidP="006D465D">
            <w:pPr>
              <w:pStyle w:val="ListParagraph"/>
              <w:numPr>
                <w:ilvl w:val="1"/>
                <w:numId w:val="61"/>
              </w:numPr>
              <w:rPr>
                <w:rFonts w:eastAsia="Times New Roman"/>
              </w:rPr>
            </w:pPr>
            <w:r w:rsidRPr="0062766D">
              <w:t>90.5 per cent flew the Aboriginal and/or Torres Strait Islander flag during 2020, increasing from 82.7 per cent who responded in 2019.</w:t>
            </w:r>
          </w:p>
          <w:p w14:paraId="087E3CD0" w14:textId="374EDD8F" w:rsidR="00EE22BA" w:rsidRPr="0062766D" w:rsidRDefault="00EE22BA" w:rsidP="006D465D">
            <w:pPr>
              <w:pStyle w:val="ListParagraph"/>
              <w:numPr>
                <w:ilvl w:val="1"/>
                <w:numId w:val="61"/>
              </w:numPr>
              <w:rPr>
                <w:rFonts w:eastAsia="Times New Roman"/>
              </w:rPr>
            </w:pPr>
            <w:r w:rsidRPr="0062766D">
              <w:t xml:space="preserve">1198 schools incorporated Aboriginal perspectives into the curriculum in 2020, </w:t>
            </w:r>
            <w:r w:rsidR="00DB0946" w:rsidRPr="0062766D">
              <w:t>and 97</w:t>
            </w:r>
            <w:r w:rsidRPr="0062766D">
              <w:t xml:space="preserve"> Aboriginal and/or Torres Strait Islander students were school captains.</w:t>
            </w:r>
            <w:bookmarkEnd w:id="9"/>
          </w:p>
          <w:p w14:paraId="6DEF9FDF" w14:textId="77777777" w:rsidR="00EE22BA" w:rsidRPr="002965E1" w:rsidRDefault="00EE22BA">
            <w:pPr>
              <w:rPr>
                <w:sz w:val="16"/>
                <w:szCs w:val="16"/>
              </w:rPr>
            </w:pPr>
            <w:r w:rsidRPr="002965E1">
              <w:rPr>
                <w:sz w:val="16"/>
                <w:szCs w:val="16"/>
              </w:rPr>
              <w:t>*Data note: Due to COVID-19 and remote and flexible learning, the 2020 School Survey was not mandatory and not all schools participated.</w:t>
            </w:r>
          </w:p>
        </w:tc>
      </w:tr>
      <w:tr w:rsidR="00EE22BA" w:rsidRPr="002965E1" w14:paraId="42C93DA5" w14:textId="77777777" w:rsidTr="00364760">
        <w:trPr>
          <w:trHeight w:val="521"/>
        </w:trPr>
        <w:tc>
          <w:tcPr>
            <w:tcW w:w="1662" w:type="pct"/>
            <w:tcBorders>
              <w:top w:val="single" w:sz="8" w:space="0" w:color="316F72"/>
              <w:left w:val="single" w:sz="8" w:space="0" w:color="316F72"/>
              <w:bottom w:val="single" w:sz="8" w:space="0" w:color="316F72"/>
              <w:right w:val="single" w:sz="8" w:space="0" w:color="316F72"/>
            </w:tcBorders>
          </w:tcPr>
          <w:p w14:paraId="3F519474" w14:textId="208C93D4" w:rsidR="00EE22BA" w:rsidRPr="002965E1" w:rsidRDefault="00EE22BA" w:rsidP="006D465D">
            <w:pPr>
              <w:rPr>
                <w:rFonts w:ascii="Corbel" w:hAnsi="Corbel" w:cs="Arial"/>
                <w:sz w:val="23"/>
                <w:szCs w:val="23"/>
              </w:rPr>
            </w:pPr>
            <w:bookmarkStart w:id="10" w:name="_Hlk79570721"/>
            <w:r w:rsidRPr="002965E1">
              <w:lastRenderedPageBreak/>
              <w:t xml:space="preserve">The Commonwealth will work with Victoria to address identified teacher workforce supply needs (particularly in the areas of Maths and Science) including the development of a national </w:t>
            </w:r>
            <w:r w:rsidRPr="002965E1">
              <w:lastRenderedPageBreak/>
              <w:t>teacher workforce strategy reflecting respective areas of responsibility.</w:t>
            </w:r>
          </w:p>
        </w:tc>
        <w:tc>
          <w:tcPr>
            <w:tcW w:w="480" w:type="pct"/>
            <w:tcBorders>
              <w:top w:val="single" w:sz="8" w:space="0" w:color="316F72"/>
              <w:left w:val="single" w:sz="8" w:space="0" w:color="316F72"/>
              <w:bottom w:val="single" w:sz="8" w:space="0" w:color="316F72"/>
              <w:right w:val="single" w:sz="8" w:space="0" w:color="316F72"/>
            </w:tcBorders>
          </w:tcPr>
          <w:p w14:paraId="37B907C6" w14:textId="77777777" w:rsidR="00EE22BA" w:rsidRPr="002965E1" w:rsidRDefault="00EE22BA" w:rsidP="006D465D">
            <w:pPr>
              <w:rPr>
                <w:rFonts w:ascii="Corbel" w:hAnsi="Corbel" w:cs="Arial"/>
                <w:sz w:val="23"/>
                <w:szCs w:val="23"/>
              </w:rPr>
            </w:pPr>
            <w:r w:rsidRPr="002965E1">
              <w:lastRenderedPageBreak/>
              <w:t>All Sectors</w:t>
            </w:r>
          </w:p>
        </w:tc>
        <w:tc>
          <w:tcPr>
            <w:tcW w:w="364" w:type="pct"/>
            <w:tcBorders>
              <w:top w:val="single" w:sz="8" w:space="0" w:color="316F72"/>
              <w:left w:val="single" w:sz="8" w:space="0" w:color="316F72"/>
              <w:bottom w:val="single" w:sz="8" w:space="0" w:color="316F72"/>
              <w:right w:val="single" w:sz="8" w:space="0" w:color="316F72"/>
            </w:tcBorders>
          </w:tcPr>
          <w:p w14:paraId="506C0468" w14:textId="77777777" w:rsidR="00EE22BA" w:rsidRPr="002965E1" w:rsidRDefault="00EE22BA" w:rsidP="006D465D">
            <w:pPr>
              <w:rPr>
                <w:rFonts w:ascii="Corbel" w:hAnsi="Corbel" w:cs="Arial"/>
                <w:sz w:val="23"/>
                <w:szCs w:val="23"/>
              </w:rPr>
            </w:pPr>
            <w:r w:rsidRPr="002965E1">
              <w:t>2019</w:t>
            </w:r>
          </w:p>
        </w:tc>
        <w:tc>
          <w:tcPr>
            <w:tcW w:w="2494" w:type="pct"/>
            <w:tcBorders>
              <w:top w:val="single" w:sz="8" w:space="0" w:color="316F72"/>
              <w:left w:val="single" w:sz="8" w:space="0" w:color="316F72"/>
              <w:bottom w:val="single" w:sz="8" w:space="0" w:color="316F72"/>
              <w:right w:val="single" w:sz="8" w:space="0" w:color="316F72"/>
            </w:tcBorders>
          </w:tcPr>
          <w:p w14:paraId="5AF1DC93" w14:textId="77777777" w:rsidR="00EE22BA" w:rsidRPr="002965E1" w:rsidRDefault="00EE22BA">
            <w:pPr>
              <w:rPr>
                <w:b/>
                <w:bCs/>
              </w:rPr>
            </w:pPr>
            <w:r w:rsidRPr="002965E1">
              <w:rPr>
                <w:b/>
                <w:bCs/>
              </w:rPr>
              <w:t>Implementation completed in 2019 (activities will be ongoing)</w:t>
            </w:r>
          </w:p>
          <w:p w14:paraId="0BA7E898" w14:textId="2E441092" w:rsidR="00EE22BA" w:rsidRPr="0062766D" w:rsidRDefault="00EE22BA" w:rsidP="006D465D">
            <w:pPr>
              <w:pStyle w:val="ListParagraph"/>
              <w:numPr>
                <w:ilvl w:val="0"/>
                <w:numId w:val="62"/>
              </w:numPr>
              <w:rPr>
                <w:rFonts w:eastAsia="Times New Roman"/>
              </w:rPr>
            </w:pPr>
            <w:r w:rsidRPr="0062766D">
              <w:t xml:space="preserve">The Victorian Government participated in Commonwealth Government led workshops, through the Australian Institute for </w:t>
            </w:r>
            <w:r w:rsidRPr="0062766D">
              <w:lastRenderedPageBreak/>
              <w:t>Teaching and School Leadership (AITSL), on the development of a national teacher workforce strategy.</w:t>
            </w:r>
          </w:p>
          <w:p w14:paraId="4392C5FE" w14:textId="330CD09C" w:rsidR="00EE22BA" w:rsidRPr="0062766D" w:rsidRDefault="00EE22BA" w:rsidP="006D465D">
            <w:pPr>
              <w:pStyle w:val="ListParagraph"/>
              <w:numPr>
                <w:ilvl w:val="0"/>
                <w:numId w:val="62"/>
              </w:numPr>
              <w:rPr>
                <w:rFonts w:eastAsia="Times New Roman"/>
              </w:rPr>
            </w:pPr>
            <w:bookmarkStart w:id="11" w:name="_Hlk73523423"/>
            <w:r w:rsidRPr="0062766D">
              <w:t>Victoria is a participant on the Australian Teacher Workforce Data Strategy (ATWD) Working Group</w:t>
            </w:r>
            <w:bookmarkEnd w:id="11"/>
            <w:r w:rsidRPr="0062766D">
              <w:t>, which unites currently available data on the teacher workforce into a national database for an Australia-wide understanding of teacher workforce characteristics and supply.</w:t>
            </w:r>
          </w:p>
          <w:p w14:paraId="70C272A5" w14:textId="77777777" w:rsidR="00EE22BA" w:rsidRPr="0062766D" w:rsidRDefault="00EE22BA" w:rsidP="006D465D">
            <w:pPr>
              <w:pStyle w:val="ListParagraph"/>
              <w:numPr>
                <w:ilvl w:val="0"/>
                <w:numId w:val="62"/>
              </w:numPr>
              <w:rPr>
                <w:rFonts w:eastAsia="Times New Roman"/>
              </w:rPr>
            </w:pPr>
            <w:bookmarkStart w:id="12" w:name="_Hlk73523452"/>
            <w:r w:rsidRPr="0062766D">
              <w:t>The Victorian Government collaborates with the non-government school sectors on improving the quality and supply of school workforces through the School Policy and Funding Advisory Council (Council). In 2020, Council oversaw cross-sector collaboration on the Project Zero Conference and other professional development and leadership programs as part of its school leadership and workforce workplan priority.</w:t>
            </w:r>
          </w:p>
          <w:p w14:paraId="6EB507D1" w14:textId="77777777" w:rsidR="00EE22BA" w:rsidRPr="0062766D" w:rsidRDefault="00EE22BA" w:rsidP="006D465D">
            <w:pPr>
              <w:pStyle w:val="ListParagraph"/>
              <w:numPr>
                <w:ilvl w:val="0"/>
                <w:numId w:val="62"/>
              </w:numPr>
              <w:rPr>
                <w:rFonts w:eastAsia="Times New Roman"/>
              </w:rPr>
            </w:pPr>
            <w:r w:rsidRPr="0062766D">
              <w:t xml:space="preserve">The Victorian Government invested $10 million in the 2020 November budget to fast-track teacher training </w:t>
            </w:r>
            <w:bookmarkEnd w:id="12"/>
            <w:r w:rsidRPr="0062766D">
              <w:t>programs for 500 graduates and professionals to train as teachers in government secondary and specialist schools across Victoria. This will help new graduates and people affected by the pandemic to train for a new career in teaching.</w:t>
            </w:r>
          </w:p>
          <w:p w14:paraId="31F9E213" w14:textId="77777777" w:rsidR="00EE22BA" w:rsidRPr="0062766D" w:rsidRDefault="00EE22BA" w:rsidP="006D465D">
            <w:pPr>
              <w:pStyle w:val="ListParagraph"/>
              <w:numPr>
                <w:ilvl w:val="0"/>
                <w:numId w:val="62"/>
              </w:numPr>
              <w:rPr>
                <w:rFonts w:eastAsia="Times New Roman"/>
              </w:rPr>
            </w:pPr>
            <w:r w:rsidRPr="0062766D">
              <w:t xml:space="preserve">The Victorian Budget 2020/21 invested $2.3 million to continue and expand the National Exceptional Teaching for Disadvantaged Schools program. This program will equip 300 high performing teaching students with skills to work in government schools in disadvantaged areas and, through its placement program, help to </w:t>
            </w:r>
            <w:r w:rsidRPr="0062766D">
              <w:lastRenderedPageBreak/>
              <w:t>achieve a more equitable distribution of high achieving graduates in government schools.</w:t>
            </w:r>
          </w:p>
          <w:p w14:paraId="5A62C433" w14:textId="6ED5EEEA" w:rsidR="00EE22BA" w:rsidRPr="0062766D" w:rsidRDefault="00EE22BA" w:rsidP="006D465D">
            <w:pPr>
              <w:pStyle w:val="ListParagraph"/>
              <w:numPr>
                <w:ilvl w:val="0"/>
                <w:numId w:val="62"/>
              </w:numPr>
              <w:rPr>
                <w:rFonts w:eastAsia="Times New Roman"/>
              </w:rPr>
            </w:pPr>
            <w:r w:rsidRPr="0062766D">
              <w:t>The Department is continuing to undertake analysis and forecast modelling of future teacher supply challenges for government schools in year level, subject areas</w:t>
            </w:r>
            <w:r w:rsidR="00754893" w:rsidRPr="0062766D">
              <w:t>,</w:t>
            </w:r>
            <w:r w:rsidRPr="0062766D">
              <w:t xml:space="preserve"> and geographical locations. </w:t>
            </w:r>
          </w:p>
          <w:p w14:paraId="1A0DB571" w14:textId="77777777" w:rsidR="00EE22BA" w:rsidRPr="0062766D" w:rsidRDefault="00EE22BA" w:rsidP="006D465D">
            <w:pPr>
              <w:pStyle w:val="ListParagraph"/>
              <w:numPr>
                <w:ilvl w:val="0"/>
                <w:numId w:val="62"/>
              </w:numPr>
              <w:rPr>
                <w:rFonts w:eastAsia="Times New Roman"/>
              </w:rPr>
            </w:pPr>
            <w:r w:rsidRPr="0062766D">
              <w:t>The Victorian Government continues to fund</w:t>
            </w:r>
            <w:r w:rsidRPr="00F331CE">
              <w:rPr>
                <w:rFonts w:eastAsiaTheme="majorEastAsia" w:cstheme="majorBidi"/>
              </w:rPr>
              <w:t xml:space="preserve"> targeted initiatives to attract more teachers to key locations and specialisms</w:t>
            </w:r>
            <w:r w:rsidRPr="0062766D">
              <w:t xml:space="preserve">: </w:t>
            </w:r>
          </w:p>
          <w:p w14:paraId="1AF66C85" w14:textId="77777777" w:rsidR="00EE22BA" w:rsidRPr="0062766D" w:rsidRDefault="00EE22BA" w:rsidP="00F331CE">
            <w:pPr>
              <w:pStyle w:val="ListParagraph"/>
              <w:numPr>
                <w:ilvl w:val="1"/>
                <w:numId w:val="62"/>
              </w:numPr>
            </w:pPr>
            <w:bookmarkStart w:id="13" w:name="_Hlk73523498"/>
            <w:r w:rsidRPr="0062766D">
              <w:t xml:space="preserve">A $41.7 million funding boost in 2019 aims to attract excellent teachers to fill </w:t>
            </w:r>
            <w:hyperlink r:id="rId23" w:history="1">
              <w:r w:rsidRPr="0062766D">
                <w:rPr>
                  <w:rStyle w:val="Hyperlink"/>
                </w:rPr>
                <w:t>hard-to-staff positions</w:t>
              </w:r>
            </w:hyperlink>
            <w:r w:rsidRPr="0062766D">
              <w:rPr>
                <w:rFonts w:eastAsia="Times New Roman" w:cs="Times New Roman"/>
                <w:szCs w:val="20"/>
                <w:lang w:eastAsia="en-US"/>
              </w:rPr>
              <w:t xml:space="preserve"> in government schools across the state</w:t>
            </w:r>
            <w:bookmarkEnd w:id="13"/>
            <w:r w:rsidRPr="0062766D">
              <w:t xml:space="preserve">, including in the curriculum areas of mathematics and science.  This funding continued to be expended in 2020 to provide support to teachers settling into their new roles. </w:t>
            </w:r>
          </w:p>
          <w:p w14:paraId="7AADF431" w14:textId="77777777" w:rsidR="00EE22BA" w:rsidRPr="0062766D" w:rsidRDefault="00EE22BA" w:rsidP="00F331CE">
            <w:pPr>
              <w:pStyle w:val="ListParagraph"/>
              <w:numPr>
                <w:ilvl w:val="1"/>
                <w:numId w:val="62"/>
              </w:numPr>
            </w:pPr>
            <w:r w:rsidRPr="00F331CE">
              <w:rPr>
                <w:rFonts w:eastAsiaTheme="majorEastAsia" w:cstheme="majorBidi"/>
              </w:rPr>
              <w:t xml:space="preserve">All 50 available incentivised roles were filled in the 2019-20 financial year, with 25 being in mathematics and science positions. A further 105 incentivised roles had been filled by December 2020 </w:t>
            </w:r>
            <w:r w:rsidRPr="0062766D">
              <w:t>(out of 150 to be filled by June 2021), of which 42 were in mathematics and science positions</w:t>
            </w:r>
            <w:r w:rsidRPr="00F331CE">
              <w:rPr>
                <w:rFonts w:eastAsiaTheme="majorEastAsia" w:cstheme="majorBidi"/>
              </w:rPr>
              <w:t>.</w:t>
            </w:r>
          </w:p>
          <w:p w14:paraId="7E7DFFBF" w14:textId="77777777" w:rsidR="00EE22BA" w:rsidRPr="0062766D" w:rsidRDefault="00EE22BA" w:rsidP="00F331CE">
            <w:pPr>
              <w:pStyle w:val="ListParagraph"/>
              <w:numPr>
                <w:ilvl w:val="1"/>
                <w:numId w:val="62"/>
              </w:numPr>
            </w:pPr>
            <w:r w:rsidRPr="0062766D">
              <w:t>$</w:t>
            </w:r>
            <w:bookmarkStart w:id="14" w:name="_Hlk73523531"/>
            <w:r w:rsidRPr="00F331CE">
              <w:rPr>
                <w:rFonts w:eastAsiaTheme="majorEastAsia" w:cstheme="majorBidi"/>
              </w:rPr>
              <w:t>17.85 million has been provided through the Secondary Mathematics and Science Initiative for out-of-field teachers</w:t>
            </w:r>
            <w:bookmarkEnd w:id="14"/>
            <w:r w:rsidRPr="00F331CE">
              <w:rPr>
                <w:rFonts w:eastAsiaTheme="majorEastAsia" w:cstheme="majorBidi"/>
              </w:rPr>
              <w:t xml:space="preserve"> in 2019. This initiative was commissioned in 2020 to support over 270 out-of-field mathematics and science government school teachers to undertake a graduate certificate specifically designed and bespoke to the </w:t>
            </w:r>
            <w:r w:rsidRPr="00F331CE">
              <w:rPr>
                <w:rFonts w:eastAsiaTheme="majorEastAsia" w:cstheme="majorBidi"/>
              </w:rPr>
              <w:lastRenderedPageBreak/>
              <w:t>Victorian learning and teaching context. These graduate certificates were designed in 2020, to be delivered in 2021 by one of Victoria’s leading universities</w:t>
            </w:r>
            <w:r w:rsidRPr="0062766D">
              <w:t>.</w:t>
            </w:r>
          </w:p>
        </w:tc>
      </w:tr>
      <w:bookmarkEnd w:id="10"/>
      <w:tr w:rsidR="00EE22BA" w:rsidRPr="002965E1" w14:paraId="65DC2683" w14:textId="77777777" w:rsidTr="00364760">
        <w:trPr>
          <w:trHeight w:val="521"/>
        </w:trPr>
        <w:tc>
          <w:tcPr>
            <w:tcW w:w="1662" w:type="pct"/>
            <w:tcBorders>
              <w:top w:val="single" w:sz="8" w:space="0" w:color="316F72"/>
              <w:left w:val="single" w:sz="8" w:space="0" w:color="316F72"/>
              <w:bottom w:val="single" w:sz="8" w:space="0" w:color="316F72"/>
              <w:right w:val="single" w:sz="8" w:space="0" w:color="316F72"/>
            </w:tcBorders>
          </w:tcPr>
          <w:p w14:paraId="0F87E386" w14:textId="1F9FBE14" w:rsidR="00EE22BA" w:rsidRPr="002965E1" w:rsidRDefault="00EE22BA" w:rsidP="002C0011">
            <w:pPr>
              <w:rPr>
                <w:rFonts w:ascii="Corbel" w:hAnsi="Corbel" w:cs="Arial"/>
                <w:sz w:val="23"/>
                <w:szCs w:val="23"/>
              </w:rPr>
            </w:pPr>
            <w:r w:rsidRPr="002965E1">
              <w:lastRenderedPageBreak/>
              <w:t>Provide high-quality professional learning and training to teachers and school leaders to support school improvement in areas of identified need.</w:t>
            </w:r>
          </w:p>
        </w:tc>
        <w:tc>
          <w:tcPr>
            <w:tcW w:w="480" w:type="pct"/>
            <w:tcBorders>
              <w:top w:val="single" w:sz="8" w:space="0" w:color="316F72"/>
              <w:left w:val="single" w:sz="8" w:space="0" w:color="316F72"/>
              <w:bottom w:val="single" w:sz="8" w:space="0" w:color="316F72"/>
              <w:right w:val="single" w:sz="8" w:space="0" w:color="316F72"/>
            </w:tcBorders>
          </w:tcPr>
          <w:p w14:paraId="6B303D0E" w14:textId="77777777" w:rsidR="00EE22BA" w:rsidRPr="002965E1" w:rsidRDefault="00EE22BA" w:rsidP="00F331CE">
            <w:pPr>
              <w:rPr>
                <w:rFonts w:ascii="Corbel" w:hAnsi="Corbel" w:cs="Arial"/>
                <w:sz w:val="23"/>
                <w:szCs w:val="23"/>
              </w:rPr>
            </w:pPr>
            <w:r w:rsidRPr="002965E1">
              <w:t>Non-government</w:t>
            </w:r>
          </w:p>
        </w:tc>
        <w:tc>
          <w:tcPr>
            <w:tcW w:w="364" w:type="pct"/>
            <w:tcBorders>
              <w:top w:val="single" w:sz="8" w:space="0" w:color="316F72"/>
              <w:left w:val="single" w:sz="8" w:space="0" w:color="316F72"/>
              <w:bottom w:val="single" w:sz="8" w:space="0" w:color="316F72"/>
              <w:right w:val="single" w:sz="8" w:space="0" w:color="316F72"/>
            </w:tcBorders>
          </w:tcPr>
          <w:p w14:paraId="34A336D3" w14:textId="77777777" w:rsidR="00EE22BA" w:rsidRPr="002965E1" w:rsidRDefault="00EE22BA" w:rsidP="00F331CE">
            <w:pPr>
              <w:rPr>
                <w:rFonts w:ascii="Corbel" w:hAnsi="Corbel" w:cs="Arial"/>
                <w:sz w:val="23"/>
                <w:szCs w:val="23"/>
              </w:rPr>
            </w:pPr>
            <w:r w:rsidRPr="002965E1">
              <w:t>From 2019</w:t>
            </w:r>
          </w:p>
        </w:tc>
        <w:tc>
          <w:tcPr>
            <w:tcW w:w="2494" w:type="pct"/>
            <w:tcBorders>
              <w:top w:val="single" w:sz="8" w:space="0" w:color="316F72"/>
              <w:left w:val="single" w:sz="8" w:space="0" w:color="316F72"/>
              <w:bottom w:val="single" w:sz="8" w:space="0" w:color="316F72"/>
              <w:right w:val="single" w:sz="8" w:space="0" w:color="316F72"/>
            </w:tcBorders>
            <w:vAlign w:val="center"/>
          </w:tcPr>
          <w:p w14:paraId="747B167D" w14:textId="77777777" w:rsidR="00EE22BA" w:rsidRPr="002965E1" w:rsidRDefault="00EE22BA" w:rsidP="00F331CE">
            <w:pPr>
              <w:rPr>
                <w:rFonts w:eastAsia="Corbel"/>
                <w:b/>
                <w:bCs/>
              </w:rPr>
            </w:pPr>
            <w:r w:rsidRPr="002965E1">
              <w:rPr>
                <w:rFonts w:eastAsia="Corbel"/>
                <w:b/>
                <w:bCs/>
              </w:rPr>
              <w:t>Commenced and ongoing</w:t>
            </w:r>
          </w:p>
          <w:p w14:paraId="311AB172" w14:textId="77777777" w:rsidR="00EE22BA" w:rsidRPr="00933B16" w:rsidRDefault="00EE22BA" w:rsidP="00F331CE">
            <w:pPr>
              <w:rPr>
                <w:bCs/>
                <w:szCs w:val="18"/>
              </w:rPr>
            </w:pPr>
            <w:bookmarkStart w:id="15" w:name="_Hlk73522008"/>
            <w:r w:rsidRPr="00F331CE">
              <w:rPr>
                <w:b/>
                <w:bCs/>
                <w:szCs w:val="18"/>
              </w:rPr>
              <w:t>Catholic Schools</w:t>
            </w:r>
          </w:p>
          <w:p w14:paraId="68163BF4" w14:textId="77777777" w:rsidR="00EE22BA" w:rsidRPr="00F331CE" w:rsidRDefault="00EE22BA" w:rsidP="00F331CE">
            <w:pPr>
              <w:pStyle w:val="ListParagraph"/>
              <w:numPr>
                <w:ilvl w:val="0"/>
                <w:numId w:val="63"/>
              </w:numPr>
              <w:rPr>
                <w:rFonts w:eastAsia="Corbel"/>
                <w:szCs w:val="20"/>
              </w:rPr>
            </w:pPr>
            <w:r w:rsidRPr="00F331CE">
              <w:rPr>
                <w:rFonts w:eastAsia="Corbel"/>
              </w:rPr>
              <w:t>The Agile School Improvement project had a focus on building instructional capacity of education leaders, through improved data literacy and impact thinking.</w:t>
            </w:r>
          </w:p>
          <w:p w14:paraId="3806DBCE" w14:textId="69D5FFDF" w:rsidR="00EE22BA" w:rsidRPr="00F331CE" w:rsidRDefault="00EE22BA" w:rsidP="00F331CE">
            <w:pPr>
              <w:pStyle w:val="ListParagraph"/>
              <w:numPr>
                <w:ilvl w:val="0"/>
                <w:numId w:val="63"/>
              </w:numPr>
              <w:rPr>
                <w:rFonts w:eastAsia="Corbel"/>
              </w:rPr>
            </w:pPr>
            <w:r w:rsidRPr="00F331CE">
              <w:rPr>
                <w:rFonts w:eastAsia="Corbel"/>
              </w:rPr>
              <w:t xml:space="preserve">Four regions undertook regional school improvement networks using agile improvement tools. These networks were delivered remotely, in part, due to the impacts of restrictions to limit the spread of COVID-19 in Victoria. </w:t>
            </w:r>
            <w:r w:rsidR="00DD7306" w:rsidRPr="00F331CE">
              <w:rPr>
                <w:rFonts w:eastAsia="Corbel"/>
              </w:rPr>
              <w:t>School leaders were supported with school improvement planning tools.</w:t>
            </w:r>
          </w:p>
          <w:p w14:paraId="6610F00E" w14:textId="77777777" w:rsidR="00EE22BA" w:rsidRPr="00F331CE" w:rsidRDefault="00EE22BA" w:rsidP="00F331CE">
            <w:pPr>
              <w:pStyle w:val="ListParagraph"/>
              <w:numPr>
                <w:ilvl w:val="0"/>
                <w:numId w:val="63"/>
              </w:numPr>
              <w:rPr>
                <w:rFonts w:eastAsia="Corbel"/>
              </w:rPr>
            </w:pPr>
            <w:r w:rsidRPr="00F331CE">
              <w:rPr>
                <w:rFonts w:eastAsia="Corbel"/>
              </w:rPr>
              <w:t>System leaders continued to work with 148 participating schools in 2020 to develop more impactful school improvement planning.</w:t>
            </w:r>
          </w:p>
          <w:p w14:paraId="32D6494A" w14:textId="77777777" w:rsidR="00EE22BA" w:rsidRPr="00F331CE" w:rsidRDefault="00EE22BA" w:rsidP="00F331CE">
            <w:pPr>
              <w:pStyle w:val="ListParagraph"/>
              <w:numPr>
                <w:ilvl w:val="0"/>
                <w:numId w:val="63"/>
              </w:numPr>
              <w:rPr>
                <w:rFonts w:eastAsia="Corbel"/>
              </w:rPr>
            </w:pPr>
            <w:r w:rsidRPr="00F331CE">
              <w:rPr>
                <w:rFonts w:eastAsia="Corbel"/>
              </w:rPr>
              <w:t>Participating school leaders had improved school improvement plans through more specific, actionable goals and impact planning.</w:t>
            </w:r>
          </w:p>
          <w:bookmarkEnd w:id="15"/>
          <w:p w14:paraId="61C66D8E" w14:textId="77777777" w:rsidR="00EE22BA" w:rsidRPr="00933B16" w:rsidRDefault="00EE22BA" w:rsidP="00F331CE">
            <w:pPr>
              <w:rPr>
                <w:bCs/>
                <w:szCs w:val="18"/>
              </w:rPr>
            </w:pPr>
            <w:r w:rsidRPr="00F331CE">
              <w:rPr>
                <w:b/>
                <w:bCs/>
                <w:szCs w:val="18"/>
              </w:rPr>
              <w:t>Independent Schools</w:t>
            </w:r>
          </w:p>
          <w:p w14:paraId="1465B9FA" w14:textId="77777777" w:rsidR="00EE22BA" w:rsidRPr="00F331CE" w:rsidRDefault="00EE22BA" w:rsidP="00F331CE">
            <w:pPr>
              <w:pStyle w:val="ListParagraph"/>
              <w:numPr>
                <w:ilvl w:val="0"/>
                <w:numId w:val="64"/>
              </w:numPr>
              <w:rPr>
                <w:rFonts w:eastAsia="Corbel"/>
              </w:rPr>
            </w:pPr>
            <w:r w:rsidRPr="00F331CE">
              <w:rPr>
                <w:rFonts w:eastAsia="Corbel"/>
              </w:rPr>
              <w:t xml:space="preserve">Professional learning programs were targeted to address both the content-specific needs of teachers and school leaders and their developmental needs at the different stages of their career development. </w:t>
            </w:r>
          </w:p>
          <w:p w14:paraId="1D9C7A0C" w14:textId="77777777" w:rsidR="00EE22BA" w:rsidRPr="00F331CE" w:rsidRDefault="00EE22BA" w:rsidP="00F331CE">
            <w:pPr>
              <w:pStyle w:val="ListParagraph"/>
              <w:numPr>
                <w:ilvl w:val="0"/>
                <w:numId w:val="64"/>
              </w:numPr>
              <w:rPr>
                <w:rFonts w:eastAsia="Corbel"/>
              </w:rPr>
            </w:pPr>
            <w:r w:rsidRPr="00F331CE">
              <w:rPr>
                <w:rFonts w:eastAsia="Corbel"/>
              </w:rPr>
              <w:lastRenderedPageBreak/>
              <w:t xml:space="preserve">Separate programs were targeted, for instance, to 21 new Principals and 12 beginning teachers. </w:t>
            </w:r>
          </w:p>
          <w:p w14:paraId="1702EA1D" w14:textId="77777777" w:rsidR="00EE22BA" w:rsidRPr="00F331CE" w:rsidRDefault="00EE22BA" w:rsidP="00F331CE">
            <w:pPr>
              <w:pStyle w:val="ListParagraph"/>
              <w:numPr>
                <w:ilvl w:val="0"/>
                <w:numId w:val="64"/>
              </w:numPr>
              <w:rPr>
                <w:rFonts w:eastAsia="Corbel"/>
              </w:rPr>
            </w:pPr>
            <w:r w:rsidRPr="00F331CE">
              <w:rPr>
                <w:rFonts w:eastAsia="Corbel"/>
              </w:rPr>
              <w:t>ISV developed a number of online resources and discussion forums to assist teachers in managing remote delivery of their programs during 2020.</w:t>
            </w:r>
          </w:p>
        </w:tc>
      </w:tr>
      <w:tr w:rsidR="00EE22BA" w:rsidRPr="002965E1" w14:paraId="454F6747" w14:textId="77777777" w:rsidTr="00364760">
        <w:trPr>
          <w:trHeight w:val="521"/>
        </w:trPr>
        <w:tc>
          <w:tcPr>
            <w:tcW w:w="1662" w:type="pct"/>
            <w:tcBorders>
              <w:top w:val="single" w:sz="8" w:space="0" w:color="316F72"/>
              <w:left w:val="single" w:sz="8" w:space="0" w:color="316F72"/>
              <w:bottom w:val="single" w:sz="8" w:space="0" w:color="316F72"/>
              <w:right w:val="single" w:sz="8" w:space="0" w:color="316F72"/>
            </w:tcBorders>
          </w:tcPr>
          <w:p w14:paraId="2522067A" w14:textId="4E4BBD03" w:rsidR="00EE22BA" w:rsidRPr="002965E1" w:rsidRDefault="00EE22BA" w:rsidP="002C0011">
            <w:pPr>
              <w:rPr>
                <w:rFonts w:ascii="Corbel" w:hAnsi="Corbel" w:cs="Arial"/>
                <w:sz w:val="23"/>
                <w:szCs w:val="23"/>
              </w:rPr>
            </w:pPr>
            <w:r w:rsidRPr="002965E1">
              <w:lastRenderedPageBreak/>
              <w:t>Improve board governance in non-government schools through training and resource support.</w:t>
            </w:r>
          </w:p>
        </w:tc>
        <w:tc>
          <w:tcPr>
            <w:tcW w:w="480" w:type="pct"/>
            <w:tcBorders>
              <w:top w:val="single" w:sz="8" w:space="0" w:color="316F72"/>
              <w:left w:val="single" w:sz="8" w:space="0" w:color="316F72"/>
              <w:bottom w:val="single" w:sz="8" w:space="0" w:color="316F72"/>
              <w:right w:val="single" w:sz="8" w:space="0" w:color="316F72"/>
            </w:tcBorders>
          </w:tcPr>
          <w:p w14:paraId="255F4BF7" w14:textId="77777777" w:rsidR="00EE22BA" w:rsidRPr="002965E1" w:rsidRDefault="00EE22BA" w:rsidP="006D465D">
            <w:pPr>
              <w:rPr>
                <w:rFonts w:ascii="Corbel" w:hAnsi="Corbel" w:cs="Arial"/>
                <w:sz w:val="23"/>
                <w:szCs w:val="23"/>
              </w:rPr>
            </w:pPr>
            <w:r w:rsidRPr="002965E1">
              <w:t>Non-government</w:t>
            </w:r>
          </w:p>
        </w:tc>
        <w:tc>
          <w:tcPr>
            <w:tcW w:w="364" w:type="pct"/>
            <w:tcBorders>
              <w:top w:val="single" w:sz="8" w:space="0" w:color="316F72"/>
              <w:left w:val="single" w:sz="8" w:space="0" w:color="316F72"/>
              <w:bottom w:val="single" w:sz="8" w:space="0" w:color="316F72"/>
              <w:right w:val="single" w:sz="8" w:space="0" w:color="316F72"/>
            </w:tcBorders>
          </w:tcPr>
          <w:p w14:paraId="53F20DCF" w14:textId="77777777" w:rsidR="00EE22BA" w:rsidRPr="002965E1" w:rsidRDefault="00EE22BA" w:rsidP="006D465D">
            <w:pPr>
              <w:rPr>
                <w:rFonts w:ascii="Corbel" w:hAnsi="Corbel" w:cs="Arial"/>
                <w:sz w:val="23"/>
                <w:szCs w:val="23"/>
              </w:rPr>
            </w:pPr>
            <w:r w:rsidRPr="002965E1">
              <w:t>From 2019</w:t>
            </w:r>
          </w:p>
        </w:tc>
        <w:tc>
          <w:tcPr>
            <w:tcW w:w="2494" w:type="pct"/>
            <w:tcBorders>
              <w:top w:val="single" w:sz="8" w:space="0" w:color="316F72"/>
              <w:left w:val="single" w:sz="8" w:space="0" w:color="316F72"/>
              <w:bottom w:val="single" w:sz="8" w:space="0" w:color="316F72"/>
              <w:right w:val="single" w:sz="8" w:space="0" w:color="316F72"/>
            </w:tcBorders>
            <w:vAlign w:val="center"/>
          </w:tcPr>
          <w:p w14:paraId="08089831" w14:textId="77777777" w:rsidR="00EE22BA" w:rsidRPr="002965E1" w:rsidRDefault="00EE22BA" w:rsidP="006D465D">
            <w:pPr>
              <w:rPr>
                <w:rFonts w:eastAsia="Corbel"/>
                <w:b/>
                <w:bCs/>
              </w:rPr>
            </w:pPr>
            <w:r w:rsidRPr="002965E1">
              <w:rPr>
                <w:rFonts w:eastAsia="Corbel"/>
                <w:b/>
                <w:bCs/>
              </w:rPr>
              <w:t>Commenced and ongoing</w:t>
            </w:r>
          </w:p>
          <w:p w14:paraId="4CC3490C" w14:textId="77777777" w:rsidR="00EE22BA" w:rsidRPr="002965E1" w:rsidRDefault="00EE22BA" w:rsidP="006D465D">
            <w:pPr>
              <w:rPr>
                <w:rFonts w:eastAsia="Corbel"/>
                <w:b/>
                <w:bCs/>
              </w:rPr>
            </w:pPr>
            <w:bookmarkStart w:id="16" w:name="_Hlk73522073"/>
            <w:r w:rsidRPr="002965E1">
              <w:rPr>
                <w:rFonts w:eastAsia="Corbel"/>
                <w:b/>
                <w:bCs/>
              </w:rPr>
              <w:t>Catholic Schools</w:t>
            </w:r>
          </w:p>
          <w:p w14:paraId="7AD62281" w14:textId="77777777" w:rsidR="00EE22BA" w:rsidRPr="006D465D" w:rsidRDefault="00EE22BA" w:rsidP="006D465D">
            <w:pPr>
              <w:pStyle w:val="ListParagraph"/>
              <w:numPr>
                <w:ilvl w:val="0"/>
                <w:numId w:val="65"/>
              </w:numPr>
              <w:rPr>
                <w:rFonts w:eastAsia="Corbel"/>
              </w:rPr>
            </w:pPr>
            <w:r w:rsidRPr="006D465D">
              <w:rPr>
                <w:rFonts w:eastAsia="Corbel"/>
              </w:rPr>
              <w:t>One of the dioceses, through the leadership development team, partnered with Australian Catholic University to offer sponsorship opportunities to 30 leaders in Catholic education to complete post graduate qualifications in 2019, which continued in 2020.</w:t>
            </w:r>
          </w:p>
          <w:p w14:paraId="03F6A434" w14:textId="77777777" w:rsidR="00EE22BA" w:rsidRPr="006D465D" w:rsidRDefault="00EE22BA" w:rsidP="006D465D">
            <w:pPr>
              <w:pStyle w:val="ListParagraph"/>
              <w:numPr>
                <w:ilvl w:val="0"/>
                <w:numId w:val="65"/>
              </w:numPr>
              <w:rPr>
                <w:rFonts w:eastAsia="Corbel"/>
              </w:rPr>
            </w:pPr>
            <w:r w:rsidRPr="006D465D">
              <w:rPr>
                <w:rFonts w:eastAsia="Corbel"/>
              </w:rPr>
              <w:t>In order to provide a targeted opportunity for principals and senior leaders, the Master of Business Administration (Executive) (MBAE) was customised to address the unique nature of Catholic schools. This program continued in 2020.</w:t>
            </w:r>
          </w:p>
          <w:p w14:paraId="280623C0" w14:textId="77777777" w:rsidR="00EE22BA" w:rsidRPr="006D465D" w:rsidRDefault="00EE22BA" w:rsidP="006D465D">
            <w:pPr>
              <w:pStyle w:val="ListParagraph"/>
              <w:numPr>
                <w:ilvl w:val="0"/>
                <w:numId w:val="65"/>
              </w:numPr>
              <w:rPr>
                <w:rFonts w:eastAsia="Corbel"/>
              </w:rPr>
            </w:pPr>
            <w:r w:rsidRPr="006D465D">
              <w:rPr>
                <w:rFonts w:eastAsia="Corbel"/>
              </w:rPr>
              <w:t>In 2020, students continued to demonstrate increased capacity to demonstrate and maintain good governance, aligned with school-based policy, systemic and government compliance.</w:t>
            </w:r>
          </w:p>
          <w:bookmarkEnd w:id="16"/>
          <w:p w14:paraId="0E9653D2" w14:textId="77777777" w:rsidR="00EE22BA" w:rsidRPr="00933B16" w:rsidRDefault="00EE22BA" w:rsidP="006D465D">
            <w:pPr>
              <w:rPr>
                <w:bCs/>
                <w:szCs w:val="18"/>
              </w:rPr>
            </w:pPr>
            <w:r w:rsidRPr="006D465D">
              <w:rPr>
                <w:b/>
                <w:bCs/>
                <w:szCs w:val="18"/>
              </w:rPr>
              <w:t>Independent Schools</w:t>
            </w:r>
          </w:p>
          <w:p w14:paraId="381A5550" w14:textId="77777777" w:rsidR="00EE22BA" w:rsidRPr="006D465D" w:rsidRDefault="00EE22BA" w:rsidP="006D465D">
            <w:pPr>
              <w:pStyle w:val="ListParagraph"/>
              <w:numPr>
                <w:ilvl w:val="0"/>
                <w:numId w:val="66"/>
              </w:numPr>
              <w:rPr>
                <w:rFonts w:eastAsia="Corbel"/>
              </w:rPr>
            </w:pPr>
            <w:r w:rsidRPr="006D465D">
              <w:rPr>
                <w:rFonts w:eastAsia="Corbel"/>
              </w:rPr>
              <w:t xml:space="preserve">ISV developed and offered online governance training for school leaders and governing board members in 2020. This training covered areas such as board roles and performance, expectations </w:t>
            </w:r>
            <w:r w:rsidRPr="006D465D">
              <w:rPr>
                <w:rFonts w:eastAsia="Corbel"/>
              </w:rPr>
              <w:lastRenderedPageBreak/>
              <w:t>and obligations under Australian company law, risk management, funding processes and financial responsibilities. 42 people participated in this training.</w:t>
            </w:r>
          </w:p>
          <w:p w14:paraId="6547B67A" w14:textId="77777777" w:rsidR="00EE22BA" w:rsidRPr="006D465D" w:rsidRDefault="00EE22BA" w:rsidP="006D465D">
            <w:pPr>
              <w:pStyle w:val="ListParagraph"/>
              <w:numPr>
                <w:ilvl w:val="0"/>
                <w:numId w:val="66"/>
              </w:numPr>
              <w:rPr>
                <w:rFonts w:eastAsia="Corbel"/>
              </w:rPr>
            </w:pPr>
            <w:r w:rsidRPr="006D465D">
              <w:rPr>
                <w:rFonts w:eastAsia="Corbel"/>
              </w:rPr>
              <w:t>A video conference was held with the VRQA to address board compliance, Child Safe Standards and effective board meeting structure. 57 people participated in the live event and a further 32 watched the recording afterwards.</w:t>
            </w:r>
          </w:p>
          <w:p w14:paraId="0B304D0D" w14:textId="77777777" w:rsidR="00EE22BA" w:rsidRPr="006D465D" w:rsidRDefault="00EE22BA" w:rsidP="006D465D">
            <w:pPr>
              <w:pStyle w:val="ListParagraph"/>
              <w:numPr>
                <w:ilvl w:val="0"/>
                <w:numId w:val="66"/>
              </w:numPr>
              <w:rPr>
                <w:rFonts w:eastAsia="Corbel"/>
              </w:rPr>
            </w:pPr>
            <w:r w:rsidRPr="006D465D">
              <w:rPr>
                <w:rFonts w:eastAsia="Corbel"/>
              </w:rPr>
              <w:t>Only a limited number of schools received personalised training sessions in 2020 due to pandemic restrictions and personal safety for presenters. During the pandemic, ISV provided personalised trainings virtually, developed online training modules for governance modules, and continued to add to the suite of resources available on the ISV website.</w:t>
            </w:r>
          </w:p>
          <w:p w14:paraId="5708A052" w14:textId="77777777" w:rsidR="00EE22BA" w:rsidRPr="006D465D" w:rsidRDefault="00EE22BA" w:rsidP="006D465D">
            <w:pPr>
              <w:pStyle w:val="ListParagraph"/>
              <w:numPr>
                <w:ilvl w:val="0"/>
                <w:numId w:val="66"/>
              </w:numPr>
              <w:rPr>
                <w:rFonts w:eastAsia="Corbel"/>
              </w:rPr>
            </w:pPr>
            <w:r w:rsidRPr="006D465D">
              <w:rPr>
                <w:rFonts w:eastAsia="Corbel"/>
              </w:rPr>
              <w:t>Additional resources were updated for school board members and senior school staff to access in 2020 via ISV’s new platform isComply with a focus on school compliance with VRQA minimum standards.</w:t>
            </w:r>
          </w:p>
          <w:p w14:paraId="00FB5743" w14:textId="77777777" w:rsidR="00EE22BA" w:rsidRPr="006D465D" w:rsidRDefault="00EE22BA" w:rsidP="006D465D">
            <w:pPr>
              <w:pStyle w:val="ListParagraph"/>
              <w:numPr>
                <w:ilvl w:val="0"/>
                <w:numId w:val="66"/>
              </w:numPr>
              <w:rPr>
                <w:rFonts w:eastAsia="Corbel"/>
              </w:rPr>
            </w:pPr>
            <w:r w:rsidRPr="006D465D">
              <w:rPr>
                <w:rFonts w:eastAsia="Corbel"/>
              </w:rPr>
              <w:t>The Governance, Compliance and Risk areas of isConnect had more than 2000 users with over 4000 views.</w:t>
            </w:r>
          </w:p>
        </w:tc>
      </w:tr>
      <w:tr w:rsidR="00EE22BA" w:rsidRPr="002965E1" w14:paraId="7E674BB6" w14:textId="77777777" w:rsidTr="00364760">
        <w:trPr>
          <w:trHeight w:val="521"/>
        </w:trPr>
        <w:tc>
          <w:tcPr>
            <w:tcW w:w="1662" w:type="pct"/>
            <w:tcBorders>
              <w:top w:val="single" w:sz="8" w:space="0" w:color="316F72"/>
              <w:left w:val="single" w:sz="8" w:space="0" w:color="316F72"/>
              <w:bottom w:val="single" w:sz="8" w:space="0" w:color="316F72"/>
              <w:right w:val="single" w:sz="8" w:space="0" w:color="316F72"/>
            </w:tcBorders>
          </w:tcPr>
          <w:p w14:paraId="51B87655" w14:textId="1A2BED88" w:rsidR="00EE22BA" w:rsidRPr="002965E1" w:rsidRDefault="00EE22BA" w:rsidP="006D465D">
            <w:pPr>
              <w:rPr>
                <w:rFonts w:ascii="Corbel" w:hAnsi="Corbel" w:cs="Arial"/>
                <w:sz w:val="23"/>
                <w:szCs w:val="23"/>
              </w:rPr>
            </w:pPr>
            <w:r w:rsidRPr="002965E1">
              <w:lastRenderedPageBreak/>
              <w:t xml:space="preserve">Continue the transition of Catholic schools to the Integrated Catholic Online Network (ICON) in order to implement best practice administration in schools to meet ongoing government accountability requirements and support </w:t>
            </w:r>
            <w:r w:rsidRPr="002965E1">
              <w:lastRenderedPageBreak/>
              <w:t>teachers and school leaders to analyse, monitor and review student learning gain and wellbeing data.</w:t>
            </w:r>
          </w:p>
        </w:tc>
        <w:tc>
          <w:tcPr>
            <w:tcW w:w="480" w:type="pct"/>
            <w:tcBorders>
              <w:top w:val="single" w:sz="8" w:space="0" w:color="316F72"/>
              <w:left w:val="single" w:sz="8" w:space="0" w:color="316F72"/>
              <w:bottom w:val="single" w:sz="8" w:space="0" w:color="316F72"/>
              <w:right w:val="single" w:sz="8" w:space="0" w:color="316F72"/>
            </w:tcBorders>
          </w:tcPr>
          <w:p w14:paraId="2CA08308" w14:textId="77777777" w:rsidR="00EE22BA" w:rsidRPr="002965E1" w:rsidRDefault="00EE22BA" w:rsidP="006D465D">
            <w:pPr>
              <w:rPr>
                <w:rFonts w:ascii="Corbel" w:hAnsi="Corbel" w:cs="Arial"/>
                <w:sz w:val="23"/>
                <w:szCs w:val="23"/>
              </w:rPr>
            </w:pPr>
            <w:r w:rsidRPr="002965E1">
              <w:lastRenderedPageBreak/>
              <w:t>Catholic</w:t>
            </w:r>
          </w:p>
        </w:tc>
        <w:tc>
          <w:tcPr>
            <w:tcW w:w="364" w:type="pct"/>
            <w:tcBorders>
              <w:top w:val="single" w:sz="8" w:space="0" w:color="316F72"/>
              <w:left w:val="single" w:sz="8" w:space="0" w:color="316F72"/>
              <w:bottom w:val="single" w:sz="8" w:space="0" w:color="316F72"/>
              <w:right w:val="single" w:sz="8" w:space="0" w:color="316F72"/>
            </w:tcBorders>
          </w:tcPr>
          <w:p w14:paraId="24CF8FD1" w14:textId="77777777" w:rsidR="00EE22BA" w:rsidRPr="002965E1" w:rsidRDefault="00EE22BA" w:rsidP="006D465D">
            <w:pPr>
              <w:rPr>
                <w:rFonts w:ascii="Corbel" w:hAnsi="Corbel" w:cs="Arial"/>
                <w:sz w:val="23"/>
                <w:szCs w:val="23"/>
              </w:rPr>
            </w:pPr>
            <w:r w:rsidRPr="002965E1">
              <w:t>From 2019</w:t>
            </w:r>
          </w:p>
        </w:tc>
        <w:tc>
          <w:tcPr>
            <w:tcW w:w="2494" w:type="pct"/>
            <w:tcBorders>
              <w:top w:val="single" w:sz="8" w:space="0" w:color="316F72"/>
              <w:left w:val="single" w:sz="8" w:space="0" w:color="316F72"/>
              <w:bottom w:val="single" w:sz="8" w:space="0" w:color="316F72"/>
              <w:right w:val="single" w:sz="8" w:space="0" w:color="316F72"/>
            </w:tcBorders>
            <w:vAlign w:val="center"/>
          </w:tcPr>
          <w:p w14:paraId="49CD0A75" w14:textId="77777777" w:rsidR="00EE22BA" w:rsidRPr="002965E1" w:rsidRDefault="00EE22BA">
            <w:pPr>
              <w:rPr>
                <w:rFonts w:eastAsia="Corbel"/>
                <w:b/>
                <w:bCs/>
              </w:rPr>
            </w:pPr>
            <w:r w:rsidRPr="002965E1">
              <w:rPr>
                <w:rFonts w:eastAsia="Corbel"/>
                <w:b/>
                <w:bCs/>
              </w:rPr>
              <w:t>Commenced and ongoing</w:t>
            </w:r>
          </w:p>
          <w:p w14:paraId="5A1719EC" w14:textId="77777777" w:rsidR="00EE22BA" w:rsidRPr="006D465D" w:rsidRDefault="00EE22BA" w:rsidP="006D465D">
            <w:pPr>
              <w:pStyle w:val="ListParagraph"/>
              <w:numPr>
                <w:ilvl w:val="0"/>
                <w:numId w:val="67"/>
              </w:numPr>
              <w:rPr>
                <w:rFonts w:eastAsia="Corbel"/>
              </w:rPr>
            </w:pPr>
            <w:r w:rsidRPr="006D465D">
              <w:rPr>
                <w:rFonts w:eastAsia="Corbel"/>
              </w:rPr>
              <w:t>Overall, the ICON project remains on track and on budget. An additional 95 schools migrated successfully onto ICON by the end of 2020.</w:t>
            </w:r>
          </w:p>
          <w:p w14:paraId="434A5065" w14:textId="77777777" w:rsidR="00EE22BA" w:rsidRPr="006D465D" w:rsidRDefault="00EE22BA" w:rsidP="006D465D">
            <w:pPr>
              <w:pStyle w:val="ListParagraph"/>
              <w:numPr>
                <w:ilvl w:val="0"/>
                <w:numId w:val="67"/>
              </w:numPr>
              <w:rPr>
                <w:rFonts w:eastAsia="Corbel"/>
              </w:rPr>
            </w:pPr>
            <w:r w:rsidRPr="006D465D">
              <w:rPr>
                <w:rFonts w:eastAsia="Corbel"/>
              </w:rPr>
              <w:lastRenderedPageBreak/>
              <w:t>In 2020, all schools implemented and transitioned to the shared services centre and 84 per cent of schools elected a business manager.</w:t>
            </w:r>
          </w:p>
          <w:p w14:paraId="14FB0E7B" w14:textId="77777777" w:rsidR="00EE22BA" w:rsidRPr="006D465D" w:rsidRDefault="00EE22BA" w:rsidP="006D465D">
            <w:pPr>
              <w:pStyle w:val="ListParagraph"/>
              <w:numPr>
                <w:ilvl w:val="0"/>
                <w:numId w:val="67"/>
              </w:numPr>
              <w:rPr>
                <w:rFonts w:eastAsia="Corbel"/>
              </w:rPr>
            </w:pPr>
            <w:r w:rsidRPr="006D465D">
              <w:rPr>
                <w:rFonts w:eastAsia="Corbel"/>
              </w:rPr>
              <w:t>A total of 200 schools are using the ICON platform of which 143 are using ICON Shared Services.</w:t>
            </w:r>
          </w:p>
        </w:tc>
      </w:tr>
      <w:tr w:rsidR="00EE22BA" w:rsidRPr="002965E1" w14:paraId="33873DB4" w14:textId="77777777" w:rsidTr="00364760">
        <w:trPr>
          <w:trHeight w:val="521"/>
        </w:trPr>
        <w:tc>
          <w:tcPr>
            <w:tcW w:w="1662" w:type="pct"/>
            <w:tcBorders>
              <w:top w:val="single" w:sz="8" w:space="0" w:color="316F72"/>
              <w:left w:val="single" w:sz="8" w:space="0" w:color="316F72"/>
              <w:bottom w:val="single" w:sz="8" w:space="0" w:color="316F72"/>
              <w:right w:val="single" w:sz="8" w:space="0" w:color="316F72"/>
            </w:tcBorders>
          </w:tcPr>
          <w:p w14:paraId="6AB6DF9A" w14:textId="5A798936" w:rsidR="00EE22BA" w:rsidRPr="002965E1" w:rsidRDefault="00EE22BA" w:rsidP="00EE3C29">
            <w:pPr>
              <w:rPr>
                <w:rFonts w:ascii="Corbel" w:hAnsi="Corbel" w:cs="Arial"/>
                <w:sz w:val="23"/>
                <w:szCs w:val="23"/>
              </w:rPr>
            </w:pPr>
            <w:r w:rsidRPr="002965E1">
              <w:lastRenderedPageBreak/>
              <w:t>Increase the number of independent schools trained in the Process and Performance Management (PPM) approach through the Southern Cross Project in order to use the tools and techniques to improve student outcomes in areas of need, as identified by individual schools.</w:t>
            </w:r>
          </w:p>
        </w:tc>
        <w:tc>
          <w:tcPr>
            <w:tcW w:w="480" w:type="pct"/>
            <w:tcBorders>
              <w:top w:val="single" w:sz="8" w:space="0" w:color="316F72"/>
              <w:left w:val="single" w:sz="8" w:space="0" w:color="316F72"/>
              <w:bottom w:val="single" w:sz="8" w:space="0" w:color="316F72"/>
              <w:right w:val="single" w:sz="8" w:space="0" w:color="316F72"/>
            </w:tcBorders>
          </w:tcPr>
          <w:p w14:paraId="04AD0133" w14:textId="77777777" w:rsidR="00EE22BA" w:rsidRPr="002965E1" w:rsidRDefault="00EE22BA" w:rsidP="006D465D">
            <w:pPr>
              <w:rPr>
                <w:rFonts w:ascii="Corbel" w:hAnsi="Corbel" w:cs="Arial"/>
                <w:sz w:val="23"/>
                <w:szCs w:val="23"/>
              </w:rPr>
            </w:pPr>
            <w:r w:rsidRPr="002965E1">
              <w:t>Independent</w:t>
            </w:r>
          </w:p>
        </w:tc>
        <w:tc>
          <w:tcPr>
            <w:tcW w:w="364" w:type="pct"/>
            <w:tcBorders>
              <w:top w:val="single" w:sz="8" w:space="0" w:color="316F72"/>
              <w:left w:val="single" w:sz="8" w:space="0" w:color="316F72"/>
              <w:bottom w:val="single" w:sz="8" w:space="0" w:color="316F72"/>
              <w:right w:val="single" w:sz="8" w:space="0" w:color="316F72"/>
            </w:tcBorders>
          </w:tcPr>
          <w:p w14:paraId="7C13A45E" w14:textId="77777777" w:rsidR="00EE22BA" w:rsidRPr="002965E1" w:rsidRDefault="00EE22BA" w:rsidP="006D465D">
            <w:pPr>
              <w:rPr>
                <w:rFonts w:ascii="Corbel" w:hAnsi="Corbel" w:cs="Arial"/>
                <w:sz w:val="23"/>
                <w:szCs w:val="23"/>
              </w:rPr>
            </w:pPr>
            <w:r w:rsidRPr="002965E1">
              <w:t>2019</w:t>
            </w:r>
          </w:p>
        </w:tc>
        <w:tc>
          <w:tcPr>
            <w:tcW w:w="2494" w:type="pct"/>
            <w:tcBorders>
              <w:top w:val="single" w:sz="8" w:space="0" w:color="316F72"/>
              <w:left w:val="single" w:sz="8" w:space="0" w:color="316F72"/>
              <w:bottom w:val="single" w:sz="8" w:space="0" w:color="316F72"/>
              <w:right w:val="single" w:sz="8" w:space="0" w:color="316F72"/>
            </w:tcBorders>
            <w:vAlign w:val="center"/>
          </w:tcPr>
          <w:p w14:paraId="189595C0" w14:textId="77777777" w:rsidR="00EE22BA" w:rsidRPr="002965E1" w:rsidRDefault="00EE22BA">
            <w:pPr>
              <w:rPr>
                <w:rFonts w:eastAsia="Corbel"/>
                <w:b/>
                <w:bCs/>
              </w:rPr>
            </w:pPr>
            <w:r w:rsidRPr="002965E1">
              <w:rPr>
                <w:rFonts w:eastAsia="Corbel"/>
                <w:b/>
                <w:bCs/>
              </w:rPr>
              <w:t>Commenced and ongoing</w:t>
            </w:r>
          </w:p>
          <w:p w14:paraId="3D9E93EF" w14:textId="77777777" w:rsidR="00EE22BA" w:rsidRPr="0062766D" w:rsidRDefault="00EE22BA" w:rsidP="006D465D">
            <w:pPr>
              <w:pStyle w:val="ListParagraph"/>
              <w:numPr>
                <w:ilvl w:val="0"/>
                <w:numId w:val="68"/>
              </w:numPr>
              <w:rPr>
                <w:rFonts w:ascii="Corbel" w:hAnsi="Corbel" w:cs="Arial"/>
                <w:sz w:val="23"/>
                <w:szCs w:val="23"/>
              </w:rPr>
            </w:pPr>
            <w:r w:rsidRPr="006D465D">
              <w:rPr>
                <w:rFonts w:eastAsia="Corbel"/>
              </w:rPr>
              <w:t xml:space="preserve">Three schools undertook PPM training in 2020. The total number of schools trained since 2018 increased to 42, with an aim of training up to 40 schools each year. Each school identified a particular issue to investigate, based on their respective teaching and learning needs. </w:t>
            </w:r>
          </w:p>
          <w:p w14:paraId="079DFF9C" w14:textId="77777777" w:rsidR="00EE22BA" w:rsidRPr="0062766D" w:rsidRDefault="00EE22BA" w:rsidP="006D465D">
            <w:pPr>
              <w:pStyle w:val="ListParagraph"/>
              <w:numPr>
                <w:ilvl w:val="0"/>
                <w:numId w:val="68"/>
              </w:numPr>
              <w:rPr>
                <w:rFonts w:ascii="Corbel" w:hAnsi="Corbel" w:cs="Arial"/>
                <w:sz w:val="23"/>
                <w:szCs w:val="23"/>
              </w:rPr>
            </w:pPr>
            <w:r w:rsidRPr="006D465D">
              <w:rPr>
                <w:rFonts w:eastAsia="Corbel"/>
              </w:rPr>
              <w:t xml:space="preserve">Due to COVID-19 restrictions, ISV was unable to bring over a facilitator from the USA that was required to deliver this program face-to face (as originally intended). </w:t>
            </w:r>
          </w:p>
          <w:p w14:paraId="5363B799" w14:textId="77777777" w:rsidR="00EE22BA" w:rsidRPr="0062766D" w:rsidRDefault="00EE22BA" w:rsidP="006D465D">
            <w:pPr>
              <w:pStyle w:val="ListParagraph"/>
              <w:numPr>
                <w:ilvl w:val="0"/>
                <w:numId w:val="68"/>
              </w:numPr>
              <w:rPr>
                <w:rFonts w:ascii="Corbel" w:hAnsi="Corbel" w:cs="Arial"/>
                <w:sz w:val="23"/>
                <w:szCs w:val="23"/>
              </w:rPr>
            </w:pPr>
            <w:r w:rsidRPr="006D465D">
              <w:rPr>
                <w:rFonts w:eastAsia="Corbel"/>
              </w:rPr>
              <w:t>ISV will fully transition this program from face-to-face delivery to remote delivery in 2021.</w:t>
            </w:r>
          </w:p>
        </w:tc>
      </w:tr>
    </w:tbl>
    <w:p w14:paraId="2BDB0146" w14:textId="77777777" w:rsidR="00DC4A5C" w:rsidRDefault="00DC4A5C" w:rsidP="00EE22BA">
      <w:pPr>
        <w:rPr>
          <w:vanish/>
        </w:rPr>
      </w:pPr>
    </w:p>
    <w:p w14:paraId="2EE28FB5" w14:textId="2BEFDC16" w:rsidR="00942636" w:rsidRDefault="00942636" w:rsidP="00EE22BA">
      <w:pPr>
        <w:rPr>
          <w:vanish/>
        </w:rPr>
        <w:sectPr w:rsidR="00942636" w:rsidSect="006D465D">
          <w:pgSz w:w="16840" w:h="11900" w:orient="landscape" w:code="9"/>
          <w:pgMar w:top="1440" w:right="1440" w:bottom="1440" w:left="1440" w:header="737" w:footer="737" w:gutter="0"/>
          <w:cols w:space="720"/>
          <w:docGrid w:linePitch="326"/>
        </w:sectPr>
      </w:pPr>
    </w:p>
    <w:p w14:paraId="2E51608F" w14:textId="77777777" w:rsidR="00EE22BA" w:rsidRPr="0062766D" w:rsidRDefault="00EE22BA">
      <w:pPr>
        <w:pStyle w:val="Heading2"/>
      </w:pPr>
      <w:r w:rsidRPr="0062766D">
        <w:lastRenderedPageBreak/>
        <w:t>Reform Direction C – Enhancing the national evidence base</w:t>
      </w:r>
    </w:p>
    <w:tbl>
      <w:tblPr>
        <w:tblStyle w:val="TableGrid0"/>
        <w:tblW w:w="5000" w:type="pct"/>
        <w:tblInd w:w="0" w:type="dxa"/>
        <w:tblCellMar>
          <w:top w:w="57" w:type="dxa"/>
          <w:left w:w="108" w:type="dxa"/>
          <w:right w:w="115" w:type="dxa"/>
        </w:tblCellMar>
        <w:tblLook w:val="04A0" w:firstRow="1" w:lastRow="0" w:firstColumn="1" w:lastColumn="0" w:noHBand="0" w:noVBand="1"/>
        <w:tblCaption w:val="Reform Direction C – Enhancing the national evidence base"/>
        <w:tblDescription w:val="This table shows relevant actions under the reform direction, relevant sectors undertaking the action, timing of the action and progress towards implementing these actions by the individual state or territory."/>
      </w:tblPr>
      <w:tblGrid>
        <w:gridCol w:w="4556"/>
        <w:gridCol w:w="1380"/>
        <w:gridCol w:w="1104"/>
        <w:gridCol w:w="6900"/>
      </w:tblGrid>
      <w:tr w:rsidR="00EE22BA" w:rsidRPr="0062766D" w14:paraId="5E1EDE68" w14:textId="77777777" w:rsidTr="006D465D">
        <w:trPr>
          <w:trHeight w:val="613"/>
          <w:tblHeader/>
        </w:trPr>
        <w:tc>
          <w:tcPr>
            <w:tcW w:w="1634" w:type="pct"/>
            <w:tcBorders>
              <w:top w:val="single" w:sz="24" w:space="0" w:color="316F72"/>
              <w:left w:val="single" w:sz="8" w:space="0" w:color="316F72"/>
              <w:bottom w:val="single" w:sz="24" w:space="0" w:color="316F72"/>
              <w:right w:val="single" w:sz="8" w:space="0" w:color="316F72"/>
            </w:tcBorders>
          </w:tcPr>
          <w:p w14:paraId="02F22AF0" w14:textId="77777777" w:rsidR="00EE22BA" w:rsidRPr="006D465D" w:rsidRDefault="00EE22BA" w:rsidP="006D465D">
            <w:pPr>
              <w:rPr>
                <w:b/>
                <w:bCs/>
              </w:rPr>
            </w:pPr>
            <w:r w:rsidRPr="006D465D">
              <w:rPr>
                <w:b/>
                <w:bCs/>
              </w:rPr>
              <w:t>Actions</w:t>
            </w:r>
          </w:p>
        </w:tc>
        <w:tc>
          <w:tcPr>
            <w:tcW w:w="495" w:type="pct"/>
            <w:tcBorders>
              <w:top w:val="single" w:sz="24" w:space="0" w:color="316F72"/>
              <w:left w:val="single" w:sz="8" w:space="0" w:color="316F72"/>
              <w:bottom w:val="single" w:sz="24" w:space="0" w:color="316F72"/>
              <w:right w:val="single" w:sz="8" w:space="0" w:color="316F72"/>
            </w:tcBorders>
          </w:tcPr>
          <w:p w14:paraId="1F65FCA0" w14:textId="77777777" w:rsidR="00EE22BA" w:rsidRPr="006D465D" w:rsidRDefault="00EE22BA" w:rsidP="006D465D">
            <w:pPr>
              <w:rPr>
                <w:b/>
                <w:bCs/>
              </w:rPr>
            </w:pPr>
            <w:r w:rsidRPr="006D465D">
              <w:rPr>
                <w:b/>
                <w:bCs/>
              </w:rPr>
              <w:t xml:space="preserve">Sector(s) </w:t>
            </w:r>
          </w:p>
        </w:tc>
        <w:tc>
          <w:tcPr>
            <w:tcW w:w="396" w:type="pct"/>
            <w:tcBorders>
              <w:top w:val="single" w:sz="24" w:space="0" w:color="316F72"/>
              <w:left w:val="single" w:sz="8" w:space="0" w:color="316F72"/>
              <w:bottom w:val="single" w:sz="24" w:space="0" w:color="316F72"/>
              <w:right w:val="single" w:sz="8" w:space="0" w:color="316F72"/>
            </w:tcBorders>
          </w:tcPr>
          <w:p w14:paraId="26994BE3" w14:textId="77777777" w:rsidR="00EE22BA" w:rsidRPr="006D465D" w:rsidRDefault="00EE22BA" w:rsidP="006D465D">
            <w:pPr>
              <w:rPr>
                <w:b/>
                <w:bCs/>
              </w:rPr>
            </w:pPr>
            <w:r w:rsidRPr="006D465D">
              <w:rPr>
                <w:b/>
                <w:bCs/>
              </w:rPr>
              <w:t xml:space="preserve">Timing </w:t>
            </w:r>
          </w:p>
        </w:tc>
        <w:tc>
          <w:tcPr>
            <w:tcW w:w="2475" w:type="pct"/>
            <w:tcBorders>
              <w:top w:val="single" w:sz="24" w:space="0" w:color="316F72"/>
              <w:left w:val="single" w:sz="8" w:space="0" w:color="316F72"/>
              <w:bottom w:val="single" w:sz="24" w:space="0" w:color="316F72"/>
              <w:right w:val="single" w:sz="8" w:space="0" w:color="316F72"/>
            </w:tcBorders>
            <w:vAlign w:val="center"/>
          </w:tcPr>
          <w:p w14:paraId="62011210" w14:textId="77777777" w:rsidR="00EE22BA" w:rsidRPr="006D465D" w:rsidRDefault="00EE22BA" w:rsidP="006D465D">
            <w:pPr>
              <w:rPr>
                <w:b/>
                <w:bCs/>
              </w:rPr>
            </w:pPr>
            <w:r w:rsidRPr="006D465D">
              <w:rPr>
                <w:b/>
                <w:bCs/>
              </w:rPr>
              <w:t xml:space="preserve">Progress towards implementation of actions (including progress of non-government sector actions) </w:t>
            </w:r>
          </w:p>
        </w:tc>
      </w:tr>
      <w:tr w:rsidR="00EE22BA" w:rsidRPr="008B4946" w14:paraId="1AAA270A" w14:textId="77777777" w:rsidTr="006D465D">
        <w:trPr>
          <w:trHeight w:val="521"/>
        </w:trPr>
        <w:tc>
          <w:tcPr>
            <w:tcW w:w="1634" w:type="pct"/>
            <w:tcBorders>
              <w:top w:val="single" w:sz="8" w:space="0" w:color="316F72"/>
              <w:left w:val="single" w:sz="8" w:space="0" w:color="316F72"/>
              <w:bottom w:val="single" w:sz="8" w:space="0" w:color="316F72"/>
              <w:right w:val="single" w:sz="8" w:space="0" w:color="316F72"/>
            </w:tcBorders>
          </w:tcPr>
          <w:p w14:paraId="7FAABFB4" w14:textId="1E666D3D" w:rsidR="00EE22BA" w:rsidRPr="002965E1" w:rsidRDefault="00EE22BA" w:rsidP="00EE3C29">
            <w:pPr>
              <w:rPr>
                <w:rFonts w:ascii="Corbel" w:hAnsi="Corbel" w:cs="Arial"/>
                <w:sz w:val="23"/>
                <w:szCs w:val="23"/>
              </w:rPr>
            </w:pPr>
            <w:r w:rsidRPr="002965E1">
              <w:t>Support the transition to the Nationally Consistent Collection of Data on School Students with Disability (NCCD) through quality assurance and moderation of NCCD data.</w:t>
            </w:r>
          </w:p>
        </w:tc>
        <w:tc>
          <w:tcPr>
            <w:tcW w:w="495" w:type="pct"/>
            <w:tcBorders>
              <w:top w:val="single" w:sz="8" w:space="0" w:color="316F72"/>
              <w:left w:val="single" w:sz="8" w:space="0" w:color="316F72"/>
              <w:bottom w:val="single" w:sz="8" w:space="0" w:color="316F72"/>
              <w:right w:val="single" w:sz="8" w:space="0" w:color="316F72"/>
            </w:tcBorders>
          </w:tcPr>
          <w:p w14:paraId="54896C07" w14:textId="77777777" w:rsidR="00EE22BA" w:rsidRPr="002965E1" w:rsidRDefault="00EE22BA" w:rsidP="006D465D">
            <w:pPr>
              <w:rPr>
                <w:rFonts w:ascii="Corbel" w:hAnsi="Corbel" w:cs="Arial"/>
                <w:sz w:val="23"/>
                <w:szCs w:val="23"/>
              </w:rPr>
            </w:pPr>
            <w:r w:rsidRPr="002965E1">
              <w:rPr>
                <w:color w:val="000000"/>
              </w:rPr>
              <w:t>Non-government</w:t>
            </w:r>
          </w:p>
        </w:tc>
        <w:tc>
          <w:tcPr>
            <w:tcW w:w="396" w:type="pct"/>
            <w:tcBorders>
              <w:top w:val="single" w:sz="8" w:space="0" w:color="316F72"/>
              <w:left w:val="single" w:sz="8" w:space="0" w:color="316F72"/>
              <w:bottom w:val="single" w:sz="8" w:space="0" w:color="316F72"/>
              <w:right w:val="single" w:sz="8" w:space="0" w:color="316F72"/>
            </w:tcBorders>
          </w:tcPr>
          <w:p w14:paraId="37022A53" w14:textId="77777777" w:rsidR="00EE22BA" w:rsidRPr="002965E1" w:rsidRDefault="00EE22BA" w:rsidP="006D465D">
            <w:pPr>
              <w:rPr>
                <w:rFonts w:ascii="Corbel" w:hAnsi="Corbel" w:cs="Arial"/>
                <w:sz w:val="23"/>
                <w:szCs w:val="23"/>
              </w:rPr>
            </w:pPr>
            <w:r w:rsidRPr="002965E1">
              <w:rPr>
                <w:color w:val="000000"/>
              </w:rPr>
              <w:t>From 2019</w:t>
            </w:r>
          </w:p>
        </w:tc>
        <w:tc>
          <w:tcPr>
            <w:tcW w:w="2475" w:type="pct"/>
            <w:tcBorders>
              <w:top w:val="single" w:sz="8" w:space="0" w:color="316F72"/>
              <w:left w:val="single" w:sz="8" w:space="0" w:color="316F72"/>
              <w:bottom w:val="single" w:sz="8" w:space="0" w:color="316F72"/>
              <w:right w:val="single" w:sz="8" w:space="0" w:color="316F72"/>
            </w:tcBorders>
          </w:tcPr>
          <w:p w14:paraId="691E8D90" w14:textId="77777777" w:rsidR="00EE22BA" w:rsidRPr="002965E1" w:rsidRDefault="00EE22BA">
            <w:pPr>
              <w:rPr>
                <w:b/>
                <w:bCs/>
              </w:rPr>
            </w:pPr>
            <w:r w:rsidRPr="002965E1">
              <w:rPr>
                <w:b/>
                <w:bCs/>
              </w:rPr>
              <w:t>Commenced</w:t>
            </w:r>
            <w:r>
              <w:rPr>
                <w:b/>
                <w:bCs/>
              </w:rPr>
              <w:t xml:space="preserve"> in 2019 (activities are </w:t>
            </w:r>
            <w:r w:rsidRPr="002965E1">
              <w:rPr>
                <w:b/>
                <w:bCs/>
              </w:rPr>
              <w:t>ongoing</w:t>
            </w:r>
            <w:r>
              <w:rPr>
                <w:b/>
                <w:bCs/>
              </w:rPr>
              <w:t>)</w:t>
            </w:r>
          </w:p>
          <w:p w14:paraId="5429BE3B" w14:textId="77777777" w:rsidR="00EE22BA" w:rsidRPr="002965E1" w:rsidRDefault="00EE22BA">
            <w:pPr>
              <w:rPr>
                <w:b/>
                <w:bCs/>
              </w:rPr>
            </w:pPr>
            <w:r w:rsidRPr="002965E1">
              <w:rPr>
                <w:b/>
                <w:bCs/>
              </w:rPr>
              <w:t>Catholic Schools</w:t>
            </w:r>
          </w:p>
          <w:p w14:paraId="6073AD01" w14:textId="77777777" w:rsidR="00EE22BA" w:rsidRPr="0062766D" w:rsidRDefault="00EE22BA" w:rsidP="006D465D">
            <w:pPr>
              <w:pStyle w:val="ListParagraph"/>
              <w:numPr>
                <w:ilvl w:val="0"/>
                <w:numId w:val="69"/>
              </w:numPr>
            </w:pPr>
            <w:r w:rsidRPr="0062766D">
              <w:t xml:space="preserve">Continued activities that were reported in the </w:t>
            </w:r>
            <w:hyperlink r:id="rId24" w:history="1">
              <w:r w:rsidRPr="0062766D">
                <w:rPr>
                  <w:rStyle w:val="Hyperlink"/>
                  <w:rFonts w:asciiTheme="majorHAnsi" w:hAnsiTheme="majorHAnsi" w:cstheme="majorHAnsi"/>
                </w:rPr>
                <w:t>Victorian 2019 Progress Report</w:t>
              </w:r>
            </w:hyperlink>
            <w:r w:rsidRPr="0062766D">
              <w:rPr>
                <w:rFonts w:eastAsia="Times New Roman" w:cs="Times New Roman"/>
                <w:szCs w:val="20"/>
                <w:lang w:eastAsia="en-US"/>
              </w:rPr>
              <w:t xml:space="preserve"> and adapted to the remote environment.</w:t>
            </w:r>
          </w:p>
          <w:p w14:paraId="50C0FBD2" w14:textId="0DE2DA0E" w:rsidR="00EE22BA" w:rsidRPr="0062766D" w:rsidRDefault="00EE22BA" w:rsidP="006D465D">
            <w:pPr>
              <w:pStyle w:val="ListParagraph"/>
              <w:numPr>
                <w:ilvl w:val="0"/>
                <w:numId w:val="69"/>
              </w:numPr>
            </w:pPr>
            <w:r w:rsidRPr="0062766D">
              <w:t xml:space="preserve">Developed presentations and additional Catholic Education Commission Victoria (CECV) resources for school leaders and NCCD teams referencing the </w:t>
            </w:r>
            <w:hyperlink r:id="rId25" w:history="1">
              <w:r w:rsidRPr="0062766D">
                <w:rPr>
                  <w:rStyle w:val="Hyperlink"/>
                  <w:rFonts w:asciiTheme="majorHAnsi" w:hAnsiTheme="majorHAnsi" w:cstheme="majorHAnsi"/>
                </w:rPr>
                <w:t>2020 NCCD Guidelines and national materials</w:t>
              </w:r>
            </w:hyperlink>
            <w:r w:rsidRPr="0062766D">
              <w:rPr>
                <w:rFonts w:eastAsia="Times New Roman" w:cs="Times New Roman"/>
                <w:szCs w:val="20"/>
                <w:lang w:eastAsia="en-US"/>
              </w:rPr>
              <w:t>.</w:t>
            </w:r>
          </w:p>
          <w:p w14:paraId="168975D1" w14:textId="77777777" w:rsidR="00EE22BA" w:rsidRPr="0062766D" w:rsidRDefault="00EE22BA" w:rsidP="006D465D">
            <w:pPr>
              <w:pStyle w:val="ListParagraph"/>
              <w:numPr>
                <w:ilvl w:val="0"/>
                <w:numId w:val="69"/>
              </w:numPr>
            </w:pPr>
            <w:r w:rsidRPr="0062766D">
              <w:t>Maintenance of a CECV NCCD Google Community (1,105 members).</w:t>
            </w:r>
          </w:p>
          <w:p w14:paraId="32799431" w14:textId="77777777" w:rsidR="00EE22BA" w:rsidRPr="0062766D" w:rsidRDefault="00EE22BA" w:rsidP="006D465D">
            <w:pPr>
              <w:pStyle w:val="ListParagraph"/>
              <w:numPr>
                <w:ilvl w:val="0"/>
                <w:numId w:val="69"/>
              </w:numPr>
            </w:pPr>
            <w:r w:rsidRPr="0062766D">
              <w:t>Delivered pre-recorded webinar and network and briefings remotely to school leadership teams and NCCD teams.</w:t>
            </w:r>
          </w:p>
          <w:p w14:paraId="7D36D74A" w14:textId="77777777" w:rsidR="00EE22BA" w:rsidRPr="0062766D" w:rsidRDefault="00EE22BA" w:rsidP="006D465D">
            <w:pPr>
              <w:pStyle w:val="ListParagraph"/>
              <w:numPr>
                <w:ilvl w:val="0"/>
                <w:numId w:val="69"/>
              </w:numPr>
            </w:pPr>
            <w:r w:rsidRPr="0062766D">
              <w:t>Conducted remote school consults focused on building the capacity of school leaders to identify, collect, analyse and moderate their NCCD.</w:t>
            </w:r>
          </w:p>
          <w:p w14:paraId="3BEE3AA1" w14:textId="77777777" w:rsidR="00EE22BA" w:rsidRPr="0062766D" w:rsidRDefault="00EE22BA" w:rsidP="006D465D">
            <w:pPr>
              <w:pStyle w:val="ListParagraph"/>
              <w:numPr>
                <w:ilvl w:val="0"/>
                <w:numId w:val="69"/>
              </w:numPr>
            </w:pPr>
            <w:r w:rsidRPr="0062766D">
              <w:t>Worked towards building the capacity of school leaders to utilise the CECV intervention framework to accurately identify and monitor students who may require adjustment in support, both academically and behaviourally.</w:t>
            </w:r>
          </w:p>
          <w:p w14:paraId="3D4BF8FF" w14:textId="77777777" w:rsidR="00EE22BA" w:rsidRPr="0062766D" w:rsidRDefault="00EE22BA" w:rsidP="006D465D">
            <w:pPr>
              <w:pStyle w:val="ListParagraph"/>
              <w:numPr>
                <w:ilvl w:val="0"/>
                <w:numId w:val="69"/>
              </w:numPr>
            </w:pPr>
            <w:r w:rsidRPr="0062766D">
              <w:t>Completed quality assurance with 100 per cent of CECV schools.</w:t>
            </w:r>
          </w:p>
          <w:p w14:paraId="269C258E" w14:textId="77777777" w:rsidR="00EE22BA" w:rsidRPr="0062766D" w:rsidRDefault="00EE22BA" w:rsidP="006D465D">
            <w:pPr>
              <w:pStyle w:val="ListParagraph"/>
              <w:numPr>
                <w:ilvl w:val="0"/>
                <w:numId w:val="69"/>
              </w:numPr>
            </w:pPr>
            <w:r w:rsidRPr="0062766D">
              <w:lastRenderedPageBreak/>
              <w:t>100 per cent of CECV schools submitted NCCD dataset via CEVN NCCD Portal.</w:t>
            </w:r>
          </w:p>
          <w:p w14:paraId="4F598709" w14:textId="77777777" w:rsidR="00EE22BA" w:rsidRPr="00933B16" w:rsidRDefault="00EE22BA" w:rsidP="006D465D">
            <w:pPr>
              <w:rPr>
                <w:bCs/>
                <w:szCs w:val="18"/>
              </w:rPr>
            </w:pPr>
            <w:r w:rsidRPr="006D465D">
              <w:rPr>
                <w:b/>
                <w:bCs/>
                <w:szCs w:val="18"/>
              </w:rPr>
              <w:t>Independent Schools</w:t>
            </w:r>
          </w:p>
          <w:p w14:paraId="389E44EE" w14:textId="77777777" w:rsidR="00EE22BA" w:rsidRPr="0062766D" w:rsidRDefault="00EE22BA" w:rsidP="006D465D">
            <w:pPr>
              <w:pStyle w:val="ListParagraph"/>
              <w:numPr>
                <w:ilvl w:val="0"/>
                <w:numId w:val="70"/>
              </w:numPr>
              <w:rPr>
                <w:rFonts w:eastAsia="Times New Roman"/>
              </w:rPr>
            </w:pPr>
            <w:r w:rsidRPr="0062766D">
              <w:t xml:space="preserve">Undertook data benchmarking of sector NCCD data to identify schools with unusual data patterns. From this benchmarking, schools were identified to receive targeted support to identify the causes of these variances, and to determine whether they are a result of an inconsistent application of NCCD or genuine differences. Met with 30 schools to provide this targeted support. </w:t>
            </w:r>
          </w:p>
          <w:p w14:paraId="2AC71E14" w14:textId="77777777" w:rsidR="00EE22BA" w:rsidRPr="0062766D" w:rsidRDefault="00EE22BA" w:rsidP="006D465D">
            <w:pPr>
              <w:pStyle w:val="ListParagraph"/>
              <w:numPr>
                <w:ilvl w:val="0"/>
                <w:numId w:val="70"/>
              </w:numPr>
              <w:rPr>
                <w:rFonts w:eastAsia="Times New Roman"/>
              </w:rPr>
            </w:pPr>
            <w:r w:rsidRPr="0062766D">
              <w:t xml:space="preserve">Conducted six moderation workshops across Victoria, with 62 staff from 40 Independent schools participating. Numbers were lower than </w:t>
            </w:r>
            <w:r w:rsidRPr="0062766D">
              <w:rPr>
                <w:color w:val="000000" w:themeColor="text1"/>
              </w:rPr>
              <w:t>anticipated as schools were focused on responding to the significant impact on teaching and learning programs of the coronavirus pandemic.</w:t>
            </w:r>
          </w:p>
          <w:p w14:paraId="33D9A0E9" w14:textId="77777777" w:rsidR="00EE22BA" w:rsidRPr="0062766D" w:rsidRDefault="00EE22BA" w:rsidP="006D465D">
            <w:pPr>
              <w:pStyle w:val="ListParagraph"/>
              <w:numPr>
                <w:ilvl w:val="0"/>
                <w:numId w:val="70"/>
              </w:numPr>
              <w:rPr>
                <w:rFonts w:eastAsia="Times New Roman"/>
              </w:rPr>
            </w:pPr>
            <w:r w:rsidRPr="0062766D">
              <w:t xml:space="preserve">Provided information session for 44 staff who were new to the role overseeing their school’s NCCD process. </w:t>
            </w:r>
          </w:p>
          <w:p w14:paraId="3EFED499" w14:textId="77777777" w:rsidR="00EE22BA" w:rsidRPr="0062766D" w:rsidRDefault="00EE22BA" w:rsidP="006D465D">
            <w:pPr>
              <w:pStyle w:val="ListParagraph"/>
              <w:numPr>
                <w:ilvl w:val="0"/>
                <w:numId w:val="70"/>
              </w:numPr>
              <w:rPr>
                <w:rFonts w:eastAsia="Times New Roman"/>
              </w:rPr>
            </w:pPr>
            <w:r w:rsidRPr="0062766D">
              <w:t xml:space="preserve">Worked with 18 schools that had been selected to participate in 2020 in a post-enumeration audit of the 2019 Census of Non-Government schools, to help the schools understand the evidentiary requirements. </w:t>
            </w:r>
          </w:p>
          <w:p w14:paraId="0CD9CD6B" w14:textId="15586FC3" w:rsidR="00EE22BA" w:rsidRPr="0062766D" w:rsidRDefault="00EE22BA" w:rsidP="006D465D">
            <w:pPr>
              <w:pStyle w:val="ListParagraph"/>
              <w:numPr>
                <w:ilvl w:val="0"/>
                <w:numId w:val="70"/>
              </w:numPr>
              <w:rPr>
                <w:rFonts w:eastAsia="Times New Roman"/>
              </w:rPr>
            </w:pPr>
            <w:r w:rsidRPr="0062766D">
              <w:t xml:space="preserve">Unable to run cross-sectoral moderation as schools in different sectors had different needs and starting points. </w:t>
            </w:r>
          </w:p>
        </w:tc>
      </w:tr>
    </w:tbl>
    <w:p w14:paraId="460017FD" w14:textId="5B6CFB44" w:rsidR="00522814" w:rsidRPr="00EE22BA" w:rsidRDefault="00522814">
      <w:pPr>
        <w:spacing w:before="0" w:after="4" w:line="256" w:lineRule="auto"/>
      </w:pPr>
    </w:p>
    <w:sectPr w:rsidR="00522814" w:rsidRPr="00EE22BA" w:rsidSect="006D465D">
      <w:pgSz w:w="16840" w:h="11900" w:orient="landscape" w:code="9"/>
      <w:pgMar w:top="1440" w:right="1440" w:bottom="1440" w:left="1440" w:header="737"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3049FD" w14:textId="77777777" w:rsidR="00CC2AE3" w:rsidRDefault="00CC2AE3">
      <w:r>
        <w:separator/>
      </w:r>
    </w:p>
    <w:p w14:paraId="62931B44" w14:textId="77777777" w:rsidR="00CC2AE3" w:rsidRDefault="00CC2AE3"/>
  </w:endnote>
  <w:endnote w:type="continuationSeparator" w:id="0">
    <w:p w14:paraId="067957FF" w14:textId="77777777" w:rsidR="00CC2AE3" w:rsidRDefault="00CC2AE3">
      <w:r>
        <w:continuationSeparator/>
      </w:r>
    </w:p>
    <w:p w14:paraId="78317C45" w14:textId="77777777" w:rsidR="00CC2AE3" w:rsidRDefault="00CC2AE3"/>
  </w:endnote>
  <w:endnote w:type="continuationNotice" w:id="1">
    <w:p w14:paraId="512AAA8B" w14:textId="77777777" w:rsidR="00CC2AE3" w:rsidRDefault="00CC2AE3"/>
    <w:p w14:paraId="6CDD853D" w14:textId="77777777" w:rsidR="00CC2AE3" w:rsidRDefault="00CC2AE3"/>
    <w:p w14:paraId="094D60D6" w14:textId="77777777" w:rsidR="00CC2AE3" w:rsidRDefault="00CC2AE3" w:rsidP="00D02579">
      <w:pPr>
        <w:spacing w:after="55"/>
      </w:pPr>
      <w:r>
        <w:rPr>
          <w:rFonts w:ascii="Corbel" w:eastAsia="Corbel" w:hAnsi="Corbel" w:cs="Corbel"/>
          <w:b/>
          <w:color w:val="806000"/>
          <w:sz w:val="28"/>
        </w:rPr>
        <w:t xml:space="preserve">National School Reform Agreement – Bilateral Agreement Report – Australian Capital Territory – </w:t>
      </w:r>
      <w:r w:rsidRPr="00DC1704">
        <w:rPr>
          <w:rFonts w:ascii="Corbel" w:eastAsia="Corbel" w:hAnsi="Corbel" w:cs="Corbel"/>
          <w:b/>
          <w:color w:val="806000"/>
          <w:sz w:val="28"/>
        </w:rPr>
        <w:t>2019</w:t>
      </w:r>
      <w:r>
        <w:rPr>
          <w:rFonts w:ascii="Corbel" w:eastAsia="Corbel" w:hAnsi="Corbel" w:cs="Corbel"/>
          <w:b/>
          <w:color w:val="806000"/>
          <w:sz w:val="2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1F90F" w14:textId="77777777" w:rsidR="007B74E3" w:rsidRDefault="007B74E3" w:rsidP="005950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8C7B7C" w14:textId="77777777" w:rsidR="007B74E3" w:rsidRDefault="007B74E3" w:rsidP="00A77DF9">
    <w:pPr>
      <w:pStyle w:val="Footer"/>
      <w:ind w:right="360"/>
    </w:pPr>
  </w:p>
  <w:p w14:paraId="48FE9501" w14:textId="77777777" w:rsidR="007B74E3" w:rsidRDefault="007B74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2716887"/>
      <w:docPartObj>
        <w:docPartGallery w:val="Page Numbers (Bottom of Page)"/>
        <w:docPartUnique/>
      </w:docPartObj>
    </w:sdtPr>
    <w:sdtEndPr>
      <w:rPr>
        <w:noProof/>
      </w:rPr>
    </w:sdtEndPr>
    <w:sdtContent>
      <w:p w14:paraId="1C97C1DD" w14:textId="66E63185" w:rsidR="007B74E3" w:rsidRDefault="00EE3C29" w:rsidP="00EE3C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B112D" w14:textId="7845F41D" w:rsidR="000807AE" w:rsidRDefault="000807AE" w:rsidP="00EE3C29">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8473571"/>
      <w:docPartObj>
        <w:docPartGallery w:val="Page Numbers (Bottom of Page)"/>
        <w:docPartUnique/>
      </w:docPartObj>
    </w:sdtPr>
    <w:sdtEndPr>
      <w:rPr>
        <w:noProof/>
      </w:rPr>
    </w:sdtEndPr>
    <w:sdtContent>
      <w:p w14:paraId="082F578E" w14:textId="77777777" w:rsidR="00EE3C29" w:rsidRDefault="00EE3C29" w:rsidP="00EE3C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val="0"/>
      </w:rPr>
      <w:id w:val="829790710"/>
      <w:docPartObj>
        <w:docPartGallery w:val="Page Numbers (Bottom of Page)"/>
        <w:docPartUnique/>
      </w:docPartObj>
    </w:sdtPr>
    <w:sdtEndPr>
      <w:rPr>
        <w:noProof/>
      </w:rPr>
    </w:sdtEndPr>
    <w:sdtContent>
      <w:p w14:paraId="2B8FEAB3" w14:textId="2EB38EE4" w:rsidR="003124F9" w:rsidRDefault="003124F9" w:rsidP="006D465D">
        <w:pPr>
          <w:pStyle w:val="Footer"/>
          <w:jc w:val="center"/>
        </w:pPr>
        <w:r>
          <w:rPr>
            <w:b w:val="0"/>
          </w:rPr>
          <w:fldChar w:fldCharType="begin"/>
        </w:r>
        <w:r>
          <w:instrText xml:space="preserve"> PAGE   \* MERGEFORMAT </w:instrText>
        </w:r>
        <w:r>
          <w:rPr>
            <w:b w:val="0"/>
          </w:rPr>
          <w:fldChar w:fldCharType="separate"/>
        </w:r>
        <w:r>
          <w:rPr>
            <w:noProof/>
          </w:rPr>
          <w:t>2</w:t>
        </w:r>
        <w:r>
          <w:rPr>
            <w:b w:val="0"/>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10B3C" w14:textId="77777777" w:rsidR="00CC2AE3" w:rsidRDefault="00CC2AE3">
      <w:r>
        <w:separator/>
      </w:r>
    </w:p>
    <w:p w14:paraId="6698F32E" w14:textId="77777777" w:rsidR="00CC2AE3" w:rsidRDefault="00CC2AE3"/>
  </w:footnote>
  <w:footnote w:type="continuationSeparator" w:id="0">
    <w:p w14:paraId="2BB40233" w14:textId="77777777" w:rsidR="00CC2AE3" w:rsidRDefault="00CC2AE3">
      <w:r>
        <w:continuationSeparator/>
      </w:r>
    </w:p>
    <w:p w14:paraId="33C5220A" w14:textId="77777777" w:rsidR="00CC2AE3" w:rsidRDefault="00CC2AE3"/>
  </w:footnote>
  <w:footnote w:type="continuationNotice" w:id="1">
    <w:p w14:paraId="1C75F143" w14:textId="77777777" w:rsidR="00CC2AE3" w:rsidRDefault="00CC2AE3"/>
    <w:p w14:paraId="73B56902" w14:textId="77777777" w:rsidR="00CC2AE3" w:rsidRDefault="00CC2A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AFFFF" w14:textId="77777777" w:rsidR="00EE3C29" w:rsidRDefault="00EE3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E6E32" w14:textId="1ED9A793" w:rsidR="007B74E3" w:rsidRDefault="004233AC" w:rsidP="00D02579">
    <w:pPr>
      <w:spacing w:after="55"/>
    </w:pPr>
    <w:r>
      <w:rPr>
        <w:rFonts w:ascii="Corbel" w:eastAsia="Corbel" w:hAnsi="Corbel" w:cs="Corbel"/>
        <w:b/>
        <w:color w:val="806000"/>
        <w:sz w:val="28"/>
      </w:rPr>
      <w:t>National School Reform Agreement – Bilateral Agreement Report – Victoria –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EC9CE" w14:textId="77777777" w:rsidR="00EE3C29" w:rsidRDefault="00EE3C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C5C3A" w14:textId="609DDA06" w:rsidR="006216B6" w:rsidRPr="006216B6" w:rsidRDefault="006216B6" w:rsidP="006216B6">
    <w:pPr>
      <w:spacing w:after="55"/>
    </w:pPr>
    <w:r>
      <w:rPr>
        <w:rFonts w:ascii="Corbel" w:eastAsia="Corbel" w:hAnsi="Corbel" w:cs="Corbel"/>
        <w:b/>
        <w:color w:val="806000"/>
        <w:sz w:val="28"/>
      </w:rPr>
      <w:t>National School Reform Agreement – Bilateral Agreement Report – Victoria –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06A84"/>
    <w:multiLevelType w:val="hybridMultilevel"/>
    <w:tmpl w:val="04322D28"/>
    <w:lvl w:ilvl="0" w:tplc="0C090001">
      <w:start w:val="1"/>
      <w:numFmt w:val="bullet"/>
      <w:lvlText w:val=""/>
      <w:lvlJc w:val="left"/>
      <w:pPr>
        <w:ind w:left="722" w:hanging="360"/>
      </w:pPr>
      <w:rPr>
        <w:rFonts w:ascii="Symbol" w:hAnsi="Symbol" w:hint="default"/>
      </w:rPr>
    </w:lvl>
    <w:lvl w:ilvl="1" w:tplc="0C090003">
      <w:start w:val="1"/>
      <w:numFmt w:val="bullet"/>
      <w:lvlText w:val="o"/>
      <w:lvlJc w:val="left"/>
      <w:pPr>
        <w:ind w:left="1442" w:hanging="360"/>
      </w:pPr>
      <w:rPr>
        <w:rFonts w:ascii="Courier New" w:hAnsi="Courier New" w:cs="Courier New" w:hint="default"/>
      </w:rPr>
    </w:lvl>
    <w:lvl w:ilvl="2" w:tplc="DB6EC5BC">
      <w:numFmt w:val="bullet"/>
      <w:lvlText w:val="•"/>
      <w:lvlJc w:val="left"/>
      <w:pPr>
        <w:ind w:left="2162" w:hanging="360"/>
      </w:pPr>
      <w:rPr>
        <w:rFonts w:ascii="Corbel" w:eastAsiaTheme="minorEastAsia" w:hAnsi="Corbel" w:cstheme="minorBidi"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1" w15:restartNumberingAfterBreak="0">
    <w:nsid w:val="034D491A"/>
    <w:multiLevelType w:val="hybridMultilevel"/>
    <w:tmpl w:val="6BE8FA02"/>
    <w:lvl w:ilvl="0" w:tplc="DAD4BA6C">
      <w:start w:val="1"/>
      <w:numFmt w:val="bullet"/>
      <w:lvlText w:val="•"/>
      <w:lvlJc w:val="left"/>
      <w:pPr>
        <w:ind w:left="36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1" w:tplc="33CA3656">
      <w:start w:val="1"/>
      <w:numFmt w:val="bullet"/>
      <w:lvlText w:val="o"/>
      <w:lvlJc w:val="left"/>
      <w:pPr>
        <w:ind w:left="108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2" w:tplc="ECA0679A">
      <w:start w:val="1"/>
      <w:numFmt w:val="bullet"/>
      <w:lvlText w:val="▪"/>
      <w:lvlJc w:val="left"/>
      <w:pPr>
        <w:ind w:left="180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3" w:tplc="18BA0D26">
      <w:start w:val="1"/>
      <w:numFmt w:val="bullet"/>
      <w:lvlText w:val="•"/>
      <w:lvlJc w:val="left"/>
      <w:pPr>
        <w:ind w:left="252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4" w:tplc="D76ABDAA">
      <w:start w:val="1"/>
      <w:numFmt w:val="bullet"/>
      <w:lvlText w:val="o"/>
      <w:lvlJc w:val="left"/>
      <w:pPr>
        <w:ind w:left="324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5" w:tplc="CB0036D8">
      <w:start w:val="1"/>
      <w:numFmt w:val="bullet"/>
      <w:lvlText w:val="▪"/>
      <w:lvlJc w:val="left"/>
      <w:pPr>
        <w:ind w:left="396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6" w:tplc="4CD60240">
      <w:start w:val="1"/>
      <w:numFmt w:val="bullet"/>
      <w:lvlText w:val="•"/>
      <w:lvlJc w:val="left"/>
      <w:pPr>
        <w:ind w:left="468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7" w:tplc="CB0E528A">
      <w:start w:val="1"/>
      <w:numFmt w:val="bullet"/>
      <w:lvlText w:val="o"/>
      <w:lvlJc w:val="left"/>
      <w:pPr>
        <w:ind w:left="540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8" w:tplc="029C5C66">
      <w:start w:val="1"/>
      <w:numFmt w:val="bullet"/>
      <w:lvlText w:val="▪"/>
      <w:lvlJc w:val="left"/>
      <w:pPr>
        <w:ind w:left="612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abstractNum>
  <w:abstractNum w:abstractNumId="2" w15:restartNumberingAfterBreak="0">
    <w:nsid w:val="04FB5072"/>
    <w:multiLevelType w:val="hybridMultilevel"/>
    <w:tmpl w:val="FA44918A"/>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3" w15:restartNumberingAfterBreak="0">
    <w:nsid w:val="05634DAE"/>
    <w:multiLevelType w:val="hybridMultilevel"/>
    <w:tmpl w:val="FB96519E"/>
    <w:lvl w:ilvl="0" w:tplc="787495CA">
      <w:numFmt w:val="bullet"/>
      <w:lvlText w:val=""/>
      <w:lvlJc w:val="left"/>
      <w:pPr>
        <w:ind w:left="394" w:hanging="360"/>
      </w:pPr>
      <w:rPr>
        <w:rFonts w:ascii="Symbol" w:eastAsiaTheme="minorEastAsia" w:hAnsi="Symbol" w:cs="Arial" w:hint="default"/>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4" w15:restartNumberingAfterBreak="0">
    <w:nsid w:val="09A22D9A"/>
    <w:multiLevelType w:val="hybridMultilevel"/>
    <w:tmpl w:val="4336E81E"/>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5" w15:restartNumberingAfterBreak="0">
    <w:nsid w:val="0D1C18AD"/>
    <w:multiLevelType w:val="hybridMultilevel"/>
    <w:tmpl w:val="C1DE0CB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F9A49EE"/>
    <w:multiLevelType w:val="hybridMultilevel"/>
    <w:tmpl w:val="D938F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DD69F8"/>
    <w:multiLevelType w:val="hybridMultilevel"/>
    <w:tmpl w:val="3E26B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19139A"/>
    <w:multiLevelType w:val="hybridMultilevel"/>
    <w:tmpl w:val="831E88FE"/>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9" w15:restartNumberingAfterBreak="0">
    <w:nsid w:val="1A4922FE"/>
    <w:multiLevelType w:val="hybridMultilevel"/>
    <w:tmpl w:val="22520D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58341DD2">
      <w:numFmt w:val="bullet"/>
      <w:lvlText w:val="•"/>
      <w:lvlJc w:val="left"/>
      <w:pPr>
        <w:ind w:left="2220" w:hanging="420"/>
      </w:pPr>
      <w:rPr>
        <w:rFonts w:ascii="Corbel" w:eastAsiaTheme="minorEastAsia" w:hAnsi="Corbel"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4F576D"/>
    <w:multiLevelType w:val="hybridMultilevel"/>
    <w:tmpl w:val="9D682C80"/>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11" w15:restartNumberingAfterBreak="0">
    <w:nsid w:val="25ED3BE5"/>
    <w:multiLevelType w:val="hybridMultilevel"/>
    <w:tmpl w:val="F7C4A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CB76AB"/>
    <w:multiLevelType w:val="hybridMultilevel"/>
    <w:tmpl w:val="9C9E0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3A04FA"/>
    <w:multiLevelType w:val="hybridMultilevel"/>
    <w:tmpl w:val="EDCA2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143132"/>
    <w:multiLevelType w:val="hybridMultilevel"/>
    <w:tmpl w:val="1562D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CB3F1A"/>
    <w:multiLevelType w:val="hybridMultilevel"/>
    <w:tmpl w:val="49CEED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643" w:hanging="360"/>
      </w:pPr>
      <w:rPr>
        <w:rFonts w:ascii="Courier New" w:hAnsi="Courier New" w:cs="Courier New" w:hint="default"/>
      </w:rPr>
    </w:lvl>
    <w:lvl w:ilvl="2" w:tplc="0C090005">
      <w:start w:val="1"/>
      <w:numFmt w:val="bullet"/>
      <w:lvlText w:val=""/>
      <w:lvlJc w:val="left"/>
      <w:pPr>
        <w:ind w:left="2018" w:hanging="360"/>
      </w:pPr>
      <w:rPr>
        <w:rFonts w:ascii="Wingdings" w:hAnsi="Wingdings" w:hint="default"/>
      </w:rPr>
    </w:lvl>
    <w:lvl w:ilvl="3" w:tplc="0C090001">
      <w:start w:val="1"/>
      <w:numFmt w:val="bullet"/>
      <w:lvlText w:val=""/>
      <w:lvlJc w:val="left"/>
      <w:pPr>
        <w:ind w:left="2738" w:hanging="360"/>
      </w:pPr>
      <w:rPr>
        <w:rFonts w:ascii="Symbol" w:hAnsi="Symbol" w:hint="default"/>
      </w:rPr>
    </w:lvl>
    <w:lvl w:ilvl="4" w:tplc="0C090003">
      <w:start w:val="1"/>
      <w:numFmt w:val="bullet"/>
      <w:lvlText w:val="o"/>
      <w:lvlJc w:val="left"/>
      <w:pPr>
        <w:ind w:left="3458" w:hanging="360"/>
      </w:pPr>
      <w:rPr>
        <w:rFonts w:ascii="Courier New" w:hAnsi="Courier New" w:cs="Courier New" w:hint="default"/>
      </w:rPr>
    </w:lvl>
    <w:lvl w:ilvl="5" w:tplc="0C090005">
      <w:start w:val="1"/>
      <w:numFmt w:val="bullet"/>
      <w:lvlText w:val=""/>
      <w:lvlJc w:val="left"/>
      <w:pPr>
        <w:ind w:left="4178" w:hanging="360"/>
      </w:pPr>
      <w:rPr>
        <w:rFonts w:ascii="Wingdings" w:hAnsi="Wingdings" w:hint="default"/>
      </w:rPr>
    </w:lvl>
    <w:lvl w:ilvl="6" w:tplc="0C090001">
      <w:start w:val="1"/>
      <w:numFmt w:val="bullet"/>
      <w:lvlText w:val=""/>
      <w:lvlJc w:val="left"/>
      <w:pPr>
        <w:ind w:left="4898" w:hanging="360"/>
      </w:pPr>
      <w:rPr>
        <w:rFonts w:ascii="Symbol" w:hAnsi="Symbol" w:hint="default"/>
      </w:rPr>
    </w:lvl>
    <w:lvl w:ilvl="7" w:tplc="0C090003">
      <w:start w:val="1"/>
      <w:numFmt w:val="bullet"/>
      <w:lvlText w:val="o"/>
      <w:lvlJc w:val="left"/>
      <w:pPr>
        <w:ind w:left="5618" w:hanging="360"/>
      </w:pPr>
      <w:rPr>
        <w:rFonts w:ascii="Courier New" w:hAnsi="Courier New" w:cs="Courier New" w:hint="default"/>
      </w:rPr>
    </w:lvl>
    <w:lvl w:ilvl="8" w:tplc="0C090005">
      <w:start w:val="1"/>
      <w:numFmt w:val="bullet"/>
      <w:lvlText w:val=""/>
      <w:lvlJc w:val="left"/>
      <w:pPr>
        <w:ind w:left="6338" w:hanging="360"/>
      </w:pPr>
      <w:rPr>
        <w:rFonts w:ascii="Wingdings" w:hAnsi="Wingdings" w:hint="default"/>
      </w:rPr>
    </w:lvl>
  </w:abstractNum>
  <w:abstractNum w:abstractNumId="16" w15:restartNumberingAfterBreak="0">
    <w:nsid w:val="2AD14748"/>
    <w:multiLevelType w:val="hybridMultilevel"/>
    <w:tmpl w:val="D1D2EB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32705C"/>
    <w:multiLevelType w:val="hybridMultilevel"/>
    <w:tmpl w:val="9076622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8" w15:restartNumberingAfterBreak="0">
    <w:nsid w:val="30A57296"/>
    <w:multiLevelType w:val="hybridMultilevel"/>
    <w:tmpl w:val="5BC40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EB337F"/>
    <w:multiLevelType w:val="hybridMultilevel"/>
    <w:tmpl w:val="7F287E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9163B9"/>
    <w:multiLevelType w:val="hybridMultilevel"/>
    <w:tmpl w:val="08D2CF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A435E8A"/>
    <w:multiLevelType w:val="hybridMultilevel"/>
    <w:tmpl w:val="AED6D30E"/>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22" w15:restartNumberingAfterBreak="0">
    <w:nsid w:val="3A767FDC"/>
    <w:multiLevelType w:val="hybridMultilevel"/>
    <w:tmpl w:val="D1927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192650"/>
    <w:multiLevelType w:val="hybridMultilevel"/>
    <w:tmpl w:val="142A0C2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4A7CF7"/>
    <w:multiLevelType w:val="hybridMultilevel"/>
    <w:tmpl w:val="D51C4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DD7A99"/>
    <w:multiLevelType w:val="hybridMultilevel"/>
    <w:tmpl w:val="4734E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7652243"/>
    <w:multiLevelType w:val="hybridMultilevel"/>
    <w:tmpl w:val="3D8EE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E82A12"/>
    <w:multiLevelType w:val="hybridMultilevel"/>
    <w:tmpl w:val="DC763100"/>
    <w:lvl w:ilvl="0" w:tplc="0C090001">
      <w:start w:val="1"/>
      <w:numFmt w:val="bullet"/>
      <w:lvlText w:val=""/>
      <w:lvlJc w:val="left"/>
      <w:pPr>
        <w:ind w:left="722" w:hanging="360"/>
      </w:pPr>
      <w:rPr>
        <w:rFonts w:ascii="Symbol" w:hAnsi="Symbol" w:hint="default"/>
      </w:rPr>
    </w:lvl>
    <w:lvl w:ilvl="1" w:tplc="0C090003">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28" w15:restartNumberingAfterBreak="0">
    <w:nsid w:val="49592BBA"/>
    <w:multiLevelType w:val="hybridMultilevel"/>
    <w:tmpl w:val="8D685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8B250F"/>
    <w:multiLevelType w:val="hybridMultilevel"/>
    <w:tmpl w:val="538EF6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AEE5161"/>
    <w:multiLevelType w:val="hybridMultilevel"/>
    <w:tmpl w:val="8A9E4CD0"/>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31" w15:restartNumberingAfterBreak="0">
    <w:nsid w:val="4B967368"/>
    <w:multiLevelType w:val="hybridMultilevel"/>
    <w:tmpl w:val="EB0004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4C604A29"/>
    <w:multiLevelType w:val="hybridMultilevel"/>
    <w:tmpl w:val="4C6089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2" w:hanging="360"/>
      </w:pPr>
      <w:rPr>
        <w:rFonts w:ascii="Courier New" w:hAnsi="Courier New" w:cs="Courier New" w:hint="default"/>
      </w:rPr>
    </w:lvl>
    <w:lvl w:ilvl="2" w:tplc="0C090005">
      <w:start w:val="1"/>
      <w:numFmt w:val="bullet"/>
      <w:lvlText w:val=""/>
      <w:lvlJc w:val="left"/>
      <w:pPr>
        <w:ind w:left="2162" w:hanging="360"/>
      </w:pPr>
      <w:rPr>
        <w:rFonts w:ascii="Wingdings" w:hAnsi="Wingdings" w:hint="default"/>
      </w:rPr>
    </w:lvl>
    <w:lvl w:ilvl="3" w:tplc="0C090001">
      <w:start w:val="1"/>
      <w:numFmt w:val="bullet"/>
      <w:lvlText w:val=""/>
      <w:lvlJc w:val="left"/>
      <w:pPr>
        <w:ind w:left="2882" w:hanging="360"/>
      </w:pPr>
      <w:rPr>
        <w:rFonts w:ascii="Symbol" w:hAnsi="Symbol" w:hint="default"/>
      </w:rPr>
    </w:lvl>
    <w:lvl w:ilvl="4" w:tplc="0C090003">
      <w:start w:val="1"/>
      <w:numFmt w:val="bullet"/>
      <w:lvlText w:val="o"/>
      <w:lvlJc w:val="left"/>
      <w:pPr>
        <w:ind w:left="3602" w:hanging="360"/>
      </w:pPr>
      <w:rPr>
        <w:rFonts w:ascii="Courier New" w:hAnsi="Courier New" w:cs="Courier New" w:hint="default"/>
      </w:rPr>
    </w:lvl>
    <w:lvl w:ilvl="5" w:tplc="0C090005">
      <w:start w:val="1"/>
      <w:numFmt w:val="bullet"/>
      <w:lvlText w:val=""/>
      <w:lvlJc w:val="left"/>
      <w:pPr>
        <w:ind w:left="4322" w:hanging="360"/>
      </w:pPr>
      <w:rPr>
        <w:rFonts w:ascii="Wingdings" w:hAnsi="Wingdings" w:hint="default"/>
      </w:rPr>
    </w:lvl>
    <w:lvl w:ilvl="6" w:tplc="0C090001">
      <w:start w:val="1"/>
      <w:numFmt w:val="bullet"/>
      <w:lvlText w:val=""/>
      <w:lvlJc w:val="left"/>
      <w:pPr>
        <w:ind w:left="5042" w:hanging="360"/>
      </w:pPr>
      <w:rPr>
        <w:rFonts w:ascii="Symbol" w:hAnsi="Symbol" w:hint="default"/>
      </w:rPr>
    </w:lvl>
    <w:lvl w:ilvl="7" w:tplc="0C090003">
      <w:start w:val="1"/>
      <w:numFmt w:val="bullet"/>
      <w:lvlText w:val="o"/>
      <w:lvlJc w:val="left"/>
      <w:pPr>
        <w:ind w:left="5762" w:hanging="360"/>
      </w:pPr>
      <w:rPr>
        <w:rFonts w:ascii="Courier New" w:hAnsi="Courier New" w:cs="Courier New" w:hint="default"/>
      </w:rPr>
    </w:lvl>
    <w:lvl w:ilvl="8" w:tplc="0C090005">
      <w:start w:val="1"/>
      <w:numFmt w:val="bullet"/>
      <w:lvlText w:val=""/>
      <w:lvlJc w:val="left"/>
      <w:pPr>
        <w:ind w:left="6482" w:hanging="360"/>
      </w:pPr>
      <w:rPr>
        <w:rFonts w:ascii="Wingdings" w:hAnsi="Wingdings" w:hint="default"/>
      </w:rPr>
    </w:lvl>
  </w:abstractNum>
  <w:abstractNum w:abstractNumId="33" w15:restartNumberingAfterBreak="0">
    <w:nsid w:val="4E111D85"/>
    <w:multiLevelType w:val="hybridMultilevel"/>
    <w:tmpl w:val="860ACBE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4" w15:restartNumberingAfterBreak="0">
    <w:nsid w:val="4EFF5D5E"/>
    <w:multiLevelType w:val="hybridMultilevel"/>
    <w:tmpl w:val="45E2573C"/>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35" w15:restartNumberingAfterBreak="0">
    <w:nsid w:val="518A5837"/>
    <w:multiLevelType w:val="hybridMultilevel"/>
    <w:tmpl w:val="C79888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1E17481"/>
    <w:multiLevelType w:val="hybridMultilevel"/>
    <w:tmpl w:val="754C62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1E75460"/>
    <w:multiLevelType w:val="hybridMultilevel"/>
    <w:tmpl w:val="7BFAB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2C76DC4"/>
    <w:multiLevelType w:val="hybridMultilevel"/>
    <w:tmpl w:val="697C1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2D9040C"/>
    <w:multiLevelType w:val="hybridMultilevel"/>
    <w:tmpl w:val="C9DED39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0" w15:restartNumberingAfterBreak="0">
    <w:nsid w:val="542314F5"/>
    <w:multiLevelType w:val="hybridMultilevel"/>
    <w:tmpl w:val="DBEA2B6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58341DD2">
      <w:numFmt w:val="bullet"/>
      <w:lvlText w:val="•"/>
      <w:lvlJc w:val="left"/>
      <w:pPr>
        <w:ind w:left="2220" w:hanging="420"/>
      </w:pPr>
      <w:rPr>
        <w:rFonts w:ascii="Corbel" w:eastAsiaTheme="minorEastAsia" w:hAnsi="Corbel"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51130C2"/>
    <w:multiLevelType w:val="hybridMultilevel"/>
    <w:tmpl w:val="72768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6000BCA"/>
    <w:multiLevelType w:val="hybridMultilevel"/>
    <w:tmpl w:val="EB0004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3" w15:restartNumberingAfterBreak="0">
    <w:nsid w:val="571E6E4E"/>
    <w:multiLevelType w:val="hybridMultilevel"/>
    <w:tmpl w:val="C6D42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D4C03E8"/>
    <w:multiLevelType w:val="hybridMultilevel"/>
    <w:tmpl w:val="2A9614AA"/>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45" w15:restartNumberingAfterBreak="0">
    <w:nsid w:val="5E2919F2"/>
    <w:multiLevelType w:val="hybridMultilevel"/>
    <w:tmpl w:val="10C0E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EEA09EB"/>
    <w:multiLevelType w:val="hybridMultilevel"/>
    <w:tmpl w:val="BDA293B8"/>
    <w:lvl w:ilvl="0" w:tplc="0C090001">
      <w:start w:val="1"/>
      <w:numFmt w:val="bullet"/>
      <w:lvlText w:val=""/>
      <w:lvlJc w:val="left"/>
      <w:pPr>
        <w:ind w:left="362" w:hanging="360"/>
      </w:pPr>
      <w:rPr>
        <w:rFonts w:ascii="Symbol" w:hAnsi="Symbol" w:hint="default"/>
      </w:rPr>
    </w:lvl>
    <w:lvl w:ilvl="1" w:tplc="0C090003">
      <w:start w:val="1"/>
      <w:numFmt w:val="bullet"/>
      <w:lvlText w:val="o"/>
      <w:lvlJc w:val="left"/>
      <w:pPr>
        <w:ind w:left="1082" w:hanging="360"/>
      </w:pPr>
      <w:rPr>
        <w:rFonts w:ascii="Courier New" w:hAnsi="Courier New" w:cs="Courier New" w:hint="default"/>
      </w:rPr>
    </w:lvl>
    <w:lvl w:ilvl="2" w:tplc="0C090005" w:tentative="1">
      <w:start w:val="1"/>
      <w:numFmt w:val="bullet"/>
      <w:lvlText w:val=""/>
      <w:lvlJc w:val="left"/>
      <w:pPr>
        <w:ind w:left="1802" w:hanging="360"/>
      </w:pPr>
      <w:rPr>
        <w:rFonts w:ascii="Wingdings" w:hAnsi="Wingdings" w:hint="default"/>
      </w:rPr>
    </w:lvl>
    <w:lvl w:ilvl="3" w:tplc="0C090001" w:tentative="1">
      <w:start w:val="1"/>
      <w:numFmt w:val="bullet"/>
      <w:lvlText w:val=""/>
      <w:lvlJc w:val="left"/>
      <w:pPr>
        <w:ind w:left="2522" w:hanging="360"/>
      </w:pPr>
      <w:rPr>
        <w:rFonts w:ascii="Symbol" w:hAnsi="Symbol" w:hint="default"/>
      </w:rPr>
    </w:lvl>
    <w:lvl w:ilvl="4" w:tplc="0C090003" w:tentative="1">
      <w:start w:val="1"/>
      <w:numFmt w:val="bullet"/>
      <w:lvlText w:val="o"/>
      <w:lvlJc w:val="left"/>
      <w:pPr>
        <w:ind w:left="3242" w:hanging="360"/>
      </w:pPr>
      <w:rPr>
        <w:rFonts w:ascii="Courier New" w:hAnsi="Courier New" w:cs="Courier New" w:hint="default"/>
      </w:rPr>
    </w:lvl>
    <w:lvl w:ilvl="5" w:tplc="0C090005" w:tentative="1">
      <w:start w:val="1"/>
      <w:numFmt w:val="bullet"/>
      <w:lvlText w:val=""/>
      <w:lvlJc w:val="left"/>
      <w:pPr>
        <w:ind w:left="3962" w:hanging="360"/>
      </w:pPr>
      <w:rPr>
        <w:rFonts w:ascii="Wingdings" w:hAnsi="Wingdings" w:hint="default"/>
      </w:rPr>
    </w:lvl>
    <w:lvl w:ilvl="6" w:tplc="0C090001" w:tentative="1">
      <w:start w:val="1"/>
      <w:numFmt w:val="bullet"/>
      <w:lvlText w:val=""/>
      <w:lvlJc w:val="left"/>
      <w:pPr>
        <w:ind w:left="4682" w:hanging="360"/>
      </w:pPr>
      <w:rPr>
        <w:rFonts w:ascii="Symbol" w:hAnsi="Symbol" w:hint="default"/>
      </w:rPr>
    </w:lvl>
    <w:lvl w:ilvl="7" w:tplc="0C090003" w:tentative="1">
      <w:start w:val="1"/>
      <w:numFmt w:val="bullet"/>
      <w:lvlText w:val="o"/>
      <w:lvlJc w:val="left"/>
      <w:pPr>
        <w:ind w:left="5402" w:hanging="360"/>
      </w:pPr>
      <w:rPr>
        <w:rFonts w:ascii="Courier New" w:hAnsi="Courier New" w:cs="Courier New" w:hint="default"/>
      </w:rPr>
    </w:lvl>
    <w:lvl w:ilvl="8" w:tplc="0C090005" w:tentative="1">
      <w:start w:val="1"/>
      <w:numFmt w:val="bullet"/>
      <w:lvlText w:val=""/>
      <w:lvlJc w:val="left"/>
      <w:pPr>
        <w:ind w:left="6122" w:hanging="360"/>
      </w:pPr>
      <w:rPr>
        <w:rFonts w:ascii="Wingdings" w:hAnsi="Wingdings" w:hint="default"/>
      </w:rPr>
    </w:lvl>
  </w:abstractNum>
  <w:abstractNum w:abstractNumId="47" w15:restartNumberingAfterBreak="0">
    <w:nsid w:val="5F3701C4"/>
    <w:multiLevelType w:val="hybridMultilevel"/>
    <w:tmpl w:val="E6C24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F993D97"/>
    <w:multiLevelType w:val="hybridMultilevel"/>
    <w:tmpl w:val="34CA8B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20D554A"/>
    <w:multiLevelType w:val="hybridMultilevel"/>
    <w:tmpl w:val="63C2A3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0" w15:restartNumberingAfterBreak="0">
    <w:nsid w:val="645A2F42"/>
    <w:multiLevelType w:val="hybridMultilevel"/>
    <w:tmpl w:val="509ABA22"/>
    <w:lvl w:ilvl="0" w:tplc="DBC4ABF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5361F71"/>
    <w:multiLevelType w:val="hybridMultilevel"/>
    <w:tmpl w:val="EF38C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7D8078E"/>
    <w:multiLevelType w:val="hybridMultilevel"/>
    <w:tmpl w:val="E3886C7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8973E0B"/>
    <w:multiLevelType w:val="hybridMultilevel"/>
    <w:tmpl w:val="D5442980"/>
    <w:lvl w:ilvl="0" w:tplc="0C090003">
      <w:start w:val="1"/>
      <w:numFmt w:val="bullet"/>
      <w:lvlText w:val="o"/>
      <w:lvlJc w:val="left"/>
      <w:pPr>
        <w:ind w:left="722" w:hanging="360"/>
      </w:pPr>
      <w:rPr>
        <w:rFonts w:ascii="Courier New" w:hAnsi="Courier New" w:cs="Courier New"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54" w15:restartNumberingAfterBreak="0">
    <w:nsid w:val="69D26B3E"/>
    <w:multiLevelType w:val="hybridMultilevel"/>
    <w:tmpl w:val="D78A50C2"/>
    <w:lvl w:ilvl="0" w:tplc="0C090003">
      <w:start w:val="1"/>
      <w:numFmt w:val="bullet"/>
      <w:lvlText w:val="o"/>
      <w:lvlJc w:val="left"/>
      <w:pPr>
        <w:ind w:left="720" w:hanging="360"/>
      </w:pPr>
      <w:rPr>
        <w:rFonts w:ascii="Courier New" w:hAnsi="Courier New" w:cs="Courier New" w:hint="default"/>
      </w:rPr>
    </w:lvl>
    <w:lvl w:ilvl="1" w:tplc="D32E3DAC">
      <w:numFmt w:val="bullet"/>
      <w:lvlText w:val="-"/>
      <w:lvlJc w:val="left"/>
      <w:pPr>
        <w:ind w:left="1440" w:hanging="360"/>
      </w:pPr>
      <w:rPr>
        <w:rFonts w:ascii="Calibri" w:eastAsia="Times New Roman" w:hAnsi="Calibri" w:cs="Calibri" w:hint="default"/>
        <w:color w:val="auto"/>
      </w:rPr>
    </w:lvl>
    <w:lvl w:ilvl="2" w:tplc="58341DD2">
      <w:numFmt w:val="bullet"/>
      <w:lvlText w:val="•"/>
      <w:lvlJc w:val="left"/>
      <w:pPr>
        <w:ind w:left="2220" w:hanging="420"/>
      </w:pPr>
      <w:rPr>
        <w:rFonts w:ascii="Corbel" w:eastAsiaTheme="minorEastAsia" w:hAnsi="Corbel"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A743CE7"/>
    <w:multiLevelType w:val="hybridMultilevel"/>
    <w:tmpl w:val="698A4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AE1152C"/>
    <w:multiLevelType w:val="hybridMultilevel"/>
    <w:tmpl w:val="F82EA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B44546D"/>
    <w:multiLevelType w:val="hybridMultilevel"/>
    <w:tmpl w:val="0F94F3E4"/>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8" w15:restartNumberingAfterBreak="0">
    <w:nsid w:val="6C14073A"/>
    <w:multiLevelType w:val="hybridMultilevel"/>
    <w:tmpl w:val="D592DB2E"/>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59" w15:restartNumberingAfterBreak="0">
    <w:nsid w:val="6FBE22CF"/>
    <w:multiLevelType w:val="hybridMultilevel"/>
    <w:tmpl w:val="2FDA2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00D778F"/>
    <w:multiLevelType w:val="hybridMultilevel"/>
    <w:tmpl w:val="FBF82728"/>
    <w:lvl w:ilvl="0" w:tplc="0C090001">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61" w15:restartNumberingAfterBreak="0">
    <w:nsid w:val="737770FD"/>
    <w:multiLevelType w:val="hybridMultilevel"/>
    <w:tmpl w:val="F1F29AA4"/>
    <w:lvl w:ilvl="0" w:tplc="0C090003">
      <w:start w:val="1"/>
      <w:numFmt w:val="bullet"/>
      <w:lvlText w:val="o"/>
      <w:lvlJc w:val="left"/>
      <w:pPr>
        <w:ind w:left="1287" w:hanging="360"/>
      </w:pPr>
      <w:rPr>
        <w:rFonts w:ascii="Courier New" w:hAnsi="Courier New" w:cs="Courier New"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2" w15:restartNumberingAfterBreak="0">
    <w:nsid w:val="74A94705"/>
    <w:multiLevelType w:val="hybridMultilevel"/>
    <w:tmpl w:val="A73AFC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76B955E2"/>
    <w:multiLevelType w:val="hybridMultilevel"/>
    <w:tmpl w:val="2CE23C3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AE74518"/>
    <w:multiLevelType w:val="hybridMultilevel"/>
    <w:tmpl w:val="6C80EEA6"/>
    <w:lvl w:ilvl="0" w:tplc="0C090001">
      <w:start w:val="1"/>
      <w:numFmt w:val="bullet"/>
      <w:lvlText w:val=""/>
      <w:lvlJc w:val="left"/>
      <w:pPr>
        <w:ind w:left="722" w:hanging="360"/>
      </w:pPr>
      <w:rPr>
        <w:rFonts w:ascii="Symbol" w:hAnsi="Symbol" w:hint="default"/>
      </w:rPr>
    </w:lvl>
    <w:lvl w:ilvl="1" w:tplc="0C090003">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65" w15:restartNumberingAfterBreak="0">
    <w:nsid w:val="7B1B0DA4"/>
    <w:multiLevelType w:val="hybridMultilevel"/>
    <w:tmpl w:val="F9CCA24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BF81FEE"/>
    <w:multiLevelType w:val="hybridMultilevel"/>
    <w:tmpl w:val="32728C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7C8B3561"/>
    <w:multiLevelType w:val="hybridMultilevel"/>
    <w:tmpl w:val="37A052F8"/>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8" w15:restartNumberingAfterBreak="0">
    <w:nsid w:val="7CC2604A"/>
    <w:multiLevelType w:val="hybridMultilevel"/>
    <w:tmpl w:val="60D89650"/>
    <w:lvl w:ilvl="0" w:tplc="0C090001">
      <w:start w:val="1"/>
      <w:numFmt w:val="bullet"/>
      <w:lvlText w:val=""/>
      <w:lvlJc w:val="left"/>
      <w:pPr>
        <w:ind w:left="1082" w:hanging="360"/>
      </w:pPr>
      <w:rPr>
        <w:rFonts w:ascii="Symbol" w:hAnsi="Symbol" w:hint="default"/>
      </w:rPr>
    </w:lvl>
    <w:lvl w:ilvl="1" w:tplc="0C090003" w:tentative="1">
      <w:start w:val="1"/>
      <w:numFmt w:val="bullet"/>
      <w:lvlText w:val="o"/>
      <w:lvlJc w:val="left"/>
      <w:pPr>
        <w:ind w:left="1802" w:hanging="360"/>
      </w:pPr>
      <w:rPr>
        <w:rFonts w:ascii="Courier New" w:hAnsi="Courier New" w:cs="Courier New" w:hint="default"/>
      </w:rPr>
    </w:lvl>
    <w:lvl w:ilvl="2" w:tplc="0C090005" w:tentative="1">
      <w:start w:val="1"/>
      <w:numFmt w:val="bullet"/>
      <w:lvlText w:val=""/>
      <w:lvlJc w:val="left"/>
      <w:pPr>
        <w:ind w:left="2522" w:hanging="360"/>
      </w:pPr>
      <w:rPr>
        <w:rFonts w:ascii="Wingdings" w:hAnsi="Wingdings" w:hint="default"/>
      </w:rPr>
    </w:lvl>
    <w:lvl w:ilvl="3" w:tplc="0C090001" w:tentative="1">
      <w:start w:val="1"/>
      <w:numFmt w:val="bullet"/>
      <w:lvlText w:val=""/>
      <w:lvlJc w:val="left"/>
      <w:pPr>
        <w:ind w:left="3242" w:hanging="360"/>
      </w:pPr>
      <w:rPr>
        <w:rFonts w:ascii="Symbol" w:hAnsi="Symbol" w:hint="default"/>
      </w:rPr>
    </w:lvl>
    <w:lvl w:ilvl="4" w:tplc="0C090003" w:tentative="1">
      <w:start w:val="1"/>
      <w:numFmt w:val="bullet"/>
      <w:lvlText w:val="o"/>
      <w:lvlJc w:val="left"/>
      <w:pPr>
        <w:ind w:left="3962" w:hanging="360"/>
      </w:pPr>
      <w:rPr>
        <w:rFonts w:ascii="Courier New" w:hAnsi="Courier New" w:cs="Courier New" w:hint="default"/>
      </w:rPr>
    </w:lvl>
    <w:lvl w:ilvl="5" w:tplc="0C090005" w:tentative="1">
      <w:start w:val="1"/>
      <w:numFmt w:val="bullet"/>
      <w:lvlText w:val=""/>
      <w:lvlJc w:val="left"/>
      <w:pPr>
        <w:ind w:left="4682" w:hanging="360"/>
      </w:pPr>
      <w:rPr>
        <w:rFonts w:ascii="Wingdings" w:hAnsi="Wingdings" w:hint="default"/>
      </w:rPr>
    </w:lvl>
    <w:lvl w:ilvl="6" w:tplc="0C090001" w:tentative="1">
      <w:start w:val="1"/>
      <w:numFmt w:val="bullet"/>
      <w:lvlText w:val=""/>
      <w:lvlJc w:val="left"/>
      <w:pPr>
        <w:ind w:left="5402" w:hanging="360"/>
      </w:pPr>
      <w:rPr>
        <w:rFonts w:ascii="Symbol" w:hAnsi="Symbol" w:hint="default"/>
      </w:rPr>
    </w:lvl>
    <w:lvl w:ilvl="7" w:tplc="0C090003" w:tentative="1">
      <w:start w:val="1"/>
      <w:numFmt w:val="bullet"/>
      <w:lvlText w:val="o"/>
      <w:lvlJc w:val="left"/>
      <w:pPr>
        <w:ind w:left="6122" w:hanging="360"/>
      </w:pPr>
      <w:rPr>
        <w:rFonts w:ascii="Courier New" w:hAnsi="Courier New" w:cs="Courier New" w:hint="default"/>
      </w:rPr>
    </w:lvl>
    <w:lvl w:ilvl="8" w:tplc="0C090005" w:tentative="1">
      <w:start w:val="1"/>
      <w:numFmt w:val="bullet"/>
      <w:lvlText w:val=""/>
      <w:lvlJc w:val="left"/>
      <w:pPr>
        <w:ind w:left="6842" w:hanging="360"/>
      </w:pPr>
      <w:rPr>
        <w:rFonts w:ascii="Wingdings" w:hAnsi="Wingdings" w:hint="default"/>
      </w:rPr>
    </w:lvl>
  </w:abstractNum>
  <w:num w:numId="1">
    <w:abstractNumId w:val="1"/>
  </w:num>
  <w:num w:numId="2">
    <w:abstractNumId w:val="67"/>
  </w:num>
  <w:num w:numId="3">
    <w:abstractNumId w:val="0"/>
  </w:num>
  <w:num w:numId="4">
    <w:abstractNumId w:val="10"/>
  </w:num>
  <w:num w:numId="5">
    <w:abstractNumId w:val="60"/>
  </w:num>
  <w:num w:numId="6">
    <w:abstractNumId w:val="64"/>
  </w:num>
  <w:num w:numId="7">
    <w:abstractNumId w:val="21"/>
  </w:num>
  <w:num w:numId="8">
    <w:abstractNumId w:val="27"/>
  </w:num>
  <w:num w:numId="9">
    <w:abstractNumId w:val="58"/>
  </w:num>
  <w:num w:numId="10">
    <w:abstractNumId w:val="8"/>
  </w:num>
  <w:num w:numId="11">
    <w:abstractNumId w:val="30"/>
  </w:num>
  <w:num w:numId="12">
    <w:abstractNumId w:val="34"/>
  </w:num>
  <w:num w:numId="13">
    <w:abstractNumId w:val="49"/>
  </w:num>
  <w:num w:numId="14">
    <w:abstractNumId w:val="4"/>
  </w:num>
  <w:num w:numId="15">
    <w:abstractNumId w:val="44"/>
  </w:num>
  <w:num w:numId="16">
    <w:abstractNumId w:val="68"/>
  </w:num>
  <w:num w:numId="17">
    <w:abstractNumId w:val="39"/>
  </w:num>
  <w:num w:numId="18">
    <w:abstractNumId w:val="2"/>
  </w:num>
  <w:num w:numId="19">
    <w:abstractNumId w:val="57"/>
  </w:num>
  <w:num w:numId="20">
    <w:abstractNumId w:val="17"/>
  </w:num>
  <w:num w:numId="21">
    <w:abstractNumId w:val="65"/>
  </w:num>
  <w:num w:numId="22">
    <w:abstractNumId w:val="61"/>
  </w:num>
  <w:num w:numId="23">
    <w:abstractNumId w:val="53"/>
  </w:num>
  <w:num w:numId="24">
    <w:abstractNumId w:val="46"/>
  </w:num>
  <w:num w:numId="25">
    <w:abstractNumId w:val="40"/>
  </w:num>
  <w:num w:numId="26">
    <w:abstractNumId w:val="54"/>
  </w:num>
  <w:num w:numId="27">
    <w:abstractNumId w:val="9"/>
  </w:num>
  <w:num w:numId="28">
    <w:abstractNumId w:val="23"/>
  </w:num>
  <w:num w:numId="29">
    <w:abstractNumId w:val="52"/>
  </w:num>
  <w:num w:numId="30">
    <w:abstractNumId w:val="5"/>
  </w:num>
  <w:num w:numId="31">
    <w:abstractNumId w:val="3"/>
  </w:num>
  <w:num w:numId="32">
    <w:abstractNumId w:val="41"/>
  </w:num>
  <w:num w:numId="33">
    <w:abstractNumId w:val="32"/>
  </w:num>
  <w:num w:numId="34">
    <w:abstractNumId w:val="48"/>
  </w:num>
  <w:num w:numId="35">
    <w:abstractNumId w:val="15"/>
  </w:num>
  <w:num w:numId="36">
    <w:abstractNumId w:val="48"/>
  </w:num>
  <w:num w:numId="37">
    <w:abstractNumId w:val="14"/>
  </w:num>
  <w:num w:numId="38">
    <w:abstractNumId w:val="62"/>
  </w:num>
  <w:num w:numId="39">
    <w:abstractNumId w:val="37"/>
  </w:num>
  <w:num w:numId="40">
    <w:abstractNumId w:val="50"/>
  </w:num>
  <w:num w:numId="41">
    <w:abstractNumId w:val="20"/>
  </w:num>
  <w:num w:numId="42">
    <w:abstractNumId w:val="66"/>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31"/>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num>
  <w:num w:numId="48">
    <w:abstractNumId w:val="63"/>
  </w:num>
  <w:num w:numId="49">
    <w:abstractNumId w:val="29"/>
  </w:num>
  <w:num w:numId="50">
    <w:abstractNumId w:val="28"/>
  </w:num>
  <w:num w:numId="51">
    <w:abstractNumId w:val="22"/>
  </w:num>
  <w:num w:numId="52">
    <w:abstractNumId w:val="43"/>
  </w:num>
  <w:num w:numId="53">
    <w:abstractNumId w:val="55"/>
  </w:num>
  <w:num w:numId="54">
    <w:abstractNumId w:val="45"/>
  </w:num>
  <w:num w:numId="55">
    <w:abstractNumId w:val="13"/>
  </w:num>
  <w:num w:numId="56">
    <w:abstractNumId w:val="36"/>
  </w:num>
  <w:num w:numId="57">
    <w:abstractNumId w:val="56"/>
  </w:num>
  <w:num w:numId="58">
    <w:abstractNumId w:val="59"/>
  </w:num>
  <w:num w:numId="59">
    <w:abstractNumId w:val="12"/>
  </w:num>
  <w:num w:numId="60">
    <w:abstractNumId w:val="19"/>
  </w:num>
  <w:num w:numId="61">
    <w:abstractNumId w:val="35"/>
  </w:num>
  <w:num w:numId="62">
    <w:abstractNumId w:val="16"/>
  </w:num>
  <w:num w:numId="63">
    <w:abstractNumId w:val="26"/>
  </w:num>
  <w:num w:numId="64">
    <w:abstractNumId w:val="47"/>
  </w:num>
  <w:num w:numId="65">
    <w:abstractNumId w:val="38"/>
  </w:num>
  <w:num w:numId="66">
    <w:abstractNumId w:val="7"/>
  </w:num>
  <w:num w:numId="67">
    <w:abstractNumId w:val="18"/>
  </w:num>
  <w:num w:numId="68">
    <w:abstractNumId w:val="25"/>
  </w:num>
  <w:num w:numId="69">
    <w:abstractNumId w:val="24"/>
  </w:num>
  <w:num w:numId="70">
    <w:abstractNumId w:val="11"/>
  </w:num>
  <w:num w:numId="71">
    <w:abstractNumId w:val="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355"/>
    <w:rsid w:val="00003744"/>
    <w:rsid w:val="00006AB1"/>
    <w:rsid w:val="000126EA"/>
    <w:rsid w:val="00012D0F"/>
    <w:rsid w:val="000153DE"/>
    <w:rsid w:val="0001622F"/>
    <w:rsid w:val="00016D13"/>
    <w:rsid w:val="00021285"/>
    <w:rsid w:val="000220E5"/>
    <w:rsid w:val="00023561"/>
    <w:rsid w:val="0002394E"/>
    <w:rsid w:val="00023EE0"/>
    <w:rsid w:val="00025C78"/>
    <w:rsid w:val="00031104"/>
    <w:rsid w:val="000319A9"/>
    <w:rsid w:val="00031B30"/>
    <w:rsid w:val="00032796"/>
    <w:rsid w:val="00033371"/>
    <w:rsid w:val="0003351B"/>
    <w:rsid w:val="00033C7B"/>
    <w:rsid w:val="00035B1B"/>
    <w:rsid w:val="00035EE7"/>
    <w:rsid w:val="00037390"/>
    <w:rsid w:val="00037AAE"/>
    <w:rsid w:val="00040FAD"/>
    <w:rsid w:val="00041F43"/>
    <w:rsid w:val="000456BC"/>
    <w:rsid w:val="00045C5C"/>
    <w:rsid w:val="000473A8"/>
    <w:rsid w:val="00047FC7"/>
    <w:rsid w:val="00050305"/>
    <w:rsid w:val="000514AF"/>
    <w:rsid w:val="0005278D"/>
    <w:rsid w:val="00056639"/>
    <w:rsid w:val="00056E69"/>
    <w:rsid w:val="00056F29"/>
    <w:rsid w:val="00057C37"/>
    <w:rsid w:val="00057D69"/>
    <w:rsid w:val="00060E56"/>
    <w:rsid w:val="000640BA"/>
    <w:rsid w:val="000678F2"/>
    <w:rsid w:val="00070687"/>
    <w:rsid w:val="00074C97"/>
    <w:rsid w:val="000757DE"/>
    <w:rsid w:val="00075B84"/>
    <w:rsid w:val="00075E6B"/>
    <w:rsid w:val="00076BC0"/>
    <w:rsid w:val="000807AE"/>
    <w:rsid w:val="000809EE"/>
    <w:rsid w:val="00085130"/>
    <w:rsid w:val="0008583D"/>
    <w:rsid w:val="00086F12"/>
    <w:rsid w:val="000921FA"/>
    <w:rsid w:val="00094269"/>
    <w:rsid w:val="00097986"/>
    <w:rsid w:val="000A3CAC"/>
    <w:rsid w:val="000A7035"/>
    <w:rsid w:val="000B2117"/>
    <w:rsid w:val="000B2169"/>
    <w:rsid w:val="000B2388"/>
    <w:rsid w:val="000B48DD"/>
    <w:rsid w:val="000B5157"/>
    <w:rsid w:val="000C4F60"/>
    <w:rsid w:val="000C52C3"/>
    <w:rsid w:val="000C6299"/>
    <w:rsid w:val="000C7BE6"/>
    <w:rsid w:val="000D280E"/>
    <w:rsid w:val="000D4523"/>
    <w:rsid w:val="000D454A"/>
    <w:rsid w:val="000D4EC3"/>
    <w:rsid w:val="000D4FB4"/>
    <w:rsid w:val="000E2262"/>
    <w:rsid w:val="000E43C2"/>
    <w:rsid w:val="000F2675"/>
    <w:rsid w:val="000F2D25"/>
    <w:rsid w:val="000F437B"/>
    <w:rsid w:val="00103C93"/>
    <w:rsid w:val="00105EA5"/>
    <w:rsid w:val="00106C02"/>
    <w:rsid w:val="0011167B"/>
    <w:rsid w:val="0011212C"/>
    <w:rsid w:val="00117F7A"/>
    <w:rsid w:val="00120C8A"/>
    <w:rsid w:val="001210C2"/>
    <w:rsid w:val="0012397D"/>
    <w:rsid w:val="00124B90"/>
    <w:rsid w:val="001311E2"/>
    <w:rsid w:val="00132382"/>
    <w:rsid w:val="00137FD9"/>
    <w:rsid w:val="001417DE"/>
    <w:rsid w:val="0014340B"/>
    <w:rsid w:val="001476E8"/>
    <w:rsid w:val="001500A6"/>
    <w:rsid w:val="00150E96"/>
    <w:rsid w:val="001511A7"/>
    <w:rsid w:val="00154ED6"/>
    <w:rsid w:val="00155718"/>
    <w:rsid w:val="00155892"/>
    <w:rsid w:val="001564AF"/>
    <w:rsid w:val="00157C2F"/>
    <w:rsid w:val="00164687"/>
    <w:rsid w:val="00167463"/>
    <w:rsid w:val="001730AA"/>
    <w:rsid w:val="001735CF"/>
    <w:rsid w:val="00173DC6"/>
    <w:rsid w:val="001744CF"/>
    <w:rsid w:val="001764E4"/>
    <w:rsid w:val="001834CE"/>
    <w:rsid w:val="0019117D"/>
    <w:rsid w:val="00196ED1"/>
    <w:rsid w:val="001A0137"/>
    <w:rsid w:val="001A2702"/>
    <w:rsid w:val="001A310C"/>
    <w:rsid w:val="001B2584"/>
    <w:rsid w:val="001B521B"/>
    <w:rsid w:val="001C0E63"/>
    <w:rsid w:val="001C1EE7"/>
    <w:rsid w:val="001C6534"/>
    <w:rsid w:val="001C65CA"/>
    <w:rsid w:val="001C77F2"/>
    <w:rsid w:val="001C7D1B"/>
    <w:rsid w:val="001D3813"/>
    <w:rsid w:val="001D72A4"/>
    <w:rsid w:val="001E1B63"/>
    <w:rsid w:val="001E2B4E"/>
    <w:rsid w:val="001E3FD8"/>
    <w:rsid w:val="001E61E8"/>
    <w:rsid w:val="001F479C"/>
    <w:rsid w:val="001F5AF2"/>
    <w:rsid w:val="001F683E"/>
    <w:rsid w:val="002105A5"/>
    <w:rsid w:val="00210E4A"/>
    <w:rsid w:val="0021549D"/>
    <w:rsid w:val="0021647F"/>
    <w:rsid w:val="002166E7"/>
    <w:rsid w:val="00216E20"/>
    <w:rsid w:val="0022243A"/>
    <w:rsid w:val="00222CF0"/>
    <w:rsid w:val="00224725"/>
    <w:rsid w:val="00230CDF"/>
    <w:rsid w:val="0023114B"/>
    <w:rsid w:val="00232800"/>
    <w:rsid w:val="002372C1"/>
    <w:rsid w:val="00237C87"/>
    <w:rsid w:val="0024089E"/>
    <w:rsid w:val="0024651C"/>
    <w:rsid w:val="0026149E"/>
    <w:rsid w:val="002615F2"/>
    <w:rsid w:val="00261EC2"/>
    <w:rsid w:val="002623B3"/>
    <w:rsid w:val="00262FBC"/>
    <w:rsid w:val="00263006"/>
    <w:rsid w:val="002666BB"/>
    <w:rsid w:val="00270E5B"/>
    <w:rsid w:val="00273FFC"/>
    <w:rsid w:val="00280522"/>
    <w:rsid w:val="0028306B"/>
    <w:rsid w:val="0028316E"/>
    <w:rsid w:val="00286899"/>
    <w:rsid w:val="00287D3D"/>
    <w:rsid w:val="00290B64"/>
    <w:rsid w:val="00292109"/>
    <w:rsid w:val="00294FEA"/>
    <w:rsid w:val="00295F4F"/>
    <w:rsid w:val="002965E1"/>
    <w:rsid w:val="0029735B"/>
    <w:rsid w:val="002A15D9"/>
    <w:rsid w:val="002A4F04"/>
    <w:rsid w:val="002A6E66"/>
    <w:rsid w:val="002B1053"/>
    <w:rsid w:val="002B460E"/>
    <w:rsid w:val="002B6F74"/>
    <w:rsid w:val="002C0011"/>
    <w:rsid w:val="002C01D2"/>
    <w:rsid w:val="002C0D6A"/>
    <w:rsid w:val="002C2CF7"/>
    <w:rsid w:val="002C4CBD"/>
    <w:rsid w:val="002C77C2"/>
    <w:rsid w:val="002D060A"/>
    <w:rsid w:val="002D0B8B"/>
    <w:rsid w:val="002D3074"/>
    <w:rsid w:val="002D467C"/>
    <w:rsid w:val="002D6FCA"/>
    <w:rsid w:val="002E24FB"/>
    <w:rsid w:val="002E3C0D"/>
    <w:rsid w:val="002E5FEB"/>
    <w:rsid w:val="002E6058"/>
    <w:rsid w:val="002E71F7"/>
    <w:rsid w:val="002F1406"/>
    <w:rsid w:val="002F3445"/>
    <w:rsid w:val="002F50EB"/>
    <w:rsid w:val="00301104"/>
    <w:rsid w:val="00301F2F"/>
    <w:rsid w:val="00307105"/>
    <w:rsid w:val="00307E15"/>
    <w:rsid w:val="00310516"/>
    <w:rsid w:val="00310DCB"/>
    <w:rsid w:val="003124F9"/>
    <w:rsid w:val="003145FA"/>
    <w:rsid w:val="00314B03"/>
    <w:rsid w:val="00317329"/>
    <w:rsid w:val="00317BFE"/>
    <w:rsid w:val="003210E8"/>
    <w:rsid w:val="00322195"/>
    <w:rsid w:val="00322E5A"/>
    <w:rsid w:val="003247B9"/>
    <w:rsid w:val="003251ED"/>
    <w:rsid w:val="00327C51"/>
    <w:rsid w:val="0033000C"/>
    <w:rsid w:val="003308BD"/>
    <w:rsid w:val="00334340"/>
    <w:rsid w:val="00337745"/>
    <w:rsid w:val="00342487"/>
    <w:rsid w:val="003466F5"/>
    <w:rsid w:val="0035081A"/>
    <w:rsid w:val="00350F44"/>
    <w:rsid w:val="00351A2E"/>
    <w:rsid w:val="00351F42"/>
    <w:rsid w:val="003604B3"/>
    <w:rsid w:val="0036173B"/>
    <w:rsid w:val="00364760"/>
    <w:rsid w:val="00364887"/>
    <w:rsid w:val="003715A7"/>
    <w:rsid w:val="00375BB9"/>
    <w:rsid w:val="00376A75"/>
    <w:rsid w:val="00382ED5"/>
    <w:rsid w:val="0038527A"/>
    <w:rsid w:val="00386BA3"/>
    <w:rsid w:val="00390D0A"/>
    <w:rsid w:val="00392EC2"/>
    <w:rsid w:val="003931C9"/>
    <w:rsid w:val="00394BF2"/>
    <w:rsid w:val="00397A99"/>
    <w:rsid w:val="003A408E"/>
    <w:rsid w:val="003A7242"/>
    <w:rsid w:val="003B3A11"/>
    <w:rsid w:val="003B50B0"/>
    <w:rsid w:val="003B688A"/>
    <w:rsid w:val="003B7B20"/>
    <w:rsid w:val="003C3B1B"/>
    <w:rsid w:val="003C4CAF"/>
    <w:rsid w:val="003C6C17"/>
    <w:rsid w:val="003C7011"/>
    <w:rsid w:val="003C7723"/>
    <w:rsid w:val="003D3048"/>
    <w:rsid w:val="003D3843"/>
    <w:rsid w:val="003D7873"/>
    <w:rsid w:val="003D7992"/>
    <w:rsid w:val="003E0A4B"/>
    <w:rsid w:val="003E0AC3"/>
    <w:rsid w:val="003E18EA"/>
    <w:rsid w:val="003E402E"/>
    <w:rsid w:val="003F2D32"/>
    <w:rsid w:val="003F4189"/>
    <w:rsid w:val="003F558D"/>
    <w:rsid w:val="003F711A"/>
    <w:rsid w:val="00401667"/>
    <w:rsid w:val="00401FA0"/>
    <w:rsid w:val="00403ABA"/>
    <w:rsid w:val="00404900"/>
    <w:rsid w:val="00410FBD"/>
    <w:rsid w:val="004126F8"/>
    <w:rsid w:val="00413365"/>
    <w:rsid w:val="00414068"/>
    <w:rsid w:val="004177C5"/>
    <w:rsid w:val="00420297"/>
    <w:rsid w:val="004207EF"/>
    <w:rsid w:val="0042168F"/>
    <w:rsid w:val="00422573"/>
    <w:rsid w:val="004233AC"/>
    <w:rsid w:val="0042449D"/>
    <w:rsid w:val="00426718"/>
    <w:rsid w:val="00427468"/>
    <w:rsid w:val="004277D9"/>
    <w:rsid w:val="004278C4"/>
    <w:rsid w:val="004306D6"/>
    <w:rsid w:val="00431060"/>
    <w:rsid w:val="00432AE0"/>
    <w:rsid w:val="00433159"/>
    <w:rsid w:val="00434823"/>
    <w:rsid w:val="00441F81"/>
    <w:rsid w:val="00443EF3"/>
    <w:rsid w:val="00446543"/>
    <w:rsid w:val="004531F6"/>
    <w:rsid w:val="00455030"/>
    <w:rsid w:val="00457065"/>
    <w:rsid w:val="0046031C"/>
    <w:rsid w:val="00462B3A"/>
    <w:rsid w:val="004638A8"/>
    <w:rsid w:val="00464909"/>
    <w:rsid w:val="004666F4"/>
    <w:rsid w:val="00466E2E"/>
    <w:rsid w:val="004718F1"/>
    <w:rsid w:val="00471A79"/>
    <w:rsid w:val="00473A1A"/>
    <w:rsid w:val="0047738D"/>
    <w:rsid w:val="00480261"/>
    <w:rsid w:val="00480F05"/>
    <w:rsid w:val="00490BB8"/>
    <w:rsid w:val="004920B1"/>
    <w:rsid w:val="004957EF"/>
    <w:rsid w:val="004972ED"/>
    <w:rsid w:val="004A1F2B"/>
    <w:rsid w:val="004A2F33"/>
    <w:rsid w:val="004A3B4F"/>
    <w:rsid w:val="004A50FB"/>
    <w:rsid w:val="004A5D91"/>
    <w:rsid w:val="004A6FBC"/>
    <w:rsid w:val="004B0623"/>
    <w:rsid w:val="004B2F02"/>
    <w:rsid w:val="004B5143"/>
    <w:rsid w:val="004B7999"/>
    <w:rsid w:val="004C1DF6"/>
    <w:rsid w:val="004C4863"/>
    <w:rsid w:val="004D0468"/>
    <w:rsid w:val="004D16D7"/>
    <w:rsid w:val="004D7A82"/>
    <w:rsid w:val="004E141F"/>
    <w:rsid w:val="004E1C0F"/>
    <w:rsid w:val="004E2ECA"/>
    <w:rsid w:val="004E5E2F"/>
    <w:rsid w:val="004F17D9"/>
    <w:rsid w:val="004F464D"/>
    <w:rsid w:val="004F5587"/>
    <w:rsid w:val="004F5EB8"/>
    <w:rsid w:val="004F6766"/>
    <w:rsid w:val="004F6C95"/>
    <w:rsid w:val="00502FE8"/>
    <w:rsid w:val="00503F45"/>
    <w:rsid w:val="005110A4"/>
    <w:rsid w:val="00511A4B"/>
    <w:rsid w:val="00515A02"/>
    <w:rsid w:val="005162E4"/>
    <w:rsid w:val="0052044B"/>
    <w:rsid w:val="00521955"/>
    <w:rsid w:val="00522814"/>
    <w:rsid w:val="00525BBF"/>
    <w:rsid w:val="00525D6F"/>
    <w:rsid w:val="005262C1"/>
    <w:rsid w:val="00531A64"/>
    <w:rsid w:val="00533D85"/>
    <w:rsid w:val="005355A8"/>
    <w:rsid w:val="005361A4"/>
    <w:rsid w:val="00536467"/>
    <w:rsid w:val="00536FFA"/>
    <w:rsid w:val="00544372"/>
    <w:rsid w:val="00546B85"/>
    <w:rsid w:val="00556FA5"/>
    <w:rsid w:val="0056028A"/>
    <w:rsid w:val="00560F33"/>
    <w:rsid w:val="00562A35"/>
    <w:rsid w:val="005724F3"/>
    <w:rsid w:val="00577BDE"/>
    <w:rsid w:val="00582050"/>
    <w:rsid w:val="005839BA"/>
    <w:rsid w:val="00583C6C"/>
    <w:rsid w:val="005912C4"/>
    <w:rsid w:val="00591917"/>
    <w:rsid w:val="005931F0"/>
    <w:rsid w:val="005950BF"/>
    <w:rsid w:val="00596527"/>
    <w:rsid w:val="005965FE"/>
    <w:rsid w:val="005A0796"/>
    <w:rsid w:val="005A265C"/>
    <w:rsid w:val="005A3019"/>
    <w:rsid w:val="005A7F16"/>
    <w:rsid w:val="005B0587"/>
    <w:rsid w:val="005B0B2A"/>
    <w:rsid w:val="005B4AF6"/>
    <w:rsid w:val="005B5965"/>
    <w:rsid w:val="005B60A4"/>
    <w:rsid w:val="005B66BF"/>
    <w:rsid w:val="005B7D31"/>
    <w:rsid w:val="005C514C"/>
    <w:rsid w:val="005D261C"/>
    <w:rsid w:val="005D62F8"/>
    <w:rsid w:val="005D6F53"/>
    <w:rsid w:val="005E1579"/>
    <w:rsid w:val="005E1ADF"/>
    <w:rsid w:val="005E3823"/>
    <w:rsid w:val="005E42F0"/>
    <w:rsid w:val="005E465F"/>
    <w:rsid w:val="005E46E2"/>
    <w:rsid w:val="005F073B"/>
    <w:rsid w:val="005F5423"/>
    <w:rsid w:val="005F5FB0"/>
    <w:rsid w:val="00600784"/>
    <w:rsid w:val="00602B29"/>
    <w:rsid w:val="00604E3A"/>
    <w:rsid w:val="0060698B"/>
    <w:rsid w:val="006079B1"/>
    <w:rsid w:val="006116EF"/>
    <w:rsid w:val="0061190B"/>
    <w:rsid w:val="006135A6"/>
    <w:rsid w:val="00613E28"/>
    <w:rsid w:val="006155B6"/>
    <w:rsid w:val="006178C1"/>
    <w:rsid w:val="0062027F"/>
    <w:rsid w:val="0062112B"/>
    <w:rsid w:val="006216B6"/>
    <w:rsid w:val="00622636"/>
    <w:rsid w:val="006256AC"/>
    <w:rsid w:val="0062766D"/>
    <w:rsid w:val="0063110A"/>
    <w:rsid w:val="0063263D"/>
    <w:rsid w:val="0063566A"/>
    <w:rsid w:val="0063583B"/>
    <w:rsid w:val="006362FE"/>
    <w:rsid w:val="00640694"/>
    <w:rsid w:val="006462D0"/>
    <w:rsid w:val="00651467"/>
    <w:rsid w:val="00655002"/>
    <w:rsid w:val="00656517"/>
    <w:rsid w:val="00660AF0"/>
    <w:rsid w:val="00661EDB"/>
    <w:rsid w:val="00662793"/>
    <w:rsid w:val="0066402F"/>
    <w:rsid w:val="00665854"/>
    <w:rsid w:val="006669B5"/>
    <w:rsid w:val="00666F2A"/>
    <w:rsid w:val="00671CC1"/>
    <w:rsid w:val="006743E4"/>
    <w:rsid w:val="00680549"/>
    <w:rsid w:val="0068074F"/>
    <w:rsid w:val="006835CB"/>
    <w:rsid w:val="00685ACE"/>
    <w:rsid w:val="006937E6"/>
    <w:rsid w:val="00694181"/>
    <w:rsid w:val="00695629"/>
    <w:rsid w:val="00695965"/>
    <w:rsid w:val="00696E55"/>
    <w:rsid w:val="006B1839"/>
    <w:rsid w:val="006B1FAA"/>
    <w:rsid w:val="006B43E7"/>
    <w:rsid w:val="006C0FB9"/>
    <w:rsid w:val="006C4188"/>
    <w:rsid w:val="006C4537"/>
    <w:rsid w:val="006C4B35"/>
    <w:rsid w:val="006C5022"/>
    <w:rsid w:val="006C7BE7"/>
    <w:rsid w:val="006D0D67"/>
    <w:rsid w:val="006D328C"/>
    <w:rsid w:val="006D465D"/>
    <w:rsid w:val="006D787E"/>
    <w:rsid w:val="006E0B24"/>
    <w:rsid w:val="006E0EFE"/>
    <w:rsid w:val="006E3067"/>
    <w:rsid w:val="006E31A6"/>
    <w:rsid w:val="006E5B76"/>
    <w:rsid w:val="006E6D21"/>
    <w:rsid w:val="006E6FA8"/>
    <w:rsid w:val="006E7029"/>
    <w:rsid w:val="006F190F"/>
    <w:rsid w:val="006F1BC2"/>
    <w:rsid w:val="006F25B9"/>
    <w:rsid w:val="006F2BDB"/>
    <w:rsid w:val="006F6C97"/>
    <w:rsid w:val="007071CC"/>
    <w:rsid w:val="007079D7"/>
    <w:rsid w:val="0071006B"/>
    <w:rsid w:val="0071027D"/>
    <w:rsid w:val="0071540F"/>
    <w:rsid w:val="007154BF"/>
    <w:rsid w:val="007217D0"/>
    <w:rsid w:val="00724024"/>
    <w:rsid w:val="007303E2"/>
    <w:rsid w:val="00732D32"/>
    <w:rsid w:val="00733712"/>
    <w:rsid w:val="00733B53"/>
    <w:rsid w:val="00734C83"/>
    <w:rsid w:val="00736208"/>
    <w:rsid w:val="00736705"/>
    <w:rsid w:val="00742B01"/>
    <w:rsid w:val="00744EF1"/>
    <w:rsid w:val="0074580A"/>
    <w:rsid w:val="0074699C"/>
    <w:rsid w:val="00750446"/>
    <w:rsid w:val="007547AC"/>
    <w:rsid w:val="00754893"/>
    <w:rsid w:val="00754D3C"/>
    <w:rsid w:val="0076096C"/>
    <w:rsid w:val="007611EC"/>
    <w:rsid w:val="0076361E"/>
    <w:rsid w:val="007663AD"/>
    <w:rsid w:val="00767A55"/>
    <w:rsid w:val="007706E3"/>
    <w:rsid w:val="00770DE4"/>
    <w:rsid w:val="00772D4A"/>
    <w:rsid w:val="00775C2A"/>
    <w:rsid w:val="00775DE5"/>
    <w:rsid w:val="00777E70"/>
    <w:rsid w:val="00780CD1"/>
    <w:rsid w:val="00781136"/>
    <w:rsid w:val="00783AC5"/>
    <w:rsid w:val="00784638"/>
    <w:rsid w:val="00787999"/>
    <w:rsid w:val="007A0C5E"/>
    <w:rsid w:val="007A23CE"/>
    <w:rsid w:val="007A3DD0"/>
    <w:rsid w:val="007A46C1"/>
    <w:rsid w:val="007A5FCC"/>
    <w:rsid w:val="007A67FB"/>
    <w:rsid w:val="007B0D8C"/>
    <w:rsid w:val="007B0E52"/>
    <w:rsid w:val="007B11A8"/>
    <w:rsid w:val="007B27C5"/>
    <w:rsid w:val="007B297E"/>
    <w:rsid w:val="007B356D"/>
    <w:rsid w:val="007B5EDC"/>
    <w:rsid w:val="007B6849"/>
    <w:rsid w:val="007B70DE"/>
    <w:rsid w:val="007B74E3"/>
    <w:rsid w:val="007C139F"/>
    <w:rsid w:val="007C148A"/>
    <w:rsid w:val="007C56D7"/>
    <w:rsid w:val="007C6101"/>
    <w:rsid w:val="007D241A"/>
    <w:rsid w:val="007E0FE6"/>
    <w:rsid w:val="007E3B97"/>
    <w:rsid w:val="007E67EA"/>
    <w:rsid w:val="007E7B40"/>
    <w:rsid w:val="007F46BE"/>
    <w:rsid w:val="00800277"/>
    <w:rsid w:val="00801294"/>
    <w:rsid w:val="00805617"/>
    <w:rsid w:val="00805BBE"/>
    <w:rsid w:val="00805D21"/>
    <w:rsid w:val="00813A68"/>
    <w:rsid w:val="008141A9"/>
    <w:rsid w:val="0081761E"/>
    <w:rsid w:val="00820572"/>
    <w:rsid w:val="0082456F"/>
    <w:rsid w:val="0082718C"/>
    <w:rsid w:val="00827318"/>
    <w:rsid w:val="00831AC1"/>
    <w:rsid w:val="00833852"/>
    <w:rsid w:val="00836261"/>
    <w:rsid w:val="00836A03"/>
    <w:rsid w:val="00836EF2"/>
    <w:rsid w:val="00837933"/>
    <w:rsid w:val="00843DCE"/>
    <w:rsid w:val="008450F1"/>
    <w:rsid w:val="00846FE9"/>
    <w:rsid w:val="00853E50"/>
    <w:rsid w:val="008572BE"/>
    <w:rsid w:val="0086000A"/>
    <w:rsid w:val="008618A4"/>
    <w:rsid w:val="00862D4F"/>
    <w:rsid w:val="0086423B"/>
    <w:rsid w:val="008777B2"/>
    <w:rsid w:val="00886801"/>
    <w:rsid w:val="00892183"/>
    <w:rsid w:val="008924CD"/>
    <w:rsid w:val="0089368B"/>
    <w:rsid w:val="00894AC8"/>
    <w:rsid w:val="00895056"/>
    <w:rsid w:val="00895191"/>
    <w:rsid w:val="008A1B62"/>
    <w:rsid w:val="008A32E3"/>
    <w:rsid w:val="008B0FE6"/>
    <w:rsid w:val="008B1C23"/>
    <w:rsid w:val="008B4946"/>
    <w:rsid w:val="008B4B9A"/>
    <w:rsid w:val="008B5345"/>
    <w:rsid w:val="008B5BD0"/>
    <w:rsid w:val="008B680A"/>
    <w:rsid w:val="008C4D0B"/>
    <w:rsid w:val="008D32E4"/>
    <w:rsid w:val="008D3B6C"/>
    <w:rsid w:val="008D4A28"/>
    <w:rsid w:val="008D55CB"/>
    <w:rsid w:val="008D742A"/>
    <w:rsid w:val="008D7EB3"/>
    <w:rsid w:val="008E0007"/>
    <w:rsid w:val="008E25DA"/>
    <w:rsid w:val="008E2FCC"/>
    <w:rsid w:val="008E3739"/>
    <w:rsid w:val="008E4965"/>
    <w:rsid w:val="008F57A9"/>
    <w:rsid w:val="008F6CCD"/>
    <w:rsid w:val="00901852"/>
    <w:rsid w:val="00911EF5"/>
    <w:rsid w:val="00912660"/>
    <w:rsid w:val="00914A8C"/>
    <w:rsid w:val="009158C3"/>
    <w:rsid w:val="009161A6"/>
    <w:rsid w:val="00920165"/>
    <w:rsid w:val="00923086"/>
    <w:rsid w:val="00923DF1"/>
    <w:rsid w:val="009251C9"/>
    <w:rsid w:val="0092681B"/>
    <w:rsid w:val="00933B16"/>
    <w:rsid w:val="00935635"/>
    <w:rsid w:val="00935F88"/>
    <w:rsid w:val="00940D97"/>
    <w:rsid w:val="009412CE"/>
    <w:rsid w:val="00942636"/>
    <w:rsid w:val="00943968"/>
    <w:rsid w:val="0094690C"/>
    <w:rsid w:val="009500D2"/>
    <w:rsid w:val="00950523"/>
    <w:rsid w:val="00950E7F"/>
    <w:rsid w:val="00950F41"/>
    <w:rsid w:val="00952EAD"/>
    <w:rsid w:val="00957B0E"/>
    <w:rsid w:val="00961207"/>
    <w:rsid w:val="00961864"/>
    <w:rsid w:val="009648AD"/>
    <w:rsid w:val="009658F0"/>
    <w:rsid w:val="00965FDC"/>
    <w:rsid w:val="009675B9"/>
    <w:rsid w:val="00971AE6"/>
    <w:rsid w:val="00976F04"/>
    <w:rsid w:val="009856B6"/>
    <w:rsid w:val="009904E4"/>
    <w:rsid w:val="00992C70"/>
    <w:rsid w:val="00994FC9"/>
    <w:rsid w:val="00996DC3"/>
    <w:rsid w:val="009A0A66"/>
    <w:rsid w:val="009B3053"/>
    <w:rsid w:val="009B3A53"/>
    <w:rsid w:val="009B5520"/>
    <w:rsid w:val="009C4B5A"/>
    <w:rsid w:val="009C56CE"/>
    <w:rsid w:val="009D0255"/>
    <w:rsid w:val="009D0716"/>
    <w:rsid w:val="009D300C"/>
    <w:rsid w:val="009D3D29"/>
    <w:rsid w:val="009D5555"/>
    <w:rsid w:val="009D65F4"/>
    <w:rsid w:val="009D7549"/>
    <w:rsid w:val="009E2550"/>
    <w:rsid w:val="009E3E1E"/>
    <w:rsid w:val="009E43B4"/>
    <w:rsid w:val="009E5ACE"/>
    <w:rsid w:val="009E7E7B"/>
    <w:rsid w:val="009F4346"/>
    <w:rsid w:val="009F4382"/>
    <w:rsid w:val="009F64D0"/>
    <w:rsid w:val="009F7BF7"/>
    <w:rsid w:val="00A002DC"/>
    <w:rsid w:val="00A00F54"/>
    <w:rsid w:val="00A01F5F"/>
    <w:rsid w:val="00A03BB7"/>
    <w:rsid w:val="00A12EFB"/>
    <w:rsid w:val="00A14F37"/>
    <w:rsid w:val="00A15AD9"/>
    <w:rsid w:val="00A218E7"/>
    <w:rsid w:val="00A21F38"/>
    <w:rsid w:val="00A24715"/>
    <w:rsid w:val="00A34A2A"/>
    <w:rsid w:val="00A34C6C"/>
    <w:rsid w:val="00A35A82"/>
    <w:rsid w:val="00A423AD"/>
    <w:rsid w:val="00A44010"/>
    <w:rsid w:val="00A51125"/>
    <w:rsid w:val="00A53338"/>
    <w:rsid w:val="00A541E8"/>
    <w:rsid w:val="00A61F3C"/>
    <w:rsid w:val="00A62B90"/>
    <w:rsid w:val="00A63F28"/>
    <w:rsid w:val="00A63F74"/>
    <w:rsid w:val="00A7138E"/>
    <w:rsid w:val="00A719B5"/>
    <w:rsid w:val="00A72F2D"/>
    <w:rsid w:val="00A73F45"/>
    <w:rsid w:val="00A74B94"/>
    <w:rsid w:val="00A77DF9"/>
    <w:rsid w:val="00A802DC"/>
    <w:rsid w:val="00A83121"/>
    <w:rsid w:val="00A84358"/>
    <w:rsid w:val="00A86C66"/>
    <w:rsid w:val="00A910B6"/>
    <w:rsid w:val="00A91FA3"/>
    <w:rsid w:val="00A935B6"/>
    <w:rsid w:val="00A93F1D"/>
    <w:rsid w:val="00A95355"/>
    <w:rsid w:val="00A97BC3"/>
    <w:rsid w:val="00AA0113"/>
    <w:rsid w:val="00AA6249"/>
    <w:rsid w:val="00AB0160"/>
    <w:rsid w:val="00AB0696"/>
    <w:rsid w:val="00AB36C9"/>
    <w:rsid w:val="00AB4619"/>
    <w:rsid w:val="00AB688F"/>
    <w:rsid w:val="00AC04B9"/>
    <w:rsid w:val="00AC0E4F"/>
    <w:rsid w:val="00AC13C5"/>
    <w:rsid w:val="00AC7E0D"/>
    <w:rsid w:val="00AD07A5"/>
    <w:rsid w:val="00AD27E1"/>
    <w:rsid w:val="00AD3C6A"/>
    <w:rsid w:val="00AD62B7"/>
    <w:rsid w:val="00AE130E"/>
    <w:rsid w:val="00AE2CAB"/>
    <w:rsid w:val="00AE4CB9"/>
    <w:rsid w:val="00AE513C"/>
    <w:rsid w:val="00AE79BC"/>
    <w:rsid w:val="00AF0433"/>
    <w:rsid w:val="00AF10BF"/>
    <w:rsid w:val="00AF31DA"/>
    <w:rsid w:val="00AF4819"/>
    <w:rsid w:val="00AF5CCE"/>
    <w:rsid w:val="00AF5CEB"/>
    <w:rsid w:val="00AF6F17"/>
    <w:rsid w:val="00B012BD"/>
    <w:rsid w:val="00B02AD3"/>
    <w:rsid w:val="00B068D0"/>
    <w:rsid w:val="00B07B12"/>
    <w:rsid w:val="00B24879"/>
    <w:rsid w:val="00B25DAB"/>
    <w:rsid w:val="00B26DC9"/>
    <w:rsid w:val="00B27DD2"/>
    <w:rsid w:val="00B32377"/>
    <w:rsid w:val="00B3398C"/>
    <w:rsid w:val="00B34841"/>
    <w:rsid w:val="00B46303"/>
    <w:rsid w:val="00B513CC"/>
    <w:rsid w:val="00B52C0A"/>
    <w:rsid w:val="00B53252"/>
    <w:rsid w:val="00B532FA"/>
    <w:rsid w:val="00B555AA"/>
    <w:rsid w:val="00B6185B"/>
    <w:rsid w:val="00B62B95"/>
    <w:rsid w:val="00B633E9"/>
    <w:rsid w:val="00B6374A"/>
    <w:rsid w:val="00B64A6F"/>
    <w:rsid w:val="00B73359"/>
    <w:rsid w:val="00B743A0"/>
    <w:rsid w:val="00B74F8A"/>
    <w:rsid w:val="00B777ED"/>
    <w:rsid w:val="00B819E3"/>
    <w:rsid w:val="00B85598"/>
    <w:rsid w:val="00B86226"/>
    <w:rsid w:val="00B90636"/>
    <w:rsid w:val="00B90EB0"/>
    <w:rsid w:val="00B92F04"/>
    <w:rsid w:val="00B93934"/>
    <w:rsid w:val="00B93F64"/>
    <w:rsid w:val="00B94289"/>
    <w:rsid w:val="00B95293"/>
    <w:rsid w:val="00B95448"/>
    <w:rsid w:val="00B95D94"/>
    <w:rsid w:val="00B96583"/>
    <w:rsid w:val="00B97076"/>
    <w:rsid w:val="00BA4087"/>
    <w:rsid w:val="00BA72DC"/>
    <w:rsid w:val="00BB0420"/>
    <w:rsid w:val="00BB0FB7"/>
    <w:rsid w:val="00BB62E8"/>
    <w:rsid w:val="00BC2BA1"/>
    <w:rsid w:val="00BC61F7"/>
    <w:rsid w:val="00BC79E7"/>
    <w:rsid w:val="00BD1B5A"/>
    <w:rsid w:val="00BD270D"/>
    <w:rsid w:val="00BE2727"/>
    <w:rsid w:val="00BE3C0A"/>
    <w:rsid w:val="00BE3ED3"/>
    <w:rsid w:val="00BE7D95"/>
    <w:rsid w:val="00BF0361"/>
    <w:rsid w:val="00BF0CA4"/>
    <w:rsid w:val="00BF1AFB"/>
    <w:rsid w:val="00BF2344"/>
    <w:rsid w:val="00BF34AF"/>
    <w:rsid w:val="00BF4ADE"/>
    <w:rsid w:val="00C03123"/>
    <w:rsid w:val="00C03D2A"/>
    <w:rsid w:val="00C12CF4"/>
    <w:rsid w:val="00C14C51"/>
    <w:rsid w:val="00C154ED"/>
    <w:rsid w:val="00C16071"/>
    <w:rsid w:val="00C16EFB"/>
    <w:rsid w:val="00C178C4"/>
    <w:rsid w:val="00C17FB0"/>
    <w:rsid w:val="00C235B9"/>
    <w:rsid w:val="00C24C08"/>
    <w:rsid w:val="00C25E83"/>
    <w:rsid w:val="00C25F91"/>
    <w:rsid w:val="00C308FA"/>
    <w:rsid w:val="00C35A40"/>
    <w:rsid w:val="00C3715A"/>
    <w:rsid w:val="00C406A8"/>
    <w:rsid w:val="00C40714"/>
    <w:rsid w:val="00C41A48"/>
    <w:rsid w:val="00C451EA"/>
    <w:rsid w:val="00C53E5C"/>
    <w:rsid w:val="00C54B8B"/>
    <w:rsid w:val="00C55CF3"/>
    <w:rsid w:val="00C56233"/>
    <w:rsid w:val="00C57063"/>
    <w:rsid w:val="00C62E4F"/>
    <w:rsid w:val="00C652F9"/>
    <w:rsid w:val="00C66745"/>
    <w:rsid w:val="00C66D83"/>
    <w:rsid w:val="00C71B5E"/>
    <w:rsid w:val="00C7296F"/>
    <w:rsid w:val="00C7318D"/>
    <w:rsid w:val="00C7446C"/>
    <w:rsid w:val="00C771FE"/>
    <w:rsid w:val="00C91AEB"/>
    <w:rsid w:val="00C95D35"/>
    <w:rsid w:val="00C96D10"/>
    <w:rsid w:val="00C96FB3"/>
    <w:rsid w:val="00C97AFD"/>
    <w:rsid w:val="00CA0C9E"/>
    <w:rsid w:val="00CA19D6"/>
    <w:rsid w:val="00CA1E98"/>
    <w:rsid w:val="00CA48CC"/>
    <w:rsid w:val="00CA48DE"/>
    <w:rsid w:val="00CA681E"/>
    <w:rsid w:val="00CB0B52"/>
    <w:rsid w:val="00CB28E5"/>
    <w:rsid w:val="00CC2AE3"/>
    <w:rsid w:val="00CC50CC"/>
    <w:rsid w:val="00CD1E67"/>
    <w:rsid w:val="00CD5586"/>
    <w:rsid w:val="00CD619F"/>
    <w:rsid w:val="00CE10E0"/>
    <w:rsid w:val="00CE59D9"/>
    <w:rsid w:val="00CE5A00"/>
    <w:rsid w:val="00CF186A"/>
    <w:rsid w:val="00CF1C50"/>
    <w:rsid w:val="00CF1EE9"/>
    <w:rsid w:val="00CF1FBF"/>
    <w:rsid w:val="00CF21A1"/>
    <w:rsid w:val="00CF3B4A"/>
    <w:rsid w:val="00CF40B0"/>
    <w:rsid w:val="00CF49D4"/>
    <w:rsid w:val="00CF5497"/>
    <w:rsid w:val="00CF72CC"/>
    <w:rsid w:val="00CF7FC3"/>
    <w:rsid w:val="00D00662"/>
    <w:rsid w:val="00D007B1"/>
    <w:rsid w:val="00D023F0"/>
    <w:rsid w:val="00D02579"/>
    <w:rsid w:val="00D04600"/>
    <w:rsid w:val="00D10097"/>
    <w:rsid w:val="00D10FAB"/>
    <w:rsid w:val="00D11F53"/>
    <w:rsid w:val="00D12A07"/>
    <w:rsid w:val="00D168CD"/>
    <w:rsid w:val="00D17793"/>
    <w:rsid w:val="00D21182"/>
    <w:rsid w:val="00D225FF"/>
    <w:rsid w:val="00D23190"/>
    <w:rsid w:val="00D339D6"/>
    <w:rsid w:val="00D408B0"/>
    <w:rsid w:val="00D4141E"/>
    <w:rsid w:val="00D4181D"/>
    <w:rsid w:val="00D440A7"/>
    <w:rsid w:val="00D4506A"/>
    <w:rsid w:val="00D4742D"/>
    <w:rsid w:val="00D55119"/>
    <w:rsid w:val="00D639F5"/>
    <w:rsid w:val="00D665C4"/>
    <w:rsid w:val="00D66ADC"/>
    <w:rsid w:val="00D67F61"/>
    <w:rsid w:val="00D704E2"/>
    <w:rsid w:val="00D708F9"/>
    <w:rsid w:val="00D713B4"/>
    <w:rsid w:val="00D731EF"/>
    <w:rsid w:val="00D74252"/>
    <w:rsid w:val="00D76DA6"/>
    <w:rsid w:val="00D81E9C"/>
    <w:rsid w:val="00D82717"/>
    <w:rsid w:val="00D8420C"/>
    <w:rsid w:val="00D845A4"/>
    <w:rsid w:val="00D84942"/>
    <w:rsid w:val="00D850BA"/>
    <w:rsid w:val="00D862EC"/>
    <w:rsid w:val="00D90F25"/>
    <w:rsid w:val="00DA04D3"/>
    <w:rsid w:val="00DA5634"/>
    <w:rsid w:val="00DA6A48"/>
    <w:rsid w:val="00DA708C"/>
    <w:rsid w:val="00DB0946"/>
    <w:rsid w:val="00DB1760"/>
    <w:rsid w:val="00DB296F"/>
    <w:rsid w:val="00DB4E6A"/>
    <w:rsid w:val="00DB74FB"/>
    <w:rsid w:val="00DC1704"/>
    <w:rsid w:val="00DC1AAD"/>
    <w:rsid w:val="00DC3FA6"/>
    <w:rsid w:val="00DC4A5C"/>
    <w:rsid w:val="00DC73BA"/>
    <w:rsid w:val="00DD2824"/>
    <w:rsid w:val="00DD311C"/>
    <w:rsid w:val="00DD3623"/>
    <w:rsid w:val="00DD371F"/>
    <w:rsid w:val="00DD57E9"/>
    <w:rsid w:val="00DD6998"/>
    <w:rsid w:val="00DD7306"/>
    <w:rsid w:val="00DD7A1D"/>
    <w:rsid w:val="00DE0455"/>
    <w:rsid w:val="00DE3165"/>
    <w:rsid w:val="00DE4FCE"/>
    <w:rsid w:val="00DF2ED9"/>
    <w:rsid w:val="00DF58DD"/>
    <w:rsid w:val="00DF5B0D"/>
    <w:rsid w:val="00E01598"/>
    <w:rsid w:val="00E04749"/>
    <w:rsid w:val="00E04BD9"/>
    <w:rsid w:val="00E072AD"/>
    <w:rsid w:val="00E10147"/>
    <w:rsid w:val="00E117E8"/>
    <w:rsid w:val="00E1617D"/>
    <w:rsid w:val="00E1646D"/>
    <w:rsid w:val="00E2390E"/>
    <w:rsid w:val="00E23BCC"/>
    <w:rsid w:val="00E27D12"/>
    <w:rsid w:val="00E32A95"/>
    <w:rsid w:val="00E46728"/>
    <w:rsid w:val="00E530FD"/>
    <w:rsid w:val="00E612A2"/>
    <w:rsid w:val="00E61B6D"/>
    <w:rsid w:val="00E7107F"/>
    <w:rsid w:val="00E739BD"/>
    <w:rsid w:val="00E76C13"/>
    <w:rsid w:val="00E80B2F"/>
    <w:rsid w:val="00E81209"/>
    <w:rsid w:val="00E8482B"/>
    <w:rsid w:val="00E863AC"/>
    <w:rsid w:val="00E93AA1"/>
    <w:rsid w:val="00E95FD8"/>
    <w:rsid w:val="00E966CB"/>
    <w:rsid w:val="00E96F59"/>
    <w:rsid w:val="00EA5B74"/>
    <w:rsid w:val="00EA63D7"/>
    <w:rsid w:val="00EA652B"/>
    <w:rsid w:val="00EB1ADF"/>
    <w:rsid w:val="00EB1B7D"/>
    <w:rsid w:val="00EB384C"/>
    <w:rsid w:val="00EB4D08"/>
    <w:rsid w:val="00EB4F08"/>
    <w:rsid w:val="00EB6190"/>
    <w:rsid w:val="00EB6325"/>
    <w:rsid w:val="00EC0207"/>
    <w:rsid w:val="00EC1E80"/>
    <w:rsid w:val="00EC6518"/>
    <w:rsid w:val="00ED1DBA"/>
    <w:rsid w:val="00ED3CA8"/>
    <w:rsid w:val="00ED641E"/>
    <w:rsid w:val="00ED7ABC"/>
    <w:rsid w:val="00EE22BA"/>
    <w:rsid w:val="00EE28B1"/>
    <w:rsid w:val="00EE3266"/>
    <w:rsid w:val="00EE3C29"/>
    <w:rsid w:val="00EE73CF"/>
    <w:rsid w:val="00EE7F7F"/>
    <w:rsid w:val="00EF0999"/>
    <w:rsid w:val="00EF17AE"/>
    <w:rsid w:val="00EF22FD"/>
    <w:rsid w:val="00EF24D5"/>
    <w:rsid w:val="00EF4329"/>
    <w:rsid w:val="00EF4FCC"/>
    <w:rsid w:val="00EF5AEC"/>
    <w:rsid w:val="00EF63C4"/>
    <w:rsid w:val="00F03BD0"/>
    <w:rsid w:val="00F04822"/>
    <w:rsid w:val="00F058B1"/>
    <w:rsid w:val="00F064FB"/>
    <w:rsid w:val="00F06B9C"/>
    <w:rsid w:val="00F23887"/>
    <w:rsid w:val="00F24BE4"/>
    <w:rsid w:val="00F25BB7"/>
    <w:rsid w:val="00F32376"/>
    <w:rsid w:val="00F331CE"/>
    <w:rsid w:val="00F335ED"/>
    <w:rsid w:val="00F368CA"/>
    <w:rsid w:val="00F37B4F"/>
    <w:rsid w:val="00F37C8D"/>
    <w:rsid w:val="00F40234"/>
    <w:rsid w:val="00F41168"/>
    <w:rsid w:val="00F4121B"/>
    <w:rsid w:val="00F41289"/>
    <w:rsid w:val="00F41FD0"/>
    <w:rsid w:val="00F54586"/>
    <w:rsid w:val="00F5470A"/>
    <w:rsid w:val="00F55581"/>
    <w:rsid w:val="00F560D6"/>
    <w:rsid w:val="00F5705B"/>
    <w:rsid w:val="00F57B5E"/>
    <w:rsid w:val="00F60494"/>
    <w:rsid w:val="00F62DEF"/>
    <w:rsid w:val="00F644C1"/>
    <w:rsid w:val="00F64B3A"/>
    <w:rsid w:val="00F664F1"/>
    <w:rsid w:val="00F70D65"/>
    <w:rsid w:val="00F70D8A"/>
    <w:rsid w:val="00F72A5E"/>
    <w:rsid w:val="00F73827"/>
    <w:rsid w:val="00F73F1B"/>
    <w:rsid w:val="00F74C44"/>
    <w:rsid w:val="00F7651D"/>
    <w:rsid w:val="00F766F0"/>
    <w:rsid w:val="00F76947"/>
    <w:rsid w:val="00F77132"/>
    <w:rsid w:val="00F80E6A"/>
    <w:rsid w:val="00F81EA0"/>
    <w:rsid w:val="00F820E8"/>
    <w:rsid w:val="00F829C2"/>
    <w:rsid w:val="00F82AD9"/>
    <w:rsid w:val="00F84DBA"/>
    <w:rsid w:val="00F84EB6"/>
    <w:rsid w:val="00F861A0"/>
    <w:rsid w:val="00F861AE"/>
    <w:rsid w:val="00F87D4C"/>
    <w:rsid w:val="00F90659"/>
    <w:rsid w:val="00F91737"/>
    <w:rsid w:val="00F9221E"/>
    <w:rsid w:val="00F94AE6"/>
    <w:rsid w:val="00F976D8"/>
    <w:rsid w:val="00FA147A"/>
    <w:rsid w:val="00FA1FDD"/>
    <w:rsid w:val="00FA2B76"/>
    <w:rsid w:val="00FA2DD2"/>
    <w:rsid w:val="00FB04AE"/>
    <w:rsid w:val="00FB15A2"/>
    <w:rsid w:val="00FB59FF"/>
    <w:rsid w:val="00FC27E6"/>
    <w:rsid w:val="00FC4FFF"/>
    <w:rsid w:val="00FC6225"/>
    <w:rsid w:val="00FC751E"/>
    <w:rsid w:val="00FD00FA"/>
    <w:rsid w:val="00FD3731"/>
    <w:rsid w:val="00FD67D1"/>
    <w:rsid w:val="00FD73C0"/>
    <w:rsid w:val="00FE1CF3"/>
    <w:rsid w:val="00FE78A6"/>
    <w:rsid w:val="00FF06BE"/>
    <w:rsid w:val="00FF3CD3"/>
    <w:rsid w:val="110AA730"/>
    <w:rsid w:val="163B6A42"/>
    <w:rsid w:val="2B04E666"/>
    <w:rsid w:val="3B4E0250"/>
    <w:rsid w:val="468C0BA4"/>
    <w:rsid w:val="57F3E0C2"/>
    <w:rsid w:val="6E5EAE8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oNotEmbedSmartTags/>
  <w:decimalSymbol w:val="."/>
  <w:listSeparator w:val=","/>
  <w14:docId w14:val="4C763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3AC"/>
    <w:pPr>
      <w:spacing w:before="120" w:after="120" w:line="276" w:lineRule="auto"/>
    </w:pPr>
    <w:rPr>
      <w:rFonts w:ascii="Calibri" w:hAnsi="Calibri"/>
      <w:sz w:val="22"/>
    </w:rPr>
  </w:style>
  <w:style w:type="paragraph" w:styleId="Heading1">
    <w:name w:val="heading 1"/>
    <w:basedOn w:val="Normal"/>
    <w:next w:val="Normal"/>
    <w:qFormat/>
    <w:rsid w:val="00C24C08"/>
    <w:pPr>
      <w:spacing w:before="240"/>
      <w:outlineLvl w:val="0"/>
    </w:pPr>
    <w:rPr>
      <w:rFonts w:asciiTheme="majorHAnsi" w:eastAsia="Corbel" w:hAnsiTheme="majorHAnsi" w:cstheme="majorHAnsi"/>
      <w:b/>
      <w:sz w:val="32"/>
      <w:szCs w:val="22"/>
    </w:rPr>
  </w:style>
  <w:style w:type="paragraph" w:styleId="Heading2">
    <w:name w:val="heading 2"/>
    <w:basedOn w:val="Normal"/>
    <w:next w:val="Normal"/>
    <w:qFormat/>
    <w:rsid w:val="00C24C08"/>
    <w:pPr>
      <w:spacing w:before="240"/>
      <w:outlineLvl w:val="1"/>
    </w:pPr>
    <w:rPr>
      <w:rFonts w:ascii="Corbel" w:eastAsia="Corbel" w:hAnsi="Corbel" w:cs="Corbel"/>
      <w:b/>
      <w:sz w:val="28"/>
    </w:rPr>
  </w:style>
  <w:style w:type="paragraph" w:styleId="Heading3">
    <w:name w:val="heading 3"/>
    <w:basedOn w:val="Normal"/>
    <w:next w:val="Normal"/>
    <w:link w:val="Heading3Char"/>
    <w:qFormat/>
    <w:pPr>
      <w:keepNext/>
      <w:spacing w:before="240" w:after="60"/>
      <w:outlineLvl w:val="2"/>
    </w:pPr>
    <w:rPr>
      <w:rFonts w:ascii="Helvetica" w:hAnsi="Helvetica"/>
      <w:b/>
      <w:sz w:val="26"/>
    </w:rPr>
  </w:style>
  <w:style w:type="paragraph" w:styleId="Heading6">
    <w:name w:val="heading 6"/>
    <w:basedOn w:val="Normal"/>
    <w:next w:val="Normal"/>
    <w:qFormat/>
    <w:pPr>
      <w:keepNext/>
      <w:overflowPunct w:val="0"/>
      <w:autoSpaceDE w:val="0"/>
      <w:autoSpaceDN w:val="0"/>
      <w:adjustRightInd w:val="0"/>
      <w:spacing w:before="360" w:after="240"/>
      <w:textAlignment w:val="baseline"/>
      <w:outlineLvl w:val="5"/>
    </w:pPr>
    <w:rPr>
      <w:rFonts w:ascii="Arial" w:hAnsi="Arial"/>
      <w:b/>
      <w:sz w:val="28"/>
    </w:rPr>
  </w:style>
  <w:style w:type="paragraph" w:styleId="Heading7">
    <w:name w:val="heading 7"/>
    <w:basedOn w:val="Normal"/>
    <w:next w:val="Normal"/>
    <w:qFormat/>
    <w:pPr>
      <w:keepNext/>
      <w:overflowPunct w:val="0"/>
      <w:autoSpaceDE w:val="0"/>
      <w:autoSpaceDN w:val="0"/>
      <w:adjustRightInd w:val="0"/>
      <w:spacing w:after="60"/>
      <w:textAlignment w:val="baseline"/>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uiPriority w:val="99"/>
    <w:pPr>
      <w:tabs>
        <w:tab w:val="right" w:pos="8720"/>
        <w:tab w:val="right" w:pos="9520"/>
      </w:tabs>
    </w:pPr>
    <w:rPr>
      <w:b/>
    </w:rPr>
  </w:style>
  <w:style w:type="paragraph" w:styleId="Footer">
    <w:name w:val="footer"/>
    <w:basedOn w:val="Normal"/>
    <w:link w:val="FooterChar"/>
    <w:uiPriority w:val="99"/>
    <w:pPr>
      <w:pBdr>
        <w:top w:val="single" w:sz="2" w:space="2" w:color="auto"/>
      </w:pBdr>
      <w:tabs>
        <w:tab w:val="center" w:pos="4252"/>
        <w:tab w:val="right" w:pos="9356"/>
      </w:tabs>
    </w:pPr>
    <w:rPr>
      <w:b/>
      <w:sz w:val="20"/>
    </w:rPr>
  </w:style>
  <w:style w:type="character" w:styleId="PageNumber">
    <w:name w:val="page number"/>
    <w:basedOn w:val="DefaultParagraphFont"/>
  </w:style>
  <w:style w:type="paragraph" w:styleId="Title">
    <w:name w:val="Title"/>
    <w:basedOn w:val="Normal"/>
    <w:qFormat/>
    <w:rsid w:val="00E10147"/>
    <w:pPr>
      <w:spacing w:before="1080"/>
    </w:pPr>
    <w:rPr>
      <w:rFonts w:ascii="Arial" w:hAnsi="Arial" w:cs="Arial"/>
      <w:b/>
      <w:bCs/>
      <w:color w:val="008080"/>
      <w:sz w:val="56"/>
      <w:szCs w:val="56"/>
    </w:rPr>
  </w:style>
  <w:style w:type="paragraph" w:customStyle="1" w:styleId="heading-itemsummaryofpaper">
    <w:name w:val="heading-item/summary of paper"/>
    <w:basedOn w:val="Normal"/>
    <w:next w:val="Normal"/>
    <w:rsid w:val="00354B51"/>
    <w:pPr>
      <w:keepNext/>
      <w:tabs>
        <w:tab w:val="left" w:pos="851"/>
      </w:tabs>
      <w:spacing w:before="80" w:after="160"/>
      <w:ind w:left="1701" w:hanging="1701"/>
    </w:pPr>
    <w:rPr>
      <w:rFonts w:ascii="Arial" w:eastAsia="Times" w:hAnsi="Arial"/>
      <w:b/>
    </w:rPr>
  </w:style>
  <w:style w:type="paragraph" w:customStyle="1" w:styleId="textindent1">
    <w:name w:val="text indent 1"/>
    <w:aliases w:val="i1"/>
    <w:basedOn w:val="Normal"/>
    <w:rsid w:val="00354B51"/>
    <w:pPr>
      <w:spacing w:after="200"/>
      <w:ind w:left="851" w:hanging="851"/>
    </w:pPr>
    <w:rPr>
      <w:rFonts w:ascii="Arial" w:eastAsia="Times" w:hAnsi="Arial"/>
    </w:rPr>
  </w:style>
  <w:style w:type="paragraph" w:customStyle="1" w:styleId="textindent2">
    <w:name w:val="text indent 2"/>
    <w:aliases w:val="i2"/>
    <w:basedOn w:val="Normal"/>
    <w:rsid w:val="00354B51"/>
    <w:pPr>
      <w:spacing w:after="200"/>
      <w:ind w:left="1702" w:hanging="851"/>
    </w:pPr>
    <w:rPr>
      <w:rFonts w:ascii="Arial" w:eastAsia="Times" w:hAnsi="Arial"/>
    </w:rPr>
  </w:style>
  <w:style w:type="paragraph" w:customStyle="1" w:styleId="textindent3">
    <w:name w:val="text indent 3"/>
    <w:aliases w:val="i3"/>
    <w:basedOn w:val="Normal"/>
    <w:pPr>
      <w:spacing w:after="200"/>
      <w:ind w:left="2552" w:hanging="851"/>
    </w:pPr>
  </w:style>
  <w:style w:type="paragraph" w:customStyle="1" w:styleId="heading-allcaps">
    <w:name w:val="heading-all caps"/>
    <w:aliases w:val="hc"/>
    <w:basedOn w:val="Normal"/>
    <w:next w:val="Normal"/>
    <w:rsid w:val="00354B51"/>
    <w:pPr>
      <w:keepNext/>
      <w:tabs>
        <w:tab w:val="left" w:pos="851"/>
      </w:tabs>
      <w:spacing w:after="240"/>
      <w:ind w:left="1701" w:hanging="1701"/>
      <w:jc w:val="center"/>
    </w:pPr>
    <w:rPr>
      <w:rFonts w:ascii="Arial" w:hAnsi="Arial"/>
      <w:b/>
      <w:caps/>
    </w:rPr>
  </w:style>
  <w:style w:type="paragraph" w:customStyle="1" w:styleId="heading-sub-item">
    <w:name w:val="heading-sub-item"/>
    <w:aliases w:val="ih2"/>
    <w:basedOn w:val="Normal"/>
    <w:next w:val="Normal"/>
    <w:pPr>
      <w:keepNext/>
      <w:spacing w:before="80" w:after="160"/>
      <w:ind w:left="1702" w:hanging="851"/>
    </w:pPr>
    <w:rPr>
      <w:b/>
    </w:rPr>
  </w:style>
  <w:style w:type="paragraph" w:customStyle="1" w:styleId="Text">
    <w:name w:val="Text"/>
    <w:aliases w:val="t"/>
    <w:basedOn w:val="Normal"/>
    <w:rsid w:val="000C52C3"/>
    <w:pPr>
      <w:spacing w:after="200"/>
      <w:ind w:left="567" w:hanging="567"/>
    </w:pPr>
    <w:rPr>
      <w:rFonts w:ascii="Arial Narrow" w:eastAsia="Times" w:hAnsi="Arial Narrow"/>
      <w:sz w:val="20"/>
    </w:rPr>
  </w:style>
  <w:style w:type="paragraph" w:styleId="BodyText3">
    <w:name w:val="Body Text 3"/>
    <w:basedOn w:val="Normal"/>
    <w:pPr>
      <w:overflowPunct w:val="0"/>
      <w:autoSpaceDE w:val="0"/>
      <w:autoSpaceDN w:val="0"/>
      <w:adjustRightInd w:val="0"/>
      <w:jc w:val="center"/>
      <w:textAlignment w:val="baseline"/>
    </w:pPr>
    <w:rPr>
      <w:rFonts w:ascii="Arial" w:hAnsi="Arial"/>
      <w:vanish/>
      <w:color w:val="FF0000"/>
    </w:rPr>
  </w:style>
  <w:style w:type="paragraph" w:styleId="BodyText">
    <w:name w:val="Body Text"/>
    <w:basedOn w:val="Normal"/>
    <w:pPr>
      <w:jc w:val="center"/>
    </w:pPr>
    <w:rPr>
      <w:vanish/>
      <w:color w:val="0000FF"/>
    </w:rPr>
  </w:style>
  <w:style w:type="paragraph" w:styleId="BodyText2">
    <w:name w:val="Body Text 2"/>
    <w:basedOn w:val="Normal"/>
    <w:pPr>
      <w:overflowPunct w:val="0"/>
      <w:autoSpaceDE w:val="0"/>
      <w:autoSpaceDN w:val="0"/>
      <w:adjustRightInd w:val="0"/>
      <w:jc w:val="both"/>
      <w:textAlignment w:val="baseline"/>
    </w:pPr>
    <w:rPr>
      <w:rFonts w:ascii="Arial" w:hAnsi="Arial"/>
      <w:vanish/>
      <w:color w:val="FF0000"/>
    </w:rPr>
  </w:style>
  <w:style w:type="character" w:customStyle="1" w:styleId="HeaderChar">
    <w:name w:val="Header Char"/>
    <w:link w:val="Header"/>
    <w:uiPriority w:val="99"/>
    <w:rsid w:val="00AA6616"/>
    <w:rPr>
      <w:b/>
      <w:sz w:val="24"/>
      <w:lang w:val="en-AU"/>
    </w:rPr>
  </w:style>
  <w:style w:type="table" w:styleId="TableGrid">
    <w:name w:val="Table Grid"/>
    <w:basedOn w:val="TableNormal"/>
    <w:uiPriority w:val="59"/>
    <w:rsid w:val="002560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itemsummaryofpaper">
    <w:name w:val="Heading item/summary of paper"/>
    <w:basedOn w:val="Normal"/>
    <w:next w:val="Normal"/>
    <w:qFormat/>
    <w:rsid w:val="000C52C3"/>
    <w:pPr>
      <w:keepNext/>
      <w:spacing w:before="80" w:after="160"/>
      <w:ind w:left="1560" w:hanging="1560"/>
    </w:pPr>
    <w:rPr>
      <w:rFonts w:ascii="Arial Narrow" w:hAnsi="Arial Narrow"/>
      <w:b/>
      <w:szCs w:val="22"/>
    </w:rPr>
  </w:style>
  <w:style w:type="paragraph" w:customStyle="1" w:styleId="TextIndent10">
    <w:name w:val="Text Indent 1"/>
    <w:basedOn w:val="Normal"/>
    <w:qFormat/>
    <w:rsid w:val="00E1646D"/>
    <w:pPr>
      <w:spacing w:after="200"/>
      <w:ind w:left="567" w:hanging="567"/>
    </w:pPr>
    <w:rPr>
      <w:rFonts w:ascii="Arial Narrow" w:eastAsia="Times" w:hAnsi="Arial Narrow"/>
      <w:sz w:val="20"/>
    </w:rPr>
  </w:style>
  <w:style w:type="paragraph" w:styleId="ListParagraph">
    <w:name w:val="List Paragraph"/>
    <w:aliases w:val="Bullet point,Bulletr List Paragraph,Content descriptions,FooterText,L,List Paragraph1,List Paragraph11,List Paragraph2,List Paragraph21,Listeafsnit1,NFP GP Bulleted List,Paragraphe de liste1,Recommendation,numbered,リスト段落1,列,列出段,列出段落,列出段落1"/>
    <w:basedOn w:val="Normal"/>
    <w:link w:val="ListParagraphChar"/>
    <w:uiPriority w:val="34"/>
    <w:qFormat/>
    <w:rsid w:val="00546B85"/>
    <w:pPr>
      <w:ind w:left="720"/>
      <w:contextualSpacing/>
    </w:pPr>
  </w:style>
  <w:style w:type="paragraph" w:customStyle="1" w:styleId="Default">
    <w:name w:val="Default"/>
    <w:rsid w:val="00C0312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A423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3AD"/>
    <w:rPr>
      <w:rFonts w:ascii="Segoe UI" w:hAnsi="Segoe UI" w:cs="Segoe UI"/>
      <w:sz w:val="18"/>
      <w:szCs w:val="18"/>
    </w:rPr>
  </w:style>
  <w:style w:type="character" w:styleId="Hyperlink">
    <w:name w:val="Hyperlink"/>
    <w:basedOn w:val="DefaultParagraphFont"/>
    <w:uiPriority w:val="99"/>
    <w:unhideWhenUsed/>
    <w:rsid w:val="0029735B"/>
    <w:rPr>
      <w:color w:val="0000FF" w:themeColor="hyperlink"/>
      <w:u w:val="single"/>
    </w:rPr>
  </w:style>
  <w:style w:type="paragraph" w:customStyle="1" w:styleId="NumberedParagraph">
    <w:name w:val="Numbered Paragraph"/>
    <w:basedOn w:val="ListParagraph"/>
    <w:link w:val="NumberedParagraphChar"/>
    <w:qFormat/>
    <w:rsid w:val="00120C8A"/>
    <w:pPr>
      <w:spacing w:after="220"/>
      <w:ind w:left="0"/>
    </w:pPr>
    <w:rPr>
      <w:rFonts w:asciiTheme="minorHAnsi" w:hAnsiTheme="minorHAnsi"/>
      <w:szCs w:val="24"/>
      <w:lang w:eastAsia="en-AU"/>
    </w:rPr>
  </w:style>
  <w:style w:type="character" w:customStyle="1" w:styleId="NumberedParagraphChar">
    <w:name w:val="Numbered Paragraph Char"/>
    <w:basedOn w:val="DefaultParagraphFont"/>
    <w:link w:val="NumberedParagraph"/>
    <w:rsid w:val="00120C8A"/>
    <w:rPr>
      <w:rFonts w:asciiTheme="minorHAnsi" w:hAnsiTheme="minorHAnsi"/>
      <w:sz w:val="22"/>
      <w:szCs w:val="24"/>
      <w:lang w:eastAsia="en-AU"/>
    </w:rPr>
  </w:style>
  <w:style w:type="character" w:styleId="CommentReference">
    <w:name w:val="annotation reference"/>
    <w:basedOn w:val="DefaultParagraphFont"/>
    <w:uiPriority w:val="99"/>
    <w:semiHidden/>
    <w:unhideWhenUsed/>
    <w:rsid w:val="00895056"/>
    <w:rPr>
      <w:sz w:val="16"/>
      <w:szCs w:val="16"/>
    </w:rPr>
  </w:style>
  <w:style w:type="paragraph" w:styleId="CommentText">
    <w:name w:val="annotation text"/>
    <w:basedOn w:val="Normal"/>
    <w:link w:val="CommentTextChar"/>
    <w:uiPriority w:val="99"/>
    <w:unhideWhenUsed/>
    <w:rsid w:val="00895056"/>
    <w:rPr>
      <w:sz w:val="20"/>
    </w:rPr>
  </w:style>
  <w:style w:type="character" w:customStyle="1" w:styleId="CommentTextChar">
    <w:name w:val="Comment Text Char"/>
    <w:basedOn w:val="DefaultParagraphFont"/>
    <w:link w:val="CommentText"/>
    <w:uiPriority w:val="99"/>
    <w:rsid w:val="00895056"/>
  </w:style>
  <w:style w:type="paragraph" w:styleId="CommentSubject">
    <w:name w:val="annotation subject"/>
    <w:basedOn w:val="CommentText"/>
    <w:next w:val="CommentText"/>
    <w:link w:val="CommentSubjectChar"/>
    <w:uiPriority w:val="99"/>
    <w:semiHidden/>
    <w:unhideWhenUsed/>
    <w:rsid w:val="00895056"/>
    <w:rPr>
      <w:b/>
      <w:bCs/>
    </w:rPr>
  </w:style>
  <w:style w:type="character" w:customStyle="1" w:styleId="CommentSubjectChar">
    <w:name w:val="Comment Subject Char"/>
    <w:basedOn w:val="CommentTextChar"/>
    <w:link w:val="CommentSubject"/>
    <w:uiPriority w:val="99"/>
    <w:semiHidden/>
    <w:rsid w:val="00895056"/>
    <w:rPr>
      <w:b/>
      <w:bCs/>
    </w:rPr>
  </w:style>
  <w:style w:type="character" w:customStyle="1" w:styleId="ListParagraphChar">
    <w:name w:val="List Paragraph Char"/>
    <w:aliases w:val="Bullet point Char,Bulletr List Paragraph Char,Content descriptions Char,FooterText Char,L Char,List Paragraph1 Char,List Paragraph11 Char,List Paragraph2 Char,List Paragraph21 Char,Listeafsnit1 Char,NFP GP Bulleted List Char,列 Char"/>
    <w:basedOn w:val="DefaultParagraphFont"/>
    <w:link w:val="ListParagraph"/>
    <w:uiPriority w:val="34"/>
    <w:qFormat/>
    <w:locked/>
    <w:rsid w:val="00117F7A"/>
    <w:rPr>
      <w:sz w:val="24"/>
    </w:rPr>
  </w:style>
  <w:style w:type="table" w:customStyle="1" w:styleId="TableGrid1">
    <w:name w:val="Table Grid1"/>
    <w:basedOn w:val="TableNormal"/>
    <w:next w:val="TableGrid"/>
    <w:rsid w:val="0011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56233"/>
    <w:rPr>
      <w:sz w:val="24"/>
    </w:rPr>
  </w:style>
  <w:style w:type="table" w:customStyle="1" w:styleId="TableGrid0">
    <w:name w:val="TableGrid"/>
    <w:rsid w:val="0076096C"/>
    <w:rPr>
      <w:rFonts w:asciiTheme="minorHAnsi" w:eastAsiaTheme="minorEastAsia" w:hAnsiTheme="minorHAnsi" w:cstheme="minorBidi"/>
      <w:sz w:val="22"/>
      <w:szCs w:val="22"/>
      <w:lang w:eastAsia="en-AU"/>
    </w:rPr>
    <w:tblPr>
      <w:tblCellMar>
        <w:top w:w="0" w:type="dxa"/>
        <w:left w:w="0" w:type="dxa"/>
        <w:bottom w:w="0" w:type="dxa"/>
        <w:right w:w="0" w:type="dxa"/>
      </w:tblCellMar>
    </w:tblPr>
  </w:style>
  <w:style w:type="character" w:customStyle="1" w:styleId="FooterChar">
    <w:name w:val="Footer Char"/>
    <w:basedOn w:val="DefaultParagraphFont"/>
    <w:link w:val="Footer"/>
    <w:uiPriority w:val="99"/>
    <w:rsid w:val="00490BB8"/>
    <w:rPr>
      <w:b/>
    </w:rPr>
  </w:style>
  <w:style w:type="paragraph" w:styleId="Subtitle">
    <w:name w:val="Subtitle"/>
    <w:basedOn w:val="Normal"/>
    <w:next w:val="Normal"/>
    <w:link w:val="SubtitleChar"/>
    <w:uiPriority w:val="11"/>
    <w:qFormat/>
    <w:rsid w:val="004B5143"/>
    <w:rPr>
      <w:rFonts w:ascii="Arial" w:hAnsi="Arial" w:cs="Arial"/>
      <w:b/>
      <w:bCs/>
      <w:color w:val="008080"/>
      <w:sz w:val="48"/>
      <w:szCs w:val="48"/>
    </w:rPr>
  </w:style>
  <w:style w:type="character" w:customStyle="1" w:styleId="SubtitleChar">
    <w:name w:val="Subtitle Char"/>
    <w:basedOn w:val="DefaultParagraphFont"/>
    <w:link w:val="Subtitle"/>
    <w:uiPriority w:val="11"/>
    <w:rsid w:val="004B5143"/>
    <w:rPr>
      <w:rFonts w:ascii="Arial" w:hAnsi="Arial" w:cs="Arial"/>
      <w:b/>
      <w:bCs/>
      <w:color w:val="008080"/>
      <w:sz w:val="48"/>
      <w:szCs w:val="48"/>
    </w:rPr>
  </w:style>
  <w:style w:type="character" w:styleId="FollowedHyperlink">
    <w:name w:val="FollowedHyperlink"/>
    <w:basedOn w:val="DefaultParagraphFont"/>
    <w:uiPriority w:val="99"/>
    <w:semiHidden/>
    <w:unhideWhenUsed/>
    <w:rsid w:val="006C4B35"/>
    <w:rPr>
      <w:color w:val="800080" w:themeColor="followedHyperlink"/>
      <w:u w:val="single"/>
    </w:rPr>
  </w:style>
  <w:style w:type="character" w:styleId="UnresolvedMention">
    <w:name w:val="Unresolved Mention"/>
    <w:basedOn w:val="DefaultParagraphFont"/>
    <w:uiPriority w:val="99"/>
    <w:semiHidden/>
    <w:unhideWhenUsed/>
    <w:rsid w:val="006C4B35"/>
    <w:rPr>
      <w:color w:val="605E5C"/>
      <w:shd w:val="clear" w:color="auto" w:fill="E1DFDD"/>
    </w:rPr>
  </w:style>
  <w:style w:type="character" w:customStyle="1" w:styleId="Heading3Char">
    <w:name w:val="Heading 3 Char"/>
    <w:basedOn w:val="DefaultParagraphFont"/>
    <w:link w:val="Heading3"/>
    <w:rsid w:val="006C4B35"/>
    <w:rPr>
      <w:rFonts w:ascii="Helvetica" w:hAnsi="Helvetica"/>
      <w:b/>
      <w:sz w:val="26"/>
    </w:rPr>
  </w:style>
  <w:style w:type="paragraph" w:styleId="NormalWeb">
    <w:name w:val="Normal (Web)"/>
    <w:basedOn w:val="Normal"/>
    <w:uiPriority w:val="99"/>
    <w:unhideWhenUsed/>
    <w:rsid w:val="002E3C0D"/>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596893">
      <w:bodyDiv w:val="1"/>
      <w:marLeft w:val="0"/>
      <w:marRight w:val="0"/>
      <w:marTop w:val="0"/>
      <w:marBottom w:val="0"/>
      <w:divBdr>
        <w:top w:val="none" w:sz="0" w:space="0" w:color="auto"/>
        <w:left w:val="none" w:sz="0" w:space="0" w:color="auto"/>
        <w:bottom w:val="none" w:sz="0" w:space="0" w:color="auto"/>
        <w:right w:val="none" w:sz="0" w:space="0" w:color="auto"/>
      </w:divBdr>
    </w:div>
    <w:div w:id="487747368">
      <w:bodyDiv w:val="1"/>
      <w:marLeft w:val="0"/>
      <w:marRight w:val="0"/>
      <w:marTop w:val="0"/>
      <w:marBottom w:val="0"/>
      <w:divBdr>
        <w:top w:val="none" w:sz="0" w:space="0" w:color="auto"/>
        <w:left w:val="none" w:sz="0" w:space="0" w:color="auto"/>
        <w:bottom w:val="none" w:sz="0" w:space="0" w:color="auto"/>
        <w:right w:val="none" w:sz="0" w:space="0" w:color="auto"/>
      </w:divBdr>
    </w:div>
    <w:div w:id="541402348">
      <w:bodyDiv w:val="1"/>
      <w:marLeft w:val="0"/>
      <w:marRight w:val="0"/>
      <w:marTop w:val="0"/>
      <w:marBottom w:val="0"/>
      <w:divBdr>
        <w:top w:val="none" w:sz="0" w:space="0" w:color="auto"/>
        <w:left w:val="none" w:sz="0" w:space="0" w:color="auto"/>
        <w:bottom w:val="none" w:sz="0" w:space="0" w:color="auto"/>
        <w:right w:val="none" w:sz="0" w:space="0" w:color="auto"/>
      </w:divBdr>
    </w:div>
    <w:div w:id="804734099">
      <w:bodyDiv w:val="1"/>
      <w:marLeft w:val="0"/>
      <w:marRight w:val="0"/>
      <w:marTop w:val="0"/>
      <w:marBottom w:val="0"/>
      <w:divBdr>
        <w:top w:val="none" w:sz="0" w:space="0" w:color="auto"/>
        <w:left w:val="none" w:sz="0" w:space="0" w:color="auto"/>
        <w:bottom w:val="none" w:sz="0" w:space="0" w:color="auto"/>
        <w:right w:val="none" w:sz="0" w:space="0" w:color="auto"/>
      </w:divBdr>
    </w:div>
    <w:div w:id="938564857">
      <w:bodyDiv w:val="1"/>
      <w:marLeft w:val="0"/>
      <w:marRight w:val="0"/>
      <w:marTop w:val="0"/>
      <w:marBottom w:val="0"/>
      <w:divBdr>
        <w:top w:val="none" w:sz="0" w:space="0" w:color="auto"/>
        <w:left w:val="none" w:sz="0" w:space="0" w:color="auto"/>
        <w:bottom w:val="none" w:sz="0" w:space="0" w:color="auto"/>
        <w:right w:val="none" w:sz="0" w:space="0" w:color="auto"/>
      </w:divBdr>
    </w:div>
    <w:div w:id="1079211117">
      <w:bodyDiv w:val="1"/>
      <w:marLeft w:val="0"/>
      <w:marRight w:val="0"/>
      <w:marTop w:val="0"/>
      <w:marBottom w:val="0"/>
      <w:divBdr>
        <w:top w:val="none" w:sz="0" w:space="0" w:color="auto"/>
        <w:left w:val="none" w:sz="0" w:space="0" w:color="auto"/>
        <w:bottom w:val="none" w:sz="0" w:space="0" w:color="auto"/>
        <w:right w:val="none" w:sz="0" w:space="0" w:color="auto"/>
      </w:divBdr>
    </w:div>
    <w:div w:id="1176723240">
      <w:bodyDiv w:val="1"/>
      <w:marLeft w:val="0"/>
      <w:marRight w:val="0"/>
      <w:marTop w:val="0"/>
      <w:marBottom w:val="0"/>
      <w:divBdr>
        <w:top w:val="none" w:sz="0" w:space="0" w:color="auto"/>
        <w:left w:val="none" w:sz="0" w:space="0" w:color="auto"/>
        <w:bottom w:val="none" w:sz="0" w:space="0" w:color="auto"/>
        <w:right w:val="none" w:sz="0" w:space="0" w:color="auto"/>
      </w:divBdr>
    </w:div>
    <w:div w:id="1357384568">
      <w:bodyDiv w:val="1"/>
      <w:marLeft w:val="0"/>
      <w:marRight w:val="0"/>
      <w:marTop w:val="0"/>
      <w:marBottom w:val="0"/>
      <w:divBdr>
        <w:top w:val="none" w:sz="0" w:space="0" w:color="auto"/>
        <w:left w:val="none" w:sz="0" w:space="0" w:color="auto"/>
        <w:bottom w:val="none" w:sz="0" w:space="0" w:color="auto"/>
        <w:right w:val="none" w:sz="0" w:space="0" w:color="auto"/>
      </w:divBdr>
    </w:div>
    <w:div w:id="1361739629">
      <w:bodyDiv w:val="1"/>
      <w:marLeft w:val="0"/>
      <w:marRight w:val="0"/>
      <w:marTop w:val="0"/>
      <w:marBottom w:val="0"/>
      <w:divBdr>
        <w:top w:val="none" w:sz="0" w:space="0" w:color="auto"/>
        <w:left w:val="none" w:sz="0" w:space="0" w:color="auto"/>
        <w:bottom w:val="none" w:sz="0" w:space="0" w:color="auto"/>
        <w:right w:val="none" w:sz="0" w:space="0" w:color="auto"/>
      </w:divBdr>
    </w:div>
    <w:div w:id="1396507845">
      <w:bodyDiv w:val="1"/>
      <w:marLeft w:val="0"/>
      <w:marRight w:val="0"/>
      <w:marTop w:val="0"/>
      <w:marBottom w:val="0"/>
      <w:divBdr>
        <w:top w:val="none" w:sz="0" w:space="0" w:color="auto"/>
        <w:left w:val="none" w:sz="0" w:space="0" w:color="auto"/>
        <w:bottom w:val="none" w:sz="0" w:space="0" w:color="auto"/>
        <w:right w:val="none" w:sz="0" w:space="0" w:color="auto"/>
      </w:divBdr>
    </w:div>
    <w:div w:id="1410734856">
      <w:bodyDiv w:val="1"/>
      <w:marLeft w:val="0"/>
      <w:marRight w:val="0"/>
      <w:marTop w:val="0"/>
      <w:marBottom w:val="0"/>
      <w:divBdr>
        <w:top w:val="none" w:sz="0" w:space="0" w:color="auto"/>
        <w:left w:val="none" w:sz="0" w:space="0" w:color="auto"/>
        <w:bottom w:val="none" w:sz="0" w:space="0" w:color="auto"/>
        <w:right w:val="none" w:sz="0" w:space="0" w:color="auto"/>
      </w:divBdr>
    </w:div>
    <w:div w:id="1555044327">
      <w:bodyDiv w:val="1"/>
      <w:marLeft w:val="0"/>
      <w:marRight w:val="0"/>
      <w:marTop w:val="0"/>
      <w:marBottom w:val="0"/>
      <w:divBdr>
        <w:top w:val="none" w:sz="0" w:space="0" w:color="auto"/>
        <w:left w:val="none" w:sz="0" w:space="0" w:color="auto"/>
        <w:bottom w:val="none" w:sz="0" w:space="0" w:color="auto"/>
        <w:right w:val="none" w:sz="0" w:space="0" w:color="auto"/>
      </w:divBdr>
    </w:div>
    <w:div w:id="1590501525">
      <w:bodyDiv w:val="1"/>
      <w:marLeft w:val="0"/>
      <w:marRight w:val="0"/>
      <w:marTop w:val="0"/>
      <w:marBottom w:val="0"/>
      <w:divBdr>
        <w:top w:val="none" w:sz="0" w:space="0" w:color="auto"/>
        <w:left w:val="none" w:sz="0" w:space="0" w:color="auto"/>
        <w:bottom w:val="none" w:sz="0" w:space="0" w:color="auto"/>
        <w:right w:val="none" w:sz="0" w:space="0" w:color="auto"/>
      </w:divBdr>
    </w:div>
    <w:div w:id="1595358923">
      <w:bodyDiv w:val="1"/>
      <w:marLeft w:val="0"/>
      <w:marRight w:val="0"/>
      <w:marTop w:val="0"/>
      <w:marBottom w:val="0"/>
      <w:divBdr>
        <w:top w:val="none" w:sz="0" w:space="0" w:color="auto"/>
        <w:left w:val="none" w:sz="0" w:space="0" w:color="auto"/>
        <w:bottom w:val="none" w:sz="0" w:space="0" w:color="auto"/>
        <w:right w:val="none" w:sz="0" w:space="0" w:color="auto"/>
      </w:divBdr>
    </w:div>
    <w:div w:id="1906063175">
      <w:bodyDiv w:val="1"/>
      <w:marLeft w:val="0"/>
      <w:marRight w:val="0"/>
      <w:marTop w:val="0"/>
      <w:marBottom w:val="0"/>
      <w:divBdr>
        <w:top w:val="none" w:sz="0" w:space="0" w:color="auto"/>
        <w:left w:val="none" w:sz="0" w:space="0" w:color="auto"/>
        <w:bottom w:val="none" w:sz="0" w:space="0" w:color="auto"/>
        <w:right w:val="none" w:sz="0" w:space="0" w:color="auto"/>
      </w:divBdr>
    </w:div>
    <w:div w:id="1999456010">
      <w:bodyDiv w:val="1"/>
      <w:marLeft w:val="0"/>
      <w:marRight w:val="0"/>
      <w:marTop w:val="0"/>
      <w:marBottom w:val="0"/>
      <w:divBdr>
        <w:top w:val="none" w:sz="0" w:space="0" w:color="auto"/>
        <w:left w:val="none" w:sz="0" w:space="0" w:color="auto"/>
        <w:bottom w:val="none" w:sz="0" w:space="0" w:color="auto"/>
        <w:right w:val="none" w:sz="0" w:space="0" w:color="auto"/>
      </w:divBdr>
    </w:div>
    <w:div w:id="2069916775">
      <w:bodyDiv w:val="1"/>
      <w:marLeft w:val="0"/>
      <w:marRight w:val="0"/>
      <w:marTop w:val="0"/>
      <w:marBottom w:val="0"/>
      <w:divBdr>
        <w:top w:val="none" w:sz="0" w:space="0" w:color="auto"/>
        <w:left w:val="none" w:sz="0" w:space="0" w:color="auto"/>
        <w:bottom w:val="none" w:sz="0" w:space="0" w:color="auto"/>
        <w:right w:val="none" w:sz="0" w:space="0" w:color="auto"/>
      </w:divBdr>
    </w:div>
    <w:div w:id="2089616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education.vic.gov.au/school/teachers/teachingresources/careers/Pages/my-career-portfolio.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education.vic.gov.au/school/teachers/profdev/Pages/inclusive-education-scholarship.aspx" TargetMode="External"/><Relationship Id="rId25" Type="http://schemas.openxmlformats.org/officeDocument/2006/relationships/hyperlink" Target="http://www.nccd.edu.au" TargetMode="External"/><Relationship Id="rId2" Type="http://schemas.openxmlformats.org/officeDocument/2006/relationships/numbering" Target="numbering.xml"/><Relationship Id="rId16" Type="http://schemas.openxmlformats.org/officeDocument/2006/relationships/hyperlink" Target="https://www.vcaa.vic.edu.au/assessment/f-10assessment/digital-assessment-library/Pages/Index.aspx" TargetMode="External"/><Relationship Id="rId20" Type="http://schemas.openxmlformats.org/officeDocument/2006/relationships/hyperlink" Target="https://www.education.vic.gov.au/about/programs/Pages/headstar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dese.gov.au/quality-schools-package/resources/victoria-bilateral-agreement-2019-progress-report"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education.vic.gov.au/about/careers/teacher/Pages/targeted-initiative-attract-more-teachers.aspx" TargetMode="External"/><Relationship Id="rId10" Type="http://schemas.openxmlformats.org/officeDocument/2006/relationships/footer" Target="footer1.xml"/><Relationship Id="rId19" Type="http://schemas.openxmlformats.org/officeDocument/2006/relationships/hyperlink" Target="https://www.education.vic.gov.au/school/teachers/teachingresources/careers/Pages/my-career-insights.asp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s://www.bastow.vic.edu.au/professional-learning/victorian-aspiring-principal-assessmen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48CA4-67E0-49F1-B2CE-46167194D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3281</Words>
  <Characters>20366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Bilateral Agreement Progress Report 2020 - Victoria</vt:lpstr>
    </vt:vector>
  </TitlesOfParts>
  <Company/>
  <LinksUpToDate>false</LinksUpToDate>
  <CharactersWithSpaces>23600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Bilateral Agreement Progress Report 2020 - Victoria</dc:title>
  <dc:subject/>
  <dc:creator/>
  <cp:keywords/>
  <cp:lastModifiedBy/>
  <cp:revision>1</cp:revision>
  <dcterms:created xsi:type="dcterms:W3CDTF">2021-12-07T01:07:00Z</dcterms:created>
  <dcterms:modified xsi:type="dcterms:W3CDTF">2022-02-25T05:18:00Z</dcterms:modified>
</cp:coreProperties>
</file>